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Naslov"/>
                  <w:numPr>
                    <w:ilvl w:val="0"/>
                    <w:numId w:val="0"/>
                  </w:numPr>
                  <w:ind w:left="720"/>
                  <w:rPr>
                    <w:rFonts w:ascii="Times New Roman" w:hAnsi="Times New Roman" w:cs="Times New Roman"/>
                    <w:szCs w:val="24"/>
                  </w:rPr>
                </w:pPr>
              </w:p>
              <w:p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B40AD6"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B40AD6"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B40AD6"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B40AD6"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B40AD6"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Naslov"/>
              <w:numPr>
                <w:ilvl w:val="0"/>
                <w:numId w:val="0"/>
              </w:numPr>
              <w:rPr>
                <w:rFonts w:ascii="Times New Roman" w:hAnsi="Times New Roman" w:cs="Times New Roman"/>
                <w:szCs w:val="24"/>
              </w:rPr>
            </w:pPr>
          </w:p>
          <w:p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proofErr w:type="spellStart"/>
      <w:r>
        <w:rPr>
          <w:rFonts w:ascii="Times New Roman" w:hAnsi="Times New Roman"/>
          <w:b/>
          <w:szCs w:val="24"/>
          <w:lang w:val="hr-HR"/>
        </w:rPr>
        <w:t>0.</w:t>
      </w:r>
      <w:r w:rsidR="00D877B3">
        <w:rPr>
          <w:rFonts w:ascii="Times New Roman" w:hAnsi="Times New Roman"/>
          <w:b/>
          <w:szCs w:val="24"/>
          <w:lang w:val="hr-HR"/>
        </w:rPr>
        <w:t>OPĆI</w:t>
      </w:r>
      <w:proofErr w:type="spellEnd"/>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w:t>
            </w:r>
            <w:proofErr w:type="spellStart"/>
            <w:r w:rsidRPr="00D877B3">
              <w:rPr>
                <w:rFonts w:eastAsia="Arial Unicode MS"/>
                <w:sz w:val="22"/>
                <w:szCs w:val="22"/>
                <w:lang w:val="hr-HR"/>
              </w:rPr>
              <w:t>IBAN</w:t>
            </w:r>
            <w:proofErr w:type="spellEnd"/>
            <w:r w:rsidRPr="00D877B3">
              <w:rPr>
                <w:rFonts w:eastAsia="Arial Unicode MS"/>
                <w:sz w:val="22"/>
                <w:szCs w:val="22"/>
                <w:lang w:val="hr-HR"/>
              </w:rPr>
              <w:t>)</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OIB</w:t>
            </w:r>
            <w:proofErr w:type="spellEnd"/>
            <w:r w:rsidRPr="00D877B3">
              <w:rPr>
                <w:rFonts w:eastAsia="Arial Unicode MS"/>
                <w:sz w:val="22"/>
                <w:szCs w:val="22"/>
                <w:lang w:val="hr-HR"/>
              </w:rPr>
              <w:t xml:space="preserve">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RNO</w:t>
            </w:r>
            <w:proofErr w:type="spellEnd"/>
            <w:r w:rsidRPr="00D877B3">
              <w:rPr>
                <w:rFonts w:eastAsia="Arial Unicode MS"/>
                <w:sz w:val="22"/>
                <w:szCs w:val="22"/>
                <w:lang w:val="hr-HR"/>
              </w:rPr>
              <w:t xml:space="preserve">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1"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2B136D" w:rsidP="00383A11">
            <w:pPr>
              <w:pStyle w:val="Odlomakpopisa"/>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lastRenderedPageBreak/>
              <w:t>Socijalna skrb</w:t>
            </w:r>
          </w:p>
        </w:tc>
        <w:tc>
          <w:tcPr>
            <w:tcW w:w="1047" w:type="dxa"/>
          </w:tcPr>
          <w:p w:rsidR="005871A9" w:rsidRPr="00300D4A" w:rsidRDefault="00B40AD6"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2B136D">
        <w:trPr>
          <w:trHeight w:val="696"/>
          <w:jc w:val="center"/>
        </w:trPr>
        <w:tc>
          <w:tcPr>
            <w:tcW w:w="6772" w:type="dxa"/>
            <w:shd w:val="clear" w:color="auto" w:fill="FDE9D9" w:themeFill="accent6" w:themeFillTint="33"/>
          </w:tcPr>
          <w:p w:rsidR="005871A9" w:rsidRPr="00594DFB" w:rsidRDefault="002B136D"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p>
        </w:tc>
        <w:tc>
          <w:tcPr>
            <w:tcW w:w="1047" w:type="dxa"/>
          </w:tcPr>
          <w:p w:rsidR="005871A9" w:rsidRPr="00300D4A" w:rsidRDefault="00B40AD6"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bl>
    <w:p w:rsidR="004E1FB1" w:rsidRDefault="004E1FB1" w:rsidP="004E1FB1"/>
    <w:tbl>
      <w:tblPr>
        <w:tblStyle w:val="Reetkatablice"/>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Naslov1"/>
        <w:rPr>
          <w:rFonts w:ascii="Times New Roman" w:hAnsi="Times New Roman" w:cs="Times New Roman"/>
        </w:rPr>
      </w:pPr>
      <w:bookmarkStart w:id="2" w:name="_Toc383781001"/>
      <w:bookmarkStart w:id="3"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2"/>
      <w:bookmarkEnd w:id="3"/>
      <w:proofErr w:type="spellEnd"/>
      <w:r>
        <w:rPr>
          <w:rFonts w:ascii="Times New Roman" w:hAnsi="Times New Roman" w:cs="Times New Roman"/>
        </w:rPr>
        <w:t xml:space="preserve"> </w:t>
      </w:r>
    </w:p>
    <w:p w:rsidR="00191949" w:rsidRPr="009C7344" w:rsidRDefault="00191949" w:rsidP="00191949">
      <w:pPr>
        <w:pStyle w:val="Naslov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Naslov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proofErr w:type="spellStart"/>
            <w:r>
              <w:rPr>
                <w:b/>
                <w:lang w:val="hr-HR"/>
              </w:rPr>
              <w:t>RNO</w:t>
            </w:r>
            <w:proofErr w:type="spellEnd"/>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lastRenderedPageBreak/>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lastRenderedPageBreak/>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Odlomakpopisa"/>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Naslov1"/>
        <w:numPr>
          <w:ilvl w:val="0"/>
          <w:numId w:val="0"/>
        </w:numPr>
        <w:ind w:left="432"/>
        <w:rPr>
          <w:lang w:val="hr-HR"/>
        </w:rPr>
      </w:pPr>
    </w:p>
    <w:p w:rsidR="00607642" w:rsidRPr="00607642" w:rsidRDefault="00206E24" w:rsidP="008970F3">
      <w:pPr>
        <w:pStyle w:val="Naslov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 xml:space="preserve">će dati povratnu informaciju, pri čemu će ocjenjivati aspekte uspješnosti radionice (korisnost, primjenjivost, razumljivost, voditeljice grupe/radionice). Rezultati evaluacije će se koristiti za poboljšanje kvalitete rada, dodatnog školovanja </w:t>
      </w:r>
      <w:r w:rsidRPr="00A95BDB">
        <w:rPr>
          <w:rFonts w:ascii="Times New Roman" w:hAnsi="Times New Roman"/>
          <w:i/>
          <w:lang w:val="hr-HR"/>
        </w:rPr>
        <w:lastRenderedPageBreak/>
        <w:t>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D6" w:rsidRDefault="00B40AD6" w:rsidP="00DD11ED">
      <w:r>
        <w:separator/>
      </w:r>
    </w:p>
  </w:endnote>
  <w:endnote w:type="continuationSeparator" w:id="0">
    <w:p w:rsidR="00B40AD6" w:rsidRDefault="00B40AD6"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821FA6" w:rsidRPr="00821FA6">
          <w:rPr>
            <w:rFonts w:ascii="Times New Roman" w:hAnsi="Times New Roman"/>
            <w:noProof/>
            <w:lang w:val="hr-HR"/>
          </w:rPr>
          <w:t>8</w:t>
        </w:r>
        <w:r w:rsidRPr="00F84731">
          <w:rPr>
            <w:rFonts w:ascii="Times New Roman" w:hAnsi="Times New Roman"/>
          </w:rPr>
          <w:fldChar w:fldCharType="end"/>
        </w:r>
      </w:p>
    </w:sdtContent>
  </w:sdt>
  <w:p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D6" w:rsidRDefault="00B40AD6" w:rsidP="00DD11ED">
      <w:r>
        <w:separator/>
      </w:r>
    </w:p>
  </w:footnote>
  <w:footnote w:type="continuationSeparator" w:id="0">
    <w:p w:rsidR="00B40AD6" w:rsidRDefault="00B40AD6" w:rsidP="00DD11ED">
      <w:r>
        <w:continuationSeparator/>
      </w:r>
    </w:p>
  </w:footnote>
  <w:footnote w:id="1">
    <w:p w:rsidR="00407961" w:rsidRPr="00821FA6" w:rsidRDefault="00407961" w:rsidP="00821FA6">
      <w:pPr>
        <w:pStyle w:val="Tekstfusnote"/>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136D"/>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1FA6"/>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0AD6"/>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4D17"/>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A747-400E-4C9E-A466-0E8B2395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1501</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Mirjana Beg</cp:lastModifiedBy>
  <cp:revision>4</cp:revision>
  <cp:lastPrinted>2016-07-19T12:56:00Z</cp:lastPrinted>
  <dcterms:created xsi:type="dcterms:W3CDTF">2018-10-09T09:39:00Z</dcterms:created>
  <dcterms:modified xsi:type="dcterms:W3CDTF">2021-12-15T10:01:00Z</dcterms:modified>
</cp:coreProperties>
</file>