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1E51E">
      <w:pPr>
        <w:pStyle w:val="25"/>
        <w:pageBreakBefore/>
        <w:ind w:left="708" w:right="0" w:firstLine="0"/>
        <w:jc w:val="both"/>
      </w:pPr>
      <w:bookmarkStart w:id="0" w:name="_GoBack"/>
      <w:bookmarkEnd w:id="0"/>
      <w:r>
        <w:rPr>
          <w:rStyle w:val="4"/>
          <w:rFonts w:ascii="Arial" w:hAnsi="Arial" w:cs="Arial"/>
          <w:lang w:val="en-US"/>
        </w:rPr>
        <w:t>OBRAZAC IZVJEŠĆA O PROVEDENOM SAVJETOVANJU</w:t>
      </w:r>
    </w:p>
    <w:p w14:paraId="1D5D49BB">
      <w:pPr>
        <w:pStyle w:val="25"/>
        <w:rPr>
          <w:rFonts w:ascii="Arial" w:hAnsi="Arial" w:cs="Arial"/>
          <w:lang w:val="en-US"/>
        </w:rPr>
      </w:pPr>
    </w:p>
    <w:tbl>
      <w:tblPr>
        <w:tblStyle w:val="3"/>
        <w:tblW w:w="0" w:type="auto"/>
        <w:tblInd w:w="108" w:type="dxa"/>
        <w:tblLayout w:type="fixed"/>
        <w:tblCellMar>
          <w:top w:w="0" w:type="dxa"/>
          <w:left w:w="108" w:type="dxa"/>
          <w:bottom w:w="0" w:type="dxa"/>
          <w:right w:w="108" w:type="dxa"/>
        </w:tblCellMar>
      </w:tblPr>
      <w:tblGrid>
        <w:gridCol w:w="3114"/>
        <w:gridCol w:w="6095"/>
      </w:tblGrid>
      <w:tr w14:paraId="4283C2EA">
        <w:tblPrEx>
          <w:tblCellMar>
            <w:top w:w="0" w:type="dxa"/>
            <w:left w:w="108" w:type="dxa"/>
            <w:bottom w:w="0" w:type="dxa"/>
            <w:right w:w="108" w:type="dxa"/>
          </w:tblCellMar>
        </w:tblPrEx>
        <w:trPr>
          <w:trHeight w:val="683" w:hRule="atLeast"/>
        </w:trPr>
        <w:tc>
          <w:tcPr>
            <w:tcW w:w="92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548E398">
            <w:pPr>
              <w:pStyle w:val="25"/>
              <w:spacing w:before="0" w:after="0"/>
              <w:jc w:val="center"/>
            </w:pPr>
            <w:r>
              <w:rPr>
                <w:rFonts w:ascii="Arial" w:hAnsi="Arial" w:eastAsia="Times New Roman" w:cs="Arial"/>
                <w:b/>
                <w:lang w:eastAsia="hr-HR"/>
              </w:rPr>
              <w:t xml:space="preserve">  IZVJEŠĆE O PROVEDENOM SAVJETOVANJU</w:t>
            </w:r>
          </w:p>
          <w:p w14:paraId="2B2485C9">
            <w:pPr>
              <w:pStyle w:val="25"/>
              <w:spacing w:before="0" w:after="0"/>
              <w:jc w:val="center"/>
            </w:pPr>
            <w:r>
              <w:rPr>
                <w:rFonts w:ascii="Arial" w:hAnsi="Arial" w:eastAsia="Times New Roman" w:cs="Arial"/>
                <w:b/>
                <w:lang w:eastAsia="hr-HR"/>
              </w:rPr>
              <w:t xml:space="preserve"> SA ZAINTERESIRANOM JAVNOŠĆU</w:t>
            </w:r>
          </w:p>
        </w:tc>
      </w:tr>
      <w:tr w14:paraId="162E527F">
        <w:tblPrEx>
          <w:tblCellMar>
            <w:top w:w="0" w:type="dxa"/>
            <w:left w:w="108" w:type="dxa"/>
            <w:bottom w:w="0" w:type="dxa"/>
            <w:right w:w="108" w:type="dxa"/>
          </w:tblCellMar>
        </w:tblPrEx>
        <w:tc>
          <w:tcPr>
            <w:tcW w:w="3114"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D562D6B">
            <w:pPr>
              <w:pStyle w:val="25"/>
              <w:spacing w:before="0" w:after="0"/>
            </w:pPr>
            <w:r>
              <w:rPr>
                <w:rStyle w:val="4"/>
                <w:rFonts w:ascii="Arial" w:hAnsi="Arial" w:eastAsia="Times New Roman" w:cs="Arial"/>
                <w:b/>
                <w:lang w:eastAsia="hr-HR"/>
              </w:rPr>
              <w:t>Naziv akta/dokumenta za koji je provedeno savjetovanje:</w:t>
            </w:r>
          </w:p>
        </w:tc>
        <w:tc>
          <w:tcPr>
            <w:tcW w:w="6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D2C77">
            <w:pPr>
              <w:pStyle w:val="25"/>
              <w:spacing w:before="0" w:after="0"/>
              <w:jc w:val="both"/>
            </w:pPr>
            <w:r>
              <w:rPr>
                <w:rFonts w:ascii="Arial" w:hAnsi="Arial" w:eastAsia="Times New Roman" w:cs="Arial"/>
                <w:lang w:eastAsia="hr-HR"/>
              </w:rPr>
              <w:t xml:space="preserve">Prijedlog Odluke o izmjenama i dopunama Odluke o komunalnom redu </w:t>
            </w:r>
          </w:p>
        </w:tc>
      </w:tr>
      <w:tr w14:paraId="789BEFBF">
        <w:tblPrEx>
          <w:tblCellMar>
            <w:top w:w="0" w:type="dxa"/>
            <w:left w:w="108" w:type="dxa"/>
            <w:bottom w:w="0" w:type="dxa"/>
            <w:right w:w="108" w:type="dxa"/>
          </w:tblCellMar>
        </w:tblPrEx>
        <w:trPr>
          <w:trHeight w:val="1065" w:hRule="atLeast"/>
        </w:trPr>
        <w:tc>
          <w:tcPr>
            <w:tcW w:w="3114"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3D4C33F">
            <w:pPr>
              <w:pStyle w:val="25"/>
              <w:spacing w:before="0" w:after="0"/>
            </w:pPr>
            <w:r>
              <w:rPr>
                <w:rFonts w:ascii="Arial" w:hAnsi="Arial" w:eastAsia="Times New Roman" w:cs="Arial"/>
                <w:b/>
                <w:lang w:eastAsia="hr-HR"/>
              </w:rPr>
              <w:t>Naziv tijela nadležnog za izradu nacrta / provedbu savjetovanja</w:t>
            </w:r>
          </w:p>
        </w:tc>
        <w:tc>
          <w:tcPr>
            <w:tcW w:w="6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9BDFD">
            <w:pPr>
              <w:pStyle w:val="25"/>
              <w:spacing w:before="0" w:after="0"/>
              <w:jc w:val="both"/>
            </w:pPr>
            <w:r>
              <w:rPr>
                <w:rFonts w:ascii="Arial" w:hAnsi="Arial" w:eastAsia="Times New Roman" w:cs="Arial"/>
                <w:lang w:eastAsia="hr-HR"/>
              </w:rPr>
              <w:t>Grad Dubrovnik, Upravni odjel za komunalne djelatnosti, promet, more i mjesnu samoupravu</w:t>
            </w:r>
          </w:p>
        </w:tc>
      </w:tr>
      <w:tr w14:paraId="67EA427E">
        <w:tblPrEx>
          <w:tblCellMar>
            <w:top w:w="0" w:type="dxa"/>
            <w:left w:w="108" w:type="dxa"/>
            <w:bottom w:w="0" w:type="dxa"/>
            <w:right w:w="108" w:type="dxa"/>
          </w:tblCellMar>
        </w:tblPrEx>
        <w:trPr>
          <w:trHeight w:val="1430" w:hRule="atLeast"/>
        </w:trPr>
        <w:tc>
          <w:tcPr>
            <w:tcW w:w="3114"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DC6BEFB">
            <w:pPr>
              <w:pStyle w:val="25"/>
              <w:spacing w:before="0" w:after="0"/>
            </w:pPr>
            <w:r>
              <w:rPr>
                <w:rFonts w:ascii="Arial" w:hAnsi="Arial" w:eastAsia="Times New Roman" w:cs="Arial"/>
                <w:b/>
                <w:lang w:eastAsia="hr-HR"/>
              </w:rPr>
              <w:t>Cilj i glavne teme savjetovanja</w:t>
            </w:r>
          </w:p>
        </w:tc>
        <w:tc>
          <w:tcPr>
            <w:tcW w:w="6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32BB7">
            <w:pPr>
              <w:pStyle w:val="27"/>
              <w:jc w:val="both"/>
            </w:pPr>
            <w:r>
              <w:rPr>
                <w:rStyle w:val="4"/>
                <w:rFonts w:ascii="Arial" w:hAnsi="Arial" w:cs="Arial"/>
              </w:rPr>
              <w:t>Cilj savjetovanja je uključivanje zainteresirane javnosti te dobivanje povratnih informacija na predložene odredbe prijedloga Odluke o izmjenama o dopunama Odluke o komunalnom redu</w:t>
            </w:r>
          </w:p>
        </w:tc>
      </w:tr>
      <w:tr w14:paraId="2D9A0468">
        <w:tblPrEx>
          <w:tblCellMar>
            <w:top w:w="0" w:type="dxa"/>
            <w:left w:w="108" w:type="dxa"/>
            <w:bottom w:w="0" w:type="dxa"/>
            <w:right w:w="108" w:type="dxa"/>
          </w:tblCellMar>
        </w:tblPrEx>
        <w:tc>
          <w:tcPr>
            <w:tcW w:w="3114"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0564172">
            <w:pPr>
              <w:pStyle w:val="25"/>
              <w:spacing w:before="0" w:after="0"/>
            </w:pPr>
            <w:r>
              <w:rPr>
                <w:rFonts w:ascii="Arial" w:hAnsi="Arial" w:eastAsia="Times New Roman" w:cs="Arial"/>
                <w:b/>
                <w:lang w:eastAsia="hr-HR"/>
              </w:rPr>
              <w:t>Objava dokumenta za savjetovanje</w:t>
            </w:r>
          </w:p>
          <w:p w14:paraId="7F7CBF92">
            <w:pPr>
              <w:pStyle w:val="25"/>
              <w:spacing w:before="0" w:after="0"/>
              <w:rPr>
                <w:rFonts w:ascii="Arial" w:hAnsi="Arial" w:eastAsia="Times New Roman" w:cs="Arial"/>
                <w:lang w:eastAsia="hr-HR"/>
              </w:rPr>
            </w:pPr>
          </w:p>
        </w:tc>
        <w:tc>
          <w:tcPr>
            <w:tcW w:w="6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E76F3">
            <w:pPr>
              <w:pStyle w:val="25"/>
              <w:spacing w:before="0" w:after="0"/>
              <w:jc w:val="both"/>
            </w:pPr>
            <w:r>
              <w:rPr>
                <w:rFonts w:ascii="Arial" w:hAnsi="Arial" w:cs="Arial"/>
              </w:rPr>
              <w:t>Poveznica na objavljeno savjetovanje</w:t>
            </w:r>
          </w:p>
          <w:p w14:paraId="69F89FC7">
            <w:pPr>
              <w:pStyle w:val="25"/>
              <w:spacing w:before="0" w:after="0"/>
              <w:jc w:val="both"/>
            </w:pPr>
            <w:r>
              <w:rPr>
                <w:rStyle w:val="4"/>
                <w:rFonts w:ascii="Arial" w:hAnsi="Arial" w:cs="Arial"/>
              </w:rPr>
              <w:t>https://www.dubrovnik.hr/savjetovanje-s-javnoscu</w:t>
            </w:r>
          </w:p>
        </w:tc>
      </w:tr>
      <w:tr w14:paraId="5019174E">
        <w:tblPrEx>
          <w:tblCellMar>
            <w:top w:w="0" w:type="dxa"/>
            <w:left w:w="108" w:type="dxa"/>
            <w:bottom w:w="0" w:type="dxa"/>
            <w:right w:w="108" w:type="dxa"/>
          </w:tblCellMar>
        </w:tblPrEx>
        <w:trPr>
          <w:trHeight w:val="1144" w:hRule="atLeast"/>
        </w:trPr>
        <w:tc>
          <w:tcPr>
            <w:tcW w:w="3114"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3216CC1">
            <w:pPr>
              <w:pStyle w:val="25"/>
              <w:spacing w:before="0" w:after="0"/>
              <w:rPr>
                <w:rFonts w:ascii="Arial" w:hAnsi="Arial" w:eastAsia="Times New Roman" w:cs="Arial"/>
                <w:lang w:eastAsia="hr-HR"/>
              </w:rPr>
            </w:pPr>
          </w:p>
          <w:p w14:paraId="47F0F6EE">
            <w:pPr>
              <w:pStyle w:val="25"/>
              <w:spacing w:before="0" w:after="0"/>
            </w:pPr>
            <w:r>
              <w:rPr>
                <w:rFonts w:ascii="Arial" w:hAnsi="Arial" w:eastAsia="Times New Roman" w:cs="Arial"/>
                <w:b/>
                <w:lang w:eastAsia="hr-HR"/>
              </w:rPr>
              <w:t>Razdoblje provedbe savjetovanja</w:t>
            </w:r>
          </w:p>
        </w:tc>
        <w:tc>
          <w:tcPr>
            <w:tcW w:w="6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75922">
            <w:pPr>
              <w:pStyle w:val="25"/>
              <w:spacing w:before="0" w:after="0"/>
              <w:jc w:val="both"/>
            </w:pPr>
            <w:r>
              <w:rPr>
                <w:rFonts w:ascii="Arial" w:hAnsi="Arial" w:eastAsia="Times New Roman" w:cs="Arial"/>
                <w:iCs/>
                <w:lang w:eastAsia="hr-HR"/>
              </w:rPr>
              <w:t>12. siječnja 2026. – 11. veljače 2026.</w:t>
            </w:r>
          </w:p>
        </w:tc>
      </w:tr>
      <w:tr w14:paraId="4B27C1A8">
        <w:tblPrEx>
          <w:tblCellMar>
            <w:top w:w="0" w:type="dxa"/>
            <w:left w:w="108" w:type="dxa"/>
            <w:bottom w:w="0" w:type="dxa"/>
            <w:right w:w="108" w:type="dxa"/>
          </w:tblCellMar>
        </w:tblPrEx>
        <w:trPr>
          <w:trHeight w:val="2684" w:hRule="atLeast"/>
        </w:trPr>
        <w:tc>
          <w:tcPr>
            <w:tcW w:w="3114"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49CFD06">
            <w:pPr>
              <w:pStyle w:val="25"/>
              <w:spacing w:before="0" w:after="0"/>
              <w:rPr>
                <w:rFonts w:ascii="Arial" w:hAnsi="Arial" w:eastAsia="Times New Roman" w:cs="Arial"/>
                <w:lang w:eastAsia="hr-HR"/>
              </w:rPr>
            </w:pPr>
          </w:p>
          <w:p w14:paraId="7EA3E035">
            <w:pPr>
              <w:pStyle w:val="25"/>
              <w:spacing w:before="0" w:after="0"/>
            </w:pPr>
            <w:r>
              <w:rPr>
                <w:rFonts w:ascii="Arial" w:hAnsi="Arial" w:eastAsia="Times New Roman" w:cs="Arial"/>
                <w:b/>
                <w:lang w:eastAsia="hr-HR"/>
              </w:rPr>
              <w:t>Pregled osnovnih pokazatelja uključenosti savjetovanja s javnošću</w:t>
            </w:r>
          </w:p>
          <w:p w14:paraId="19C7D38C">
            <w:pPr>
              <w:pStyle w:val="25"/>
              <w:spacing w:before="0" w:after="0"/>
              <w:rPr>
                <w:rFonts w:ascii="Arial" w:hAnsi="Arial" w:eastAsia="Times New Roman" w:cs="Arial"/>
                <w:lang w:eastAsia="hr-HR"/>
              </w:rPr>
            </w:pPr>
          </w:p>
        </w:tc>
        <w:tc>
          <w:tcPr>
            <w:tcW w:w="6095"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768F80B">
            <w:pPr>
              <w:pStyle w:val="25"/>
              <w:spacing w:before="0" w:after="0"/>
              <w:jc w:val="both"/>
              <w:rPr>
                <w:rFonts w:ascii="Arial" w:hAnsi="Arial" w:eastAsia="Times New Roman" w:cs="Arial"/>
                <w:lang w:eastAsia="hr-HR"/>
              </w:rPr>
            </w:pPr>
          </w:p>
          <w:p w14:paraId="5590416D">
            <w:pPr>
              <w:pStyle w:val="28"/>
            </w:pPr>
            <w:r>
              <w:rPr>
                <w:rFonts w:ascii="Arial" w:hAnsi="Arial" w:cs="Arial"/>
                <w:sz w:val="22"/>
                <w:szCs w:val="22"/>
              </w:rPr>
              <w:t>U postupku javnog savjetovanja zaprimljeno je ukupno 10 prijedloga, odnosno načelnih mišljenja. Prema strukturi sudionika, u savjetovanju je sudjelovalo 9 fizičkih osoba i 1 pravna osoba.</w:t>
            </w:r>
          </w:p>
          <w:p w14:paraId="0AA99390">
            <w:pPr>
              <w:pStyle w:val="25"/>
              <w:spacing w:before="0" w:after="0"/>
              <w:jc w:val="both"/>
              <w:rPr>
                <w:rFonts w:ascii="Arial" w:hAnsi="Arial" w:eastAsia="Times New Roman" w:cs="Arial"/>
                <w:lang w:eastAsia="hr-HR"/>
              </w:rPr>
            </w:pPr>
          </w:p>
        </w:tc>
      </w:tr>
    </w:tbl>
    <w:p w14:paraId="5B96FB6A">
      <w:pPr>
        <w:pStyle w:val="25"/>
        <w:spacing w:before="0" w:after="0"/>
        <w:rPr>
          <w:vanish/>
        </w:rPr>
      </w:pPr>
    </w:p>
    <w:tbl>
      <w:tblPr>
        <w:tblStyle w:val="3"/>
        <w:tblW w:w="0" w:type="auto"/>
        <w:tblInd w:w="103" w:type="dxa"/>
        <w:tblLayout w:type="fixed"/>
        <w:tblCellMar>
          <w:top w:w="0" w:type="dxa"/>
          <w:left w:w="108" w:type="dxa"/>
          <w:bottom w:w="0" w:type="dxa"/>
          <w:right w:w="108" w:type="dxa"/>
        </w:tblCellMar>
      </w:tblPr>
      <w:tblGrid>
        <w:gridCol w:w="709"/>
        <w:gridCol w:w="1559"/>
        <w:gridCol w:w="1418"/>
        <w:gridCol w:w="3969"/>
        <w:gridCol w:w="1559"/>
      </w:tblGrid>
      <w:tr w14:paraId="7815E244">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6788A">
            <w:pPr>
              <w:pStyle w:val="25"/>
              <w:spacing w:before="0" w:after="0"/>
            </w:pPr>
            <w:r>
              <w:rPr>
                <w:rFonts w:ascii="Arial" w:hAnsi="Arial" w:cs="Arial"/>
                <w:lang w:val="en-US"/>
              </w:rPr>
              <w:t>Redni broj</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4C159">
            <w:pPr>
              <w:pStyle w:val="25"/>
              <w:spacing w:before="0" w:after="0"/>
            </w:pPr>
            <w:r>
              <w:rPr>
                <w:rFonts w:ascii="Arial" w:hAnsi="Arial" w:cs="Arial"/>
                <w:color w:val="000000"/>
                <w:lang w:val="en-US"/>
              </w:rPr>
              <w:t>Naziv dionika (pojedinac, organizacija, institucija)</w:t>
            </w:r>
          </w:p>
          <w:p w14:paraId="5892714F">
            <w:pPr>
              <w:pStyle w:val="25"/>
              <w:spacing w:before="0" w:after="0"/>
              <w:rPr>
                <w:rFonts w:ascii="Arial" w:hAnsi="Arial" w:cs="Arial"/>
                <w:lang w:val="en-US"/>
              </w:rPr>
            </w:pP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BB2FD">
            <w:pPr>
              <w:pStyle w:val="25"/>
              <w:spacing w:before="0" w:after="0"/>
            </w:pPr>
            <w:r>
              <w:rPr>
                <w:rFonts w:ascii="Arial" w:hAnsi="Arial" w:cs="Arial"/>
                <w:color w:val="000000"/>
                <w:lang w:val="en-US"/>
              </w:rPr>
              <w:t>Članak na koji se odnosi prijedlog/mišljenje/ primjedba, te načelni prijedlog/</w:t>
            </w:r>
          </w:p>
          <w:p w14:paraId="07D19D88">
            <w:pPr>
              <w:pStyle w:val="25"/>
              <w:spacing w:before="0" w:after="0"/>
            </w:pPr>
            <w:r>
              <w:rPr>
                <w:rFonts w:ascii="Arial" w:hAnsi="Arial" w:cs="Arial"/>
                <w:color w:val="000000"/>
                <w:lang w:val="en-US"/>
              </w:rPr>
              <w:t>Mišljenje/ primjedba na nacrt Odluke</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D79EA">
            <w:pPr>
              <w:pStyle w:val="25"/>
              <w:spacing w:before="0" w:after="0"/>
              <w:jc w:val="center"/>
            </w:pPr>
            <w:r>
              <w:rPr>
                <w:rFonts w:ascii="Arial" w:hAnsi="Arial" w:cs="Arial"/>
                <w:color w:val="000000"/>
                <w:lang w:val="en-US"/>
              </w:rPr>
              <w:t>Tekst primjedbe/prijedloga</w:t>
            </w:r>
          </w:p>
          <w:p w14:paraId="7FBE0D27">
            <w:pPr>
              <w:pStyle w:val="25"/>
              <w:spacing w:before="0" w:after="0"/>
              <w:jc w:val="both"/>
              <w:rPr>
                <w:rFonts w:ascii="Arial" w:hAnsi="Arial" w:cs="Arial"/>
                <w:lang w:val="en-US"/>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F2BED">
            <w:pPr>
              <w:pStyle w:val="25"/>
              <w:spacing w:before="0" w:after="0"/>
            </w:pPr>
            <w:r>
              <w:rPr>
                <w:rFonts w:ascii="Arial" w:hAnsi="Arial" w:cs="Arial"/>
                <w:color w:val="000000"/>
                <w:lang w:val="en-US"/>
              </w:rPr>
              <w:t>Prihvaćanje/ neprihvaćanje primjedbe ili prijedloga</w:t>
            </w:r>
          </w:p>
          <w:p w14:paraId="39458C16">
            <w:pPr>
              <w:pStyle w:val="25"/>
              <w:spacing w:before="0" w:after="0"/>
              <w:rPr>
                <w:rFonts w:ascii="Arial" w:hAnsi="Arial" w:cs="Arial"/>
                <w:lang w:val="en-US"/>
              </w:rPr>
            </w:pPr>
          </w:p>
        </w:tc>
      </w:tr>
      <w:tr w14:paraId="12D57142">
        <w:tblPrEx>
          <w:tblCellMar>
            <w:top w:w="0" w:type="dxa"/>
            <w:left w:w="108" w:type="dxa"/>
            <w:bottom w:w="0" w:type="dxa"/>
            <w:right w:w="108" w:type="dxa"/>
          </w:tblCellMar>
        </w:tblPrEx>
        <w:trPr>
          <w:trHeight w:val="8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C167C6E">
            <w:pPr>
              <w:pStyle w:val="25"/>
              <w:spacing w:before="0" w:after="0"/>
            </w:pPr>
            <w:r>
              <w:rPr>
                <w:rFonts w:ascii="Arial" w:hAnsi="Arial" w:cs="Arial"/>
                <w:color w:val="000000"/>
                <w:lang w:val="en-US"/>
              </w:rPr>
              <w:t>1.</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CC88519">
            <w:pPr>
              <w:pStyle w:val="25"/>
              <w:spacing w:before="0" w:after="0"/>
              <w:jc w:val="both"/>
            </w:pPr>
            <w:r>
              <w:rPr>
                <w:rFonts w:ascii="Arial" w:hAnsi="Arial" w:eastAsia="Times New Roman" w:cs="Arial"/>
                <w:sz w:val="20"/>
                <w:szCs w:val="20"/>
                <w:lang w:val="en-US" w:eastAsia="hr-HR"/>
              </w:rPr>
              <w:t>Tomislav Margaretić</w:t>
            </w:r>
          </w:p>
          <w:p w14:paraId="787B7146">
            <w:pPr>
              <w:pStyle w:val="25"/>
              <w:autoSpaceDE w:val="0"/>
              <w:spacing w:before="0" w:after="0"/>
              <w:jc w:val="both"/>
            </w:pPr>
            <w:r>
              <w:rPr>
                <w:rStyle w:val="4"/>
                <w:rFonts w:ascii="Arial" w:hAnsi="Arial" w:cs="Arial"/>
                <w:sz w:val="20"/>
                <w:szCs w:val="20"/>
                <w:lang w:val="en-US"/>
              </w:rPr>
              <w:t>Građanin – fizička osoba (pojedinac)</w:t>
            </w:r>
          </w:p>
          <w:p w14:paraId="78195764">
            <w:pPr>
              <w:pStyle w:val="25"/>
              <w:spacing w:before="0" w:after="0"/>
              <w:jc w:val="both"/>
              <w:rPr>
                <w:rFonts w:ascii="Arial" w:hAnsi="Arial" w:cs="Arial"/>
                <w:color w:val="000000"/>
                <w:lang w:val="en-US"/>
              </w:rPr>
            </w:pP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BCF0D01">
            <w:pPr>
              <w:pStyle w:val="27"/>
            </w:pPr>
            <w:r>
              <w:rPr>
                <w:rStyle w:val="4"/>
                <w:rFonts w:ascii="Arial" w:hAnsi="Arial" w:cs="Arial"/>
                <w:sz w:val="20"/>
                <w:szCs w:val="20"/>
                <w:lang w:val="en-US" w:eastAsia="en-US"/>
              </w:rPr>
              <w:t xml:space="preserve">Prijedlozi se odnose na </w:t>
            </w:r>
            <w:r>
              <w:rPr>
                <w:rStyle w:val="5"/>
                <w:rFonts w:ascii="Arial" w:hAnsi="Arial" w:cs="Arial"/>
                <w:sz w:val="20"/>
                <w:szCs w:val="20"/>
                <w:lang w:val="en-US" w:eastAsia="en-US"/>
              </w:rPr>
              <w:t>članke 4. i 5. Prijedloga Odluke</w:t>
            </w:r>
            <w:r>
              <w:rPr>
                <w:rStyle w:val="4"/>
                <w:rFonts w:ascii="Arial" w:hAnsi="Arial" w:cs="Arial"/>
                <w:b/>
                <w:bCs/>
                <w:sz w:val="20"/>
                <w:szCs w:val="20"/>
                <w:lang w:val="en-US" w:eastAsia="en-US"/>
              </w:rPr>
              <w:t>,</w:t>
            </w:r>
            <w:r>
              <w:rPr>
                <w:rStyle w:val="4"/>
                <w:rFonts w:ascii="Arial" w:hAnsi="Arial" w:cs="Arial"/>
                <w:sz w:val="20"/>
                <w:szCs w:val="20"/>
                <w:lang w:val="en-US" w:eastAsia="en-US"/>
              </w:rPr>
              <w:t xml:space="preserve"> kojima se dopunjuju i dodaju </w:t>
            </w:r>
            <w:r>
              <w:rPr>
                <w:rStyle w:val="5"/>
                <w:rFonts w:ascii="Arial" w:hAnsi="Arial" w:cs="Arial"/>
                <w:sz w:val="20"/>
                <w:szCs w:val="20"/>
                <w:lang w:val="en-US" w:eastAsia="en-US"/>
              </w:rPr>
              <w:t>članci 26., 26.a i 26.b</w:t>
            </w:r>
            <w:r>
              <w:rPr>
                <w:rStyle w:val="4"/>
                <w:rFonts w:ascii="Arial" w:hAnsi="Arial" w:cs="Arial"/>
                <w:b/>
                <w:bCs/>
                <w:sz w:val="20"/>
                <w:szCs w:val="20"/>
                <w:lang w:val="en-US" w:eastAsia="en-US"/>
              </w:rPr>
              <w:t xml:space="preserve">. </w:t>
            </w:r>
            <w:r>
              <w:rPr>
                <w:rStyle w:val="4"/>
                <w:rFonts w:ascii="Arial" w:hAnsi="Arial" w:cs="Arial"/>
                <w:sz w:val="20"/>
                <w:szCs w:val="20"/>
                <w:lang w:val="en-US" w:eastAsia="en-US"/>
              </w:rPr>
              <w:t>koji su detaljno pojašnjeni slijedećom stavkom.</w:t>
            </w:r>
          </w:p>
          <w:p w14:paraId="2E0C8A88">
            <w:pPr>
              <w:pStyle w:val="25"/>
              <w:spacing w:before="0" w:after="0"/>
              <w:rPr>
                <w:rFonts w:ascii="Arial" w:hAnsi="Arial" w:cs="Arial"/>
                <w:color w:val="000000"/>
                <w:lang w:val="en-US"/>
              </w:rPr>
            </w:pP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DA5A921">
            <w:pPr>
              <w:pStyle w:val="28"/>
              <w:numPr>
                <w:ilvl w:val="0"/>
                <w:numId w:val="1"/>
              </w:numPr>
              <w:spacing w:before="80" w:after="160"/>
              <w:ind w:left="714" w:right="0" w:hanging="357"/>
              <w:jc w:val="both"/>
            </w:pPr>
            <w:r>
              <w:rPr>
                <w:rStyle w:val="4"/>
                <w:rFonts w:ascii="Arial" w:hAnsi="Arial" w:cs="Arial"/>
                <w:sz w:val="21"/>
                <w:szCs w:val="21"/>
                <w:lang w:val="en-US"/>
              </w:rPr>
              <w:t xml:space="preserve">Ovim putem iznosim primjedbu na članak 4. Prijedloga odluke o izmjenama i dopunama odluke o komunalnom redu Grada Dubrovnika kojim se u Odluci u članku 26., iza stavka 2. dodaju stavci kojim se predviđa da se odobrenje za pokretne naprave koji se mogu  postavljati na površinama u privatnom vlasništvu daje na rok od 6 mjeseci, s mogućnošću obnavljanja. Smatram da je ovo </w:t>
            </w:r>
            <w:r>
              <w:rPr>
                <w:rStyle w:val="5"/>
                <w:rFonts w:ascii="Arial" w:hAnsi="Arial" w:cs="Arial"/>
                <w:b w:val="0"/>
                <w:bCs w:val="0"/>
                <w:sz w:val="21"/>
                <w:szCs w:val="21"/>
                <w:lang w:val="en-US"/>
              </w:rPr>
              <w:t>neosnovano kratko</w:t>
            </w:r>
            <w:r>
              <w:rPr>
                <w:rStyle w:val="4"/>
                <w:rFonts w:ascii="Arial" w:hAnsi="Arial" w:cs="Arial"/>
                <w:sz w:val="21"/>
                <w:szCs w:val="21"/>
                <w:lang w:val="en-US"/>
              </w:rPr>
              <w:t xml:space="preserve">, posebno u usporedbi s </w:t>
            </w:r>
            <w:r>
              <w:rPr>
                <w:rStyle w:val="5"/>
                <w:rFonts w:ascii="Arial" w:hAnsi="Arial" w:cs="Arial"/>
                <w:b w:val="0"/>
                <w:bCs w:val="0"/>
                <w:sz w:val="21"/>
                <w:szCs w:val="21"/>
                <w:lang w:val="en-US"/>
              </w:rPr>
              <w:t>Odlukom o zakupu javnih površina Grada Dubrovnika (Službeni glasnik 26/24), članak 23., gdje se odobrenje za zakup javnih površina za kioske u kojima se prodaju prehrambeni i neprehrambeni proizvodi te pružaju jednostavne ugostiteljske usluge članak 5. stavak 1. daje na rok do 5 godina</w:t>
            </w:r>
            <w:r>
              <w:rPr>
                <w:rStyle w:val="4"/>
                <w:rFonts w:ascii="Arial" w:hAnsi="Arial" w:cs="Arial"/>
                <w:sz w:val="21"/>
                <w:szCs w:val="21"/>
                <w:lang w:val="en-US"/>
              </w:rPr>
              <w:t>. Predlažem da se i odobrenje za privatno zemljište uskladi s tim pravilima, kako bi podnositelji zahtjeva imali razuman rok i pravnu sigurnost, uz mogućnost obnavljanja.</w:t>
            </w:r>
          </w:p>
          <w:p w14:paraId="6B1DABAF">
            <w:pPr>
              <w:pStyle w:val="28"/>
              <w:numPr>
                <w:ilvl w:val="0"/>
                <w:numId w:val="1"/>
              </w:numPr>
              <w:spacing w:before="80" w:after="160"/>
              <w:ind w:left="714" w:right="0" w:hanging="357"/>
              <w:jc w:val="both"/>
            </w:pPr>
            <w:r>
              <w:rPr>
                <w:rStyle w:val="5"/>
                <w:rFonts w:ascii="Arial" w:hAnsi="Arial" w:cs="Arial"/>
                <w:b w:val="0"/>
                <w:bCs w:val="0"/>
                <w:sz w:val="21"/>
                <w:szCs w:val="21"/>
                <w:lang w:val="en-US"/>
              </w:rPr>
              <w:t>Primjedba na članak 26.a Prijedloga odluke o najvećoj dopuštenoj površini pokretnih naprava</w:t>
            </w:r>
          </w:p>
          <w:p w14:paraId="2BA128B8">
            <w:pPr>
              <w:pStyle w:val="28"/>
              <w:ind w:left="708" w:right="0" w:firstLine="0"/>
              <w:jc w:val="both"/>
            </w:pPr>
            <w:r>
              <w:rPr>
                <w:rStyle w:val="4"/>
                <w:rFonts w:ascii="Arial" w:hAnsi="Arial" w:cs="Arial"/>
                <w:sz w:val="21"/>
                <w:szCs w:val="21"/>
                <w:lang w:val="en-US"/>
              </w:rPr>
              <w:t xml:space="preserve">Članak 26.a propisuje da </w:t>
            </w:r>
            <w:r>
              <w:rPr>
                <w:rStyle w:val="5"/>
                <w:rFonts w:ascii="Arial" w:hAnsi="Arial" w:cs="Arial"/>
                <w:b w:val="0"/>
                <w:bCs w:val="0"/>
                <w:sz w:val="21"/>
                <w:szCs w:val="21"/>
                <w:lang w:val="en-US"/>
              </w:rPr>
              <w:t>najveća dozvoljena površina pokretnih naprava iznosi 12 m²</w:t>
            </w:r>
            <w:r>
              <w:rPr>
                <w:rStyle w:val="4"/>
                <w:rFonts w:ascii="Arial" w:hAnsi="Arial" w:cs="Arial"/>
                <w:sz w:val="21"/>
                <w:szCs w:val="21"/>
                <w:lang w:val="en-US"/>
              </w:rPr>
              <w:t xml:space="preserve">. Smatram da je ovaj limit </w:t>
            </w:r>
            <w:r>
              <w:rPr>
                <w:rStyle w:val="5"/>
                <w:rFonts w:ascii="Arial" w:hAnsi="Arial" w:cs="Arial"/>
                <w:b w:val="0"/>
                <w:bCs w:val="0"/>
                <w:sz w:val="21"/>
                <w:szCs w:val="21"/>
                <w:lang w:val="en-US"/>
              </w:rPr>
              <w:t>neadekvatan i nerazmjeran</w:t>
            </w:r>
            <w:r>
              <w:rPr>
                <w:rStyle w:val="4"/>
                <w:rFonts w:ascii="Arial" w:hAnsi="Arial" w:cs="Arial"/>
                <w:sz w:val="21"/>
                <w:szCs w:val="21"/>
                <w:lang w:val="en-US"/>
              </w:rPr>
              <w:t xml:space="preserve"> u usporedbi s praksom za kioske na javnim površinama, budući da </w:t>
            </w:r>
            <w:r>
              <w:rPr>
                <w:rStyle w:val="5"/>
                <w:rFonts w:ascii="Arial" w:hAnsi="Arial" w:cs="Arial"/>
                <w:b w:val="0"/>
                <w:bCs w:val="0"/>
                <w:sz w:val="21"/>
                <w:szCs w:val="21"/>
                <w:lang w:val="en-US"/>
              </w:rPr>
              <w:t>Odluka o zakupu javnih površina Grada Dubrovnika, članak 6., propisuje da kiosci mogu imati površinu do 15 m²</w:t>
            </w:r>
            <w:r>
              <w:rPr>
                <w:rStyle w:val="4"/>
                <w:rFonts w:ascii="Arial" w:hAnsi="Arial" w:cs="Arial"/>
                <w:sz w:val="21"/>
                <w:szCs w:val="21"/>
                <w:lang w:val="en-US"/>
              </w:rPr>
              <w:t>.</w:t>
            </w:r>
          </w:p>
          <w:p w14:paraId="6A50B0B5">
            <w:pPr>
              <w:pStyle w:val="28"/>
              <w:ind w:left="708" w:right="0" w:firstLine="0"/>
              <w:jc w:val="both"/>
            </w:pPr>
            <w:r>
              <w:rPr>
                <w:rStyle w:val="4"/>
                <w:rFonts w:ascii="Arial" w:hAnsi="Arial" w:cs="Arial"/>
                <w:sz w:val="21"/>
                <w:szCs w:val="21"/>
                <w:lang w:val="en-US"/>
              </w:rPr>
              <w:t xml:space="preserve">Također, s obzirom na </w:t>
            </w:r>
            <w:r>
              <w:rPr>
                <w:rStyle w:val="5"/>
                <w:rFonts w:ascii="Arial" w:hAnsi="Arial" w:cs="Arial"/>
                <w:b w:val="0"/>
                <w:bCs w:val="0"/>
                <w:sz w:val="21"/>
                <w:szCs w:val="21"/>
                <w:lang w:val="en-US"/>
              </w:rPr>
              <w:t>ponudu pokretnih vozila na hrvatskom tržištu</w:t>
            </w:r>
            <w:r>
              <w:rPr>
                <w:rStyle w:val="4"/>
                <w:rFonts w:ascii="Arial" w:hAnsi="Arial" w:cs="Arial"/>
                <w:sz w:val="21"/>
                <w:szCs w:val="21"/>
                <w:lang w:val="en-US"/>
              </w:rPr>
              <w:t xml:space="preserve">, većina standardnih prikolica i pokretnih objekata namijenjenih ugostiteljstvu i prodaji proizvoda ima površinu od </w:t>
            </w:r>
            <w:r>
              <w:rPr>
                <w:rStyle w:val="5"/>
                <w:rFonts w:ascii="Arial" w:hAnsi="Arial" w:cs="Arial"/>
                <w:b w:val="0"/>
                <w:bCs w:val="0"/>
                <w:sz w:val="21"/>
                <w:szCs w:val="21"/>
                <w:lang w:val="en-US"/>
              </w:rPr>
              <w:t>12–15 m²</w:t>
            </w:r>
            <w:r>
              <w:rPr>
                <w:rStyle w:val="4"/>
                <w:rFonts w:ascii="Arial" w:hAnsi="Arial" w:cs="Arial"/>
                <w:sz w:val="21"/>
                <w:szCs w:val="21"/>
                <w:lang w:val="en-US"/>
              </w:rPr>
              <w:t>, pa trenutačni limit od 12 m² praktično ograničava mogućnosti podnositelja zahtjeva i ne odgovara tržišnim standardima. Navodim web stranicu hrvatskog proizvođača na kojoj su nevedene dimenzije pokretnih vozila http://apparis.hr/mobilne-prikolice/</w:t>
            </w:r>
          </w:p>
          <w:p w14:paraId="0832B659">
            <w:pPr>
              <w:pStyle w:val="28"/>
              <w:ind w:left="708" w:right="0" w:firstLine="0"/>
              <w:jc w:val="both"/>
            </w:pPr>
            <w:r>
              <w:rPr>
                <w:rStyle w:val="4"/>
                <w:rFonts w:ascii="Arial" w:hAnsi="Arial" w:cs="Arial"/>
                <w:sz w:val="21"/>
                <w:szCs w:val="21"/>
                <w:lang w:val="en-US"/>
              </w:rPr>
              <w:t xml:space="preserve">Predlažem da se članak 26.a </w:t>
            </w:r>
            <w:r>
              <w:rPr>
                <w:rStyle w:val="5"/>
                <w:rFonts w:ascii="Arial" w:hAnsi="Arial" w:cs="Arial"/>
                <w:b w:val="0"/>
                <w:bCs w:val="0"/>
                <w:sz w:val="21"/>
                <w:szCs w:val="21"/>
                <w:lang w:val="en-US"/>
              </w:rPr>
              <w:t>uskladi s člankom 6. Odluke o zakupu javnih površina</w:t>
            </w:r>
            <w:r>
              <w:rPr>
                <w:rStyle w:val="4"/>
                <w:rFonts w:ascii="Arial" w:hAnsi="Arial" w:cs="Arial"/>
                <w:sz w:val="21"/>
                <w:szCs w:val="21"/>
                <w:lang w:val="en-US"/>
              </w:rPr>
              <w:t xml:space="preserve"> te tržišnim standardima, tako da </w:t>
            </w:r>
            <w:r>
              <w:rPr>
                <w:rStyle w:val="5"/>
                <w:rFonts w:ascii="Arial" w:hAnsi="Arial" w:cs="Arial"/>
                <w:b w:val="0"/>
                <w:bCs w:val="0"/>
                <w:sz w:val="21"/>
                <w:szCs w:val="21"/>
                <w:lang w:val="en-US"/>
              </w:rPr>
              <w:t>najveća dopuštena površina pokretnih objekata iznosi 15 m²</w:t>
            </w:r>
            <w:r>
              <w:rPr>
                <w:rStyle w:val="4"/>
                <w:rFonts w:ascii="Arial" w:hAnsi="Arial" w:cs="Arial"/>
                <w:sz w:val="21"/>
                <w:szCs w:val="21"/>
                <w:lang w:val="en-US"/>
              </w:rPr>
              <w:t>, čime se postiže proporcionalnost i praktična provedivost.</w:t>
            </w:r>
          </w:p>
          <w:p w14:paraId="7EB4BB58">
            <w:pPr>
              <w:pStyle w:val="28"/>
              <w:numPr>
                <w:ilvl w:val="0"/>
                <w:numId w:val="1"/>
              </w:numPr>
              <w:jc w:val="both"/>
            </w:pPr>
            <w:r>
              <w:rPr>
                <w:rFonts w:ascii="Arial" w:hAnsi="Arial" w:cs="Arial"/>
                <w:sz w:val="21"/>
                <w:szCs w:val="21"/>
                <w:lang w:val="en-US"/>
              </w:rPr>
              <w:t>Primjedba na članak 26.b Prijedloga odluke o izmjenama i dopunama odluke o komunalnom redu Grada Dubrovnika. Smatram da trenutna odredba predstavlja proceduralnu prepreku jer zahtijeva:</w:t>
            </w:r>
          </w:p>
          <w:p w14:paraId="380BF32A">
            <w:pPr>
              <w:pStyle w:val="28"/>
              <w:numPr>
                <w:ilvl w:val="0"/>
                <w:numId w:val="2"/>
              </w:numPr>
              <w:jc w:val="both"/>
            </w:pPr>
            <w:r>
              <w:rPr>
                <w:rStyle w:val="5"/>
                <w:rFonts w:ascii="Arial" w:hAnsi="Arial" w:cs="Arial"/>
                <w:b w:val="0"/>
                <w:bCs w:val="0"/>
                <w:sz w:val="21"/>
                <w:szCs w:val="21"/>
                <w:lang w:val="en-US"/>
              </w:rPr>
              <w:t>Rješenje nadležnog ureda županije o ispunjavanju minimalnih tehničkih uvjeta i općih sanitarnih i zdravstvenih uvjeta</w:t>
            </w:r>
            <w:r>
              <w:rPr>
                <w:rStyle w:val="4"/>
                <w:rFonts w:ascii="Arial" w:hAnsi="Arial" w:cs="Arial"/>
                <w:sz w:val="21"/>
                <w:szCs w:val="21"/>
                <w:lang w:val="en-US"/>
              </w:rPr>
              <w:t xml:space="preserve"> prije izdavanja suglasnosti lokalne samouprave. </w:t>
            </w:r>
          </w:p>
          <w:p w14:paraId="6B70731A">
            <w:pPr>
              <w:pStyle w:val="28"/>
              <w:ind w:left="720" w:right="0" w:firstLine="0"/>
              <w:jc w:val="both"/>
            </w:pPr>
            <w:r>
              <w:rPr>
                <w:rStyle w:val="4"/>
                <w:rFonts w:ascii="Arial" w:hAnsi="Arial" w:cs="Arial"/>
                <w:sz w:val="21"/>
                <w:szCs w:val="21"/>
                <w:lang w:val="en-US"/>
              </w:rPr>
              <w:t xml:space="preserve">Napominjem da </w:t>
            </w:r>
            <w:r>
              <w:rPr>
                <w:rStyle w:val="5"/>
                <w:rFonts w:ascii="Arial" w:hAnsi="Arial" w:cs="Arial"/>
                <w:b w:val="0"/>
                <w:bCs w:val="0"/>
                <w:sz w:val="21"/>
                <w:szCs w:val="21"/>
                <w:lang w:val="en-US"/>
              </w:rPr>
              <w:t>Zakon o ugostiteljskoj djelatnosti (Narodne novine broj: 85/15, 121/16, 99/18, 25/19, 98/19, 32/20, 42/20, 126/21, 152/24) članak 14. stavak 1., propisuje da se na privatnom zemljištu ugostiteljski objekti u nepokretnom ili priključnom vozilu mogu postaviti samo uz prethodno odobrenje lokalne samouprave</w:t>
            </w:r>
            <w:r>
              <w:rPr>
                <w:rStyle w:val="4"/>
                <w:rFonts w:ascii="Arial" w:hAnsi="Arial" w:cs="Arial"/>
                <w:sz w:val="21"/>
                <w:szCs w:val="21"/>
                <w:lang w:val="en-US"/>
              </w:rPr>
              <w:t xml:space="preserve">. Stoga nadležni ured županije </w:t>
            </w:r>
            <w:r>
              <w:rPr>
                <w:rStyle w:val="5"/>
                <w:rFonts w:ascii="Arial" w:hAnsi="Arial" w:cs="Arial"/>
                <w:b w:val="0"/>
                <w:bCs w:val="0"/>
                <w:sz w:val="21"/>
                <w:szCs w:val="21"/>
                <w:lang w:val="en-US"/>
              </w:rPr>
              <w:t>ne može provjeriti minimalne tehničke uvjete prije izdavanja suglasnosti</w:t>
            </w:r>
            <w:r>
              <w:rPr>
                <w:rStyle w:val="4"/>
                <w:rFonts w:ascii="Arial" w:hAnsi="Arial" w:cs="Arial"/>
                <w:sz w:val="21"/>
                <w:szCs w:val="21"/>
                <w:lang w:val="en-US"/>
              </w:rPr>
              <w:t>, čime je praktično onemogućen podnositelj zahtjeva da ispuni sve zakonom propisane uvjete.</w:t>
            </w:r>
          </w:p>
          <w:p w14:paraId="2FBA148E">
            <w:pPr>
              <w:pStyle w:val="28"/>
              <w:numPr>
                <w:ilvl w:val="0"/>
                <w:numId w:val="2"/>
              </w:numPr>
              <w:jc w:val="both"/>
            </w:pPr>
            <w:r>
              <w:rPr>
                <w:rStyle w:val="5"/>
                <w:rFonts w:ascii="Arial" w:hAnsi="Arial" w:cs="Arial"/>
                <w:b w:val="0"/>
                <w:bCs w:val="0"/>
                <w:sz w:val="21"/>
                <w:szCs w:val="21"/>
                <w:lang w:val="en-US"/>
              </w:rPr>
              <w:t>Opis priključka na elektromrežu i atest elektroinstalacija</w:t>
            </w:r>
            <w:r>
              <w:rPr>
                <w:rStyle w:val="4"/>
                <w:rFonts w:ascii="Arial" w:hAnsi="Arial" w:cs="Arial"/>
                <w:sz w:val="21"/>
                <w:szCs w:val="21"/>
                <w:lang w:val="en-US"/>
              </w:rPr>
              <w:t xml:space="preserve">, koji se u praksi već razrađuje kroz postupak ispunjavanja minimalnih tehničkih uvjeta, pa njegovo zasebno traženje u zahtjevu predstavlja </w:t>
            </w:r>
            <w:r>
              <w:rPr>
                <w:rStyle w:val="5"/>
                <w:rFonts w:ascii="Arial" w:hAnsi="Arial" w:cs="Arial"/>
                <w:b w:val="0"/>
                <w:bCs w:val="0"/>
                <w:sz w:val="21"/>
                <w:szCs w:val="21"/>
                <w:lang w:val="en-US"/>
              </w:rPr>
              <w:t>sukob s procedurom jer se navedeno mora zadovoljiti kroz minimalne tehničke uvjete</w:t>
            </w:r>
            <w:r>
              <w:rPr>
                <w:rStyle w:val="4"/>
                <w:rFonts w:ascii="Arial" w:hAnsi="Arial" w:cs="Arial"/>
                <w:sz w:val="21"/>
                <w:szCs w:val="21"/>
                <w:lang w:val="en-US"/>
              </w:rPr>
              <w:t>.</w:t>
            </w:r>
          </w:p>
          <w:p w14:paraId="73A32B5F">
            <w:pPr>
              <w:pStyle w:val="28"/>
              <w:ind w:left="708" w:right="0" w:firstLine="0"/>
              <w:jc w:val="both"/>
            </w:pPr>
            <w:r>
              <w:rPr>
                <w:rStyle w:val="4"/>
                <w:rFonts w:ascii="Arial" w:hAnsi="Arial" w:cs="Arial"/>
                <w:sz w:val="21"/>
                <w:szCs w:val="21"/>
                <w:lang w:val="en-US"/>
              </w:rPr>
              <w:t xml:space="preserve">Stoga predlažem da se odredba članka 26.b </w:t>
            </w:r>
            <w:r>
              <w:rPr>
                <w:rStyle w:val="5"/>
                <w:rFonts w:ascii="Arial" w:hAnsi="Arial" w:cs="Arial"/>
                <w:b w:val="0"/>
                <w:bCs w:val="0"/>
                <w:sz w:val="21"/>
                <w:szCs w:val="21"/>
                <w:lang w:val="en-US"/>
              </w:rPr>
              <w:t>prilagodi odnosno da se izbriše traženje rješenja nadležnog ureda županije o ispunjavanju minimalnih tehničkih uvjeta i općih sanitarnih i zdravstvenih uvjeta, te opis priključka na elektromrežu i atest elektroinstalacija</w:t>
            </w:r>
            <w:r>
              <w:rPr>
                <w:rStyle w:val="4"/>
                <w:rFonts w:ascii="Arial" w:hAnsi="Arial" w:cs="Arial"/>
                <w:sz w:val="21"/>
                <w:szCs w:val="21"/>
                <w:lang w:val="en-US"/>
              </w:rPr>
              <w:t>. Na taj način procedura bi bila jasna, zakonita i provediva, a podnositelji zahtjeva ne bi bili pravno i praktično onemogućeni.</w:t>
            </w:r>
          </w:p>
          <w:p w14:paraId="40A6923A">
            <w:pPr>
              <w:pStyle w:val="25"/>
              <w:spacing w:before="0" w:after="0"/>
              <w:jc w:val="both"/>
              <w:rPr>
                <w:rFonts w:ascii="Arial" w:hAnsi="Arial" w:cs="Arial"/>
                <w:color w:val="000000"/>
                <w:lang w:val="en-US"/>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0F18F96">
            <w:pPr>
              <w:pStyle w:val="25"/>
              <w:spacing w:before="0" w:after="0"/>
              <w:rPr>
                <w:rFonts w:ascii="Arial" w:hAnsi="Arial" w:cs="Arial"/>
                <w:color w:val="000000"/>
                <w:lang w:val="en-US"/>
              </w:rPr>
            </w:pPr>
          </w:p>
          <w:p w14:paraId="0A160D4F">
            <w:pPr>
              <w:pStyle w:val="26"/>
            </w:pPr>
            <w:r>
              <w:rPr>
                <w:rFonts w:cs="Arial"/>
                <w:lang w:val="en-US"/>
              </w:rPr>
              <w:t>Budući da će se, u pokretnim napravama, a koje se postavljaju na otvorenoj površini u privatnom vlasništvu, djelatnost trgovine ili ugostiteljstva obavljati sezonski, predložen je kraći rok odobrenja s mogućnošću produljenja. Mijenja se rok trajanja odobrenja na 1 godinu. Ne prihvaća se prijedlog duži od 1 godine trajanja.</w:t>
            </w:r>
          </w:p>
          <w:p w14:paraId="373819DF">
            <w:pPr>
              <w:pStyle w:val="25"/>
              <w:spacing w:before="0" w:after="0"/>
              <w:rPr>
                <w:rFonts w:ascii="Arial" w:hAnsi="Arial" w:cs="Arial"/>
                <w:color w:val="000000"/>
                <w:lang w:val="en-US"/>
              </w:rPr>
            </w:pPr>
          </w:p>
          <w:p w14:paraId="02E31F1F">
            <w:pPr>
              <w:pStyle w:val="25"/>
            </w:pPr>
            <w:r>
              <w:rPr>
                <w:rFonts w:ascii="Arial" w:hAnsi="Arial" w:cs="Arial"/>
                <w:color w:val="000000"/>
              </w:rPr>
              <w:t>Površina pokretnih naprava nije definirana zakonskim propisima, pa je stavljena površina od 12m2. Prema mišljenju ministarstva nadležnog za poslove prostornog uređenja i gradnju, za postavljanje  kioska i drugih montažnih objekata na privatnom zemljištu potrebno je ishoditi dozvolu upravnog tijela nadležnog za poslove izdavanja i provedbu dokumenata prostornog uređenja.</w:t>
            </w:r>
          </w:p>
          <w:p w14:paraId="3F2DA05E">
            <w:pPr>
              <w:pStyle w:val="25"/>
              <w:spacing w:before="0" w:after="0"/>
              <w:rPr>
                <w:rFonts w:ascii="Arial" w:hAnsi="Arial" w:cs="Arial"/>
                <w:color w:val="000000"/>
                <w:lang w:val="en-US"/>
              </w:rPr>
            </w:pPr>
          </w:p>
          <w:p w14:paraId="2AD81DDC">
            <w:pPr>
              <w:pStyle w:val="25"/>
            </w:pPr>
            <w:r>
              <w:rPr>
                <w:rFonts w:ascii="Arial" w:hAnsi="Arial" w:cs="Arial"/>
              </w:rPr>
              <w:t>Prihvaća se prijedlog i izostavlja se podstavak 2. članka 26.b Prijedloga Odluke o izmjenama i dopunama Odluke o komunalnom redu.</w:t>
            </w:r>
          </w:p>
          <w:p w14:paraId="7A337B33">
            <w:pPr>
              <w:pStyle w:val="25"/>
            </w:pPr>
            <w:r>
              <w:rPr>
                <w:rFonts w:ascii="Arial" w:hAnsi="Arial" w:cs="Arial"/>
              </w:rPr>
              <w:t xml:space="preserve">Kako za postavljanje pokretnih naprava na privatne parcele nije potreban nikakav akt za gradnju, opis priključenja na infrastrukturu (elektromrežu) je neophodan preduvjet. </w:t>
            </w:r>
          </w:p>
          <w:p w14:paraId="4792C312">
            <w:pPr>
              <w:pStyle w:val="25"/>
              <w:spacing w:before="0" w:after="0"/>
              <w:rPr>
                <w:rFonts w:ascii="Arial" w:hAnsi="Arial" w:cs="Arial"/>
                <w:color w:val="000000"/>
                <w:lang w:val="en-US"/>
              </w:rPr>
            </w:pPr>
          </w:p>
        </w:tc>
      </w:tr>
      <w:tr w14:paraId="1053759A">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9EEFCB2">
            <w:pPr>
              <w:pStyle w:val="25"/>
              <w:spacing w:before="0" w:after="0"/>
            </w:pPr>
            <w:r>
              <w:rPr>
                <w:rFonts w:ascii="Arial" w:hAnsi="Arial" w:cs="Arial"/>
                <w:color w:val="000000"/>
                <w:lang w:val="en-US"/>
              </w:rPr>
              <w:t>2.</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8A25112">
            <w:pPr>
              <w:pStyle w:val="25"/>
              <w:spacing w:before="0" w:after="0"/>
              <w:jc w:val="both"/>
            </w:pPr>
            <w:r>
              <w:rPr>
                <w:rFonts w:ascii="Arial" w:hAnsi="Arial" w:cs="Arial"/>
                <w:color w:val="000000"/>
                <w:lang w:val="en-US"/>
              </w:rPr>
              <w:t>Teo Putica</w:t>
            </w:r>
          </w:p>
          <w:p w14:paraId="22A92C97">
            <w:pPr>
              <w:pStyle w:val="25"/>
              <w:spacing w:before="0" w:after="0"/>
              <w:jc w:val="both"/>
            </w:pPr>
            <w:r>
              <w:rPr>
                <w:rFonts w:ascii="Arial" w:hAnsi="Arial" w:cs="Arial"/>
                <w:color w:val="000000"/>
                <w:lang w:val="en-US"/>
              </w:rPr>
              <w:t xml:space="preserve">Građanin </w:t>
            </w:r>
          </w:p>
          <w:p w14:paraId="21C8C92F">
            <w:pPr>
              <w:pStyle w:val="25"/>
              <w:spacing w:before="0" w:after="0"/>
              <w:jc w:val="both"/>
            </w:pPr>
            <w:r>
              <w:rPr>
                <w:rFonts w:ascii="Arial" w:hAnsi="Arial" w:cs="Arial"/>
                <w:color w:val="000000"/>
                <w:lang w:val="en-US"/>
              </w:rPr>
              <w:t>Građanin – fizička osoba (pojedinac)</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C1B4B69">
            <w:pPr>
              <w:pStyle w:val="25"/>
              <w:spacing w:before="0" w:after="0"/>
            </w:pPr>
            <w:r>
              <w:rPr>
                <w:rStyle w:val="4"/>
                <w:rFonts w:ascii="Arial" w:hAnsi="Arial" w:cs="Arial"/>
              </w:rPr>
              <w:t xml:space="preserve">Prijedlozi se odnose na </w:t>
            </w:r>
            <w:r>
              <w:rPr>
                <w:rStyle w:val="5"/>
                <w:rFonts w:ascii="Arial" w:hAnsi="Arial" w:cs="Arial"/>
                <w:b w:val="0"/>
                <w:bCs w:val="0"/>
              </w:rPr>
              <w:t>članke 4. i 5. Prijedloga Odluke</w:t>
            </w:r>
            <w:r>
              <w:rPr>
                <w:rStyle w:val="4"/>
                <w:rFonts w:ascii="Arial" w:hAnsi="Arial" w:cs="Arial"/>
                <w:b/>
                <w:bCs/>
              </w:rPr>
              <w:t>,</w:t>
            </w:r>
            <w:r>
              <w:rPr>
                <w:rStyle w:val="4"/>
                <w:rFonts w:ascii="Arial" w:hAnsi="Arial" w:cs="Arial"/>
              </w:rPr>
              <w:t xml:space="preserve"> kojima se dopunjuju i dodaju </w:t>
            </w:r>
            <w:r>
              <w:rPr>
                <w:rStyle w:val="5"/>
                <w:rFonts w:ascii="Arial" w:hAnsi="Arial" w:cs="Arial"/>
                <w:b w:val="0"/>
                <w:bCs w:val="0"/>
              </w:rPr>
              <w:t>članci 26., 26.a i 26.b</w:t>
            </w:r>
            <w:r>
              <w:rPr>
                <w:rStyle w:val="4"/>
                <w:rFonts w:ascii="Arial" w:hAnsi="Arial" w:cs="Arial"/>
                <w:b/>
                <w:bCs/>
              </w:rPr>
              <w:t xml:space="preserve">. </w:t>
            </w:r>
            <w:r>
              <w:rPr>
                <w:rStyle w:val="4"/>
                <w:rFonts w:ascii="Arial" w:hAnsi="Arial" w:cs="Arial"/>
              </w:rPr>
              <w:t>Odluke o komunalnom redu Grada Dubrovnika</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AC196E9">
            <w:pPr>
              <w:pStyle w:val="28"/>
              <w:numPr>
                <w:ilvl w:val="0"/>
                <w:numId w:val="3"/>
              </w:numPr>
              <w:spacing w:before="100" w:after="100"/>
              <w:jc w:val="both"/>
            </w:pPr>
            <w:r>
              <w:rPr>
                <w:rFonts w:ascii="Arial" w:hAnsi="Arial" w:cs="Arial"/>
                <w:sz w:val="22"/>
                <w:szCs w:val="22"/>
              </w:rPr>
              <w:t>U članku 4. Prijedloga odluke o izmjenama i dopunama Odluke o komunalnom redu Grada Dubrovnika kojim se u članku 26. iza stavka 2. uvode novi stavci predviđa se da se odobrenje za postavljanje pokretnih naprava na površinama u privatnom vlasništvu izdaje na rok od šest mjeseci, uz mogućnost obnavljanja. Smatram da je tako kratak rok neopravdan, osobito u usporedbi s Odlukom o zakupu javnih površina Grada Dubrovnika (Službeni glasnik 26/24), kojom se za kioske na javnim površinama odobrenja mogu izdavati na razdoblje do pet godina.Nije jasno iz kojih se razloga za korištenje površina u privatnom vlasništvu predviđa znatno kraći rok od onoga koji vrijedi za javne površine, iako je riječ o usporedivim djelatnostima i ulaganjima. Takvo rješenje stvara pravnu nesigurnost za podnositelje zahtjeva i otežava dugoročno planiranje poslovanja.Predlažem da se trajanje odobrenja za privatne površine uskladi s navedenim pravilima.</w:t>
            </w:r>
          </w:p>
          <w:p w14:paraId="3AA7D5C4">
            <w:pPr>
              <w:pStyle w:val="28"/>
              <w:numPr>
                <w:ilvl w:val="0"/>
                <w:numId w:val="3"/>
              </w:numPr>
              <w:jc w:val="both"/>
            </w:pPr>
            <w:r>
              <w:rPr>
                <w:rStyle w:val="4"/>
                <w:rFonts w:ascii="Arial" w:hAnsi="Arial" w:cs="Arial"/>
                <w:sz w:val="22"/>
                <w:szCs w:val="22"/>
              </w:rPr>
              <w:t>Primjedba na članak 26.a Prijedloga odluke o izmjenama i dopunama Odluke o komunalnom redu Grada Dubrovnika.</w:t>
            </w:r>
            <w:r>
              <w:t xml:space="preserve"> </w:t>
            </w:r>
            <w:r>
              <w:rPr>
                <w:rStyle w:val="4"/>
                <w:rFonts w:ascii="Arial" w:hAnsi="Arial" w:cs="Arial"/>
                <w:sz w:val="22"/>
                <w:szCs w:val="22"/>
              </w:rPr>
              <w:t>Smjer članka koji propisuje minimalnu površinu katastarske čestice za postavljanje objekta od 200 m² smatram nedovoljno sigurnim i nepraktičnim. Za postavljanje pokretnih ili privremenih objekata preporučujem da se minimalna površina poveća na 500 m², kako bi se osigurala sigurnost prometa i pješačkog kretanja, te sklad s prostornim planovima i komunalnim standardima Grada Dubrovnika.</w:t>
            </w:r>
          </w:p>
          <w:p w14:paraId="381535BC">
            <w:pPr>
              <w:pStyle w:val="28"/>
              <w:numPr>
                <w:ilvl w:val="0"/>
                <w:numId w:val="3"/>
              </w:numPr>
              <w:jc w:val="both"/>
            </w:pPr>
            <w:r>
              <w:rPr>
                <w:rFonts w:ascii="Arial" w:hAnsi="Arial" w:cs="Arial"/>
                <w:sz w:val="22"/>
                <w:szCs w:val="22"/>
              </w:rPr>
              <w:t>Primjedba na članak 26.b Prijedloga odluke o izmjenama i dopunama Odluke o komunalnom redu Grada Dubrovnika. Predložena odredba uvodi neprovedivu proceduru jer zahtijeva rješenje nadležnog ureda županije o ispunjavanju minimalnih tehničkih i sanitarnih uvjeta prije izdavanja suglasnosti lokalne samouprave, što je protivno članku 14. stavku 1. Zakona o ugostiteljskoj djelatnosti prema kojem se ugostiteljski objekti na privatnom zemljištu mogu postavljati isključivo uz prethodno odobrenje lokalne samouprave. Slijedom navedenog, nadležno tijelo županije ne može provesti postupak prije donošenja te suglasnosti.Dodatno, traženje opisa priključka na elektromrežu i atesta elektroinstalacija suvišno je jer se ti uvjeti već utvrđuju u postupku minimalnih tehničkih uvjeta.</w:t>
            </w:r>
          </w:p>
          <w:p w14:paraId="0B3D6D49">
            <w:pPr>
              <w:pStyle w:val="28"/>
              <w:jc w:val="both"/>
            </w:pPr>
            <w:r>
              <w:rPr>
                <w:rFonts w:ascii="Arial" w:hAnsi="Arial" w:cs="Arial"/>
                <w:sz w:val="22"/>
                <w:szCs w:val="22"/>
              </w:rPr>
              <w:t>Predlažem prilagodbu navedenih prijedloga kako bi postupak bio zakonit i provediv.</w:t>
            </w:r>
          </w:p>
          <w:p w14:paraId="1E2C6DD1">
            <w:pPr>
              <w:pStyle w:val="25"/>
              <w:spacing w:before="0" w:after="0"/>
              <w:jc w:val="both"/>
              <w:rPr>
                <w:rFonts w:ascii="Arial" w:hAnsi="Arial" w:cs="Arial"/>
                <w:color w:val="000000"/>
                <w:lang w:val="en-US"/>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381C3B9">
            <w:pPr>
              <w:pStyle w:val="25"/>
              <w:spacing w:before="0" w:after="0"/>
              <w:rPr>
                <w:rFonts w:ascii="Arial" w:hAnsi="Arial" w:cs="Arial"/>
                <w:color w:val="000000"/>
                <w:lang w:val="en-US"/>
              </w:rPr>
            </w:pPr>
          </w:p>
          <w:p w14:paraId="613D3E64">
            <w:pPr>
              <w:pStyle w:val="26"/>
            </w:pPr>
            <w:r>
              <w:rPr>
                <w:rFonts w:cs="Arial"/>
                <w:lang w:val="en-US"/>
              </w:rPr>
              <w:t>Budući da će se, u pokretnim napravama, a koje se postavljaju na otvorenoj površini u privatnom vlasništvu, djelatnost trgovine ili ugostiteljstva obavljati sezonski, predložen je kraći rok odobrenja s mogućnošću produljenja. Mijenja se rok trajanja odobrenja na 1 godinu. Ne prihvaća se prijedlog duži od 1 godine trajanja.</w:t>
            </w:r>
          </w:p>
          <w:p w14:paraId="1BA7B961">
            <w:pPr>
              <w:pStyle w:val="25"/>
              <w:spacing w:before="0" w:after="0"/>
              <w:rPr>
                <w:rFonts w:ascii="Arial" w:hAnsi="Arial" w:cs="Arial"/>
                <w:color w:val="000000"/>
                <w:lang w:val="en-US"/>
              </w:rPr>
            </w:pPr>
          </w:p>
          <w:p w14:paraId="121F5F5E">
            <w:pPr>
              <w:pStyle w:val="25"/>
            </w:pPr>
            <w:r>
              <w:rPr>
                <w:rFonts w:ascii="Arial" w:hAnsi="Arial" w:cs="Arial"/>
              </w:rPr>
              <w:t>Prostorno planskom dokumentacijom nije definirana površina parcele za postavljanje pokretnih vozila. U prijedlogu Odluke o izmjenama i dopunama Odluke o komunalnom redu predložena je površina od 200m2, no prihvaća se povećanje površine na 500m2.</w:t>
            </w:r>
          </w:p>
          <w:p w14:paraId="02A69390">
            <w:pPr>
              <w:pStyle w:val="25"/>
            </w:pPr>
            <w:r>
              <w:rPr>
                <w:rFonts w:ascii="Arial" w:hAnsi="Arial" w:cs="Arial"/>
              </w:rPr>
              <w:t>Prihvaća se prijedlog i izostavlja se podstavak 2. članka 26.b Prijedloga Odluke o izmjenama i dopunama Odluke o komunalnom redu.</w:t>
            </w:r>
          </w:p>
          <w:p w14:paraId="61DE6151">
            <w:pPr>
              <w:pStyle w:val="25"/>
            </w:pPr>
            <w:r>
              <w:rPr>
                <w:rFonts w:ascii="Arial" w:hAnsi="Arial" w:cs="Arial"/>
              </w:rPr>
              <w:t xml:space="preserve">Kako za postavljanje pokretnih naprava na privatne parcele nije potreban nikakav akt za gradnju, opis priključenja na infrastrukturu (elektromrežu) je neophodan preduvjet. </w:t>
            </w:r>
          </w:p>
          <w:p w14:paraId="1EA1F392">
            <w:pPr>
              <w:pStyle w:val="25"/>
              <w:spacing w:before="0" w:after="0"/>
              <w:rPr>
                <w:rFonts w:ascii="Arial" w:hAnsi="Arial" w:cs="Arial"/>
                <w:color w:val="000000"/>
                <w:lang w:val="en-US"/>
              </w:rPr>
            </w:pPr>
          </w:p>
        </w:tc>
      </w:tr>
      <w:tr w14:paraId="3F2ED75D">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8CBC7ED">
            <w:pPr>
              <w:pStyle w:val="25"/>
              <w:spacing w:before="0" w:after="0"/>
            </w:pPr>
            <w:r>
              <w:rPr>
                <w:rFonts w:ascii="Arial" w:hAnsi="Arial" w:cs="Arial"/>
                <w:color w:val="000000"/>
                <w:lang w:val="en-US"/>
              </w:rPr>
              <w:t>3.</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5FB5689">
            <w:pPr>
              <w:pStyle w:val="25"/>
              <w:spacing w:before="0" w:after="0"/>
              <w:jc w:val="both"/>
            </w:pPr>
            <w:r>
              <w:rPr>
                <w:rFonts w:ascii="Arial" w:hAnsi="Arial" w:cs="Arial"/>
                <w:color w:val="000000"/>
                <w:lang w:val="en-US"/>
              </w:rPr>
              <w:t>Anonimno</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358E4AC">
            <w:pPr>
              <w:pStyle w:val="25"/>
              <w:spacing w:before="0" w:after="0"/>
            </w:pPr>
            <w:r>
              <w:rPr>
                <w:rFonts w:ascii="Arial" w:hAnsi="Arial" w:cs="Arial"/>
                <w:color w:val="000000"/>
                <w:lang w:val="en-US"/>
              </w:rPr>
              <w:t>Primjedba na članak 4. Odluke o izmjenama i dopunama Odluke o komunalnom redu</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8EC72E5">
            <w:pPr>
              <w:pStyle w:val="25"/>
              <w:spacing w:before="0" w:after="0"/>
              <w:jc w:val="both"/>
            </w:pPr>
            <w:r>
              <w:rPr>
                <w:rFonts w:ascii="Arial" w:hAnsi="Arial" w:cs="Arial"/>
                <w:color w:val="000000"/>
                <w:lang w:val="en-US"/>
              </w:rPr>
              <w:t>Prijedlog da minimalni broj kvadrata bude 500 m2umjesto 200 m2.</w:t>
            </w:r>
          </w:p>
          <w:p w14:paraId="57095374">
            <w:pPr>
              <w:pStyle w:val="25"/>
              <w:spacing w:before="0" w:after="0"/>
              <w:jc w:val="both"/>
            </w:pPr>
            <w:r>
              <w:rPr>
                <w:rFonts w:ascii="Arial" w:hAnsi="Arial" w:cs="Arial"/>
                <w:color w:val="000000"/>
                <w:lang w:val="en-US"/>
              </w:rPr>
              <w:t>Uvjete izjednačiti sa dodijelom na javnim površinama.</w:t>
            </w:r>
          </w:p>
          <w:p w14:paraId="5F73C54E">
            <w:pPr>
              <w:pStyle w:val="25"/>
              <w:spacing w:before="0" w:after="0"/>
              <w:jc w:val="both"/>
            </w:pPr>
            <w:r>
              <w:rPr>
                <w:rFonts w:ascii="Arial" w:hAnsi="Arial" w:cs="Arial"/>
                <w:color w:val="000000"/>
                <w:lang w:val="en-US"/>
              </w:rPr>
              <w:t>Nije moguće dobiti MTV prije suglasnosti grada Dubrovnika.</w:t>
            </w:r>
          </w:p>
          <w:p w14:paraId="468FD6FB">
            <w:pPr>
              <w:pStyle w:val="25"/>
              <w:spacing w:before="0" w:after="0"/>
              <w:jc w:val="both"/>
            </w:pPr>
            <w:r>
              <w:rPr>
                <w:rFonts w:ascii="Arial" w:hAnsi="Arial" w:cs="Arial"/>
                <w:color w:val="000000"/>
                <w:lang w:val="en-US"/>
              </w:rPr>
              <w:t>Minimalni rok 5 godina kao I na j.površinama grada.</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A9C505A">
            <w:pPr>
              <w:pStyle w:val="25"/>
            </w:pPr>
            <w:r>
              <w:rPr>
                <w:rFonts w:ascii="Arial" w:hAnsi="Arial" w:cs="Arial"/>
              </w:rPr>
              <w:t>Prostorno planskom dokumentacijom nije definirana površina parcele za postavljanje pokretnih vozila. U prijedlogu Odluke o izmjenama i dopunama Odluke o komunalnom redu predložena je površina od 200m2, no prihvaća se povećanje površine na 500m2.</w:t>
            </w:r>
          </w:p>
          <w:p w14:paraId="4D59B036">
            <w:pPr>
              <w:pStyle w:val="25"/>
            </w:pPr>
            <w:r>
              <w:rPr>
                <w:rFonts w:ascii="Arial" w:hAnsi="Arial" w:cs="Arial"/>
              </w:rPr>
              <w:t>Prihvaća se prijedlog i izostavlja se podstavak 2. članka 26.b Prijedloga Odluke o izmjenama i dopunama Odluke o komunalnom redu.</w:t>
            </w:r>
          </w:p>
          <w:p w14:paraId="4DE1C865">
            <w:pPr>
              <w:pStyle w:val="26"/>
            </w:pPr>
            <w:r>
              <w:rPr>
                <w:rFonts w:cs="Arial"/>
                <w:lang w:val="en-US"/>
              </w:rPr>
              <w:t>Budući da će se, u pokretnim napravama, a koje se postavljaju na otvorenoj površini u privatnom vlasništvu, djelatnost trgovine ili ugostiteljstva obavljati sezonski, predložen je kraći rok odobrenja s mogućnošću produljenja. Mijenja se rok trajanja odobrenja na 1 godinu. Ne prihvaća se prijedlog duži od 1 godine trajanja.</w:t>
            </w:r>
          </w:p>
          <w:p w14:paraId="46972C5E">
            <w:pPr>
              <w:pStyle w:val="25"/>
              <w:rPr>
                <w:rFonts w:ascii="Arial" w:hAnsi="Arial" w:cs="Arial"/>
              </w:rPr>
            </w:pPr>
          </w:p>
          <w:p w14:paraId="47C2F068">
            <w:pPr>
              <w:pStyle w:val="25"/>
              <w:spacing w:before="0" w:after="0"/>
              <w:rPr>
                <w:rFonts w:ascii="Arial" w:hAnsi="Arial" w:cs="Arial"/>
                <w:color w:val="000000"/>
                <w:lang w:val="en-US"/>
              </w:rPr>
            </w:pPr>
          </w:p>
        </w:tc>
      </w:tr>
      <w:tr w14:paraId="470F2711">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CD720C8">
            <w:pPr>
              <w:pStyle w:val="25"/>
              <w:spacing w:before="0" w:after="0"/>
            </w:pPr>
            <w:r>
              <w:rPr>
                <w:rFonts w:ascii="Arial" w:hAnsi="Arial" w:cs="Arial"/>
                <w:color w:val="000000"/>
                <w:lang w:val="en-US"/>
              </w:rPr>
              <w:t>4.</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9206070">
            <w:pPr>
              <w:pStyle w:val="25"/>
              <w:spacing w:before="0" w:after="0"/>
              <w:jc w:val="both"/>
            </w:pPr>
            <w:r>
              <w:rPr>
                <w:rFonts w:ascii="Arial" w:hAnsi="Arial" w:cs="Arial"/>
                <w:color w:val="000000"/>
                <w:lang w:val="en-US"/>
              </w:rPr>
              <w:t>Hrvoje Hladilo</w:t>
            </w:r>
          </w:p>
          <w:p w14:paraId="3062323C">
            <w:pPr>
              <w:pStyle w:val="25"/>
              <w:spacing w:before="0" w:after="0"/>
              <w:jc w:val="both"/>
            </w:pPr>
            <w:r>
              <w:rPr>
                <w:rFonts w:ascii="Arial" w:hAnsi="Arial" w:cs="Arial"/>
                <w:color w:val="000000"/>
                <w:lang w:val="en-US"/>
              </w:rPr>
              <w:t>Građanin</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3B6BB97">
            <w:pPr>
              <w:pStyle w:val="25"/>
              <w:spacing w:before="0" w:after="0"/>
            </w:pPr>
            <w:r>
              <w:rPr>
                <w:rFonts w:ascii="Arial" w:hAnsi="Arial" w:cs="Arial"/>
                <w:color w:val="000000"/>
                <w:lang w:val="en-US"/>
              </w:rPr>
              <w:t>Primjedba na članak 4. i 5. Odluke o izmjenama i dopunama Odluke o komunalnom redu</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265A3CB">
            <w:pPr>
              <w:pStyle w:val="25"/>
              <w:spacing w:before="0" w:after="0"/>
              <w:jc w:val="both"/>
            </w:pPr>
            <w:r>
              <w:rPr>
                <w:rFonts w:ascii="Arial" w:hAnsi="Arial" w:cs="Arial"/>
                <w:color w:val="000000"/>
                <w:lang w:val="en-US"/>
              </w:rPr>
              <w:t>Smatram da je prijedlog rađen po starom pravilniku o korištenju javnih površina. U novom su izmjenjene kadrature na više.</w:t>
            </w:r>
          </w:p>
          <w:p w14:paraId="3988CA39">
            <w:pPr>
              <w:pStyle w:val="25"/>
              <w:spacing w:before="0" w:after="0"/>
              <w:jc w:val="both"/>
            </w:pPr>
            <w:r>
              <w:rPr>
                <w:rFonts w:ascii="Arial" w:hAnsi="Arial" w:cs="Arial"/>
                <w:color w:val="000000"/>
                <w:lang w:val="en-US"/>
              </w:rPr>
              <w:t xml:space="preserve">Članak 4. i 5. na rok od 6 mj. izmijeniti na 5 godina. Primjedba na članak 26.a min.čestica mora biti barem 500m2. Pokretno vozilo + četiri parkirana auta ne mogu statin na 200m2. </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1756FA9">
            <w:pPr>
              <w:pStyle w:val="26"/>
            </w:pPr>
            <w:r>
              <w:rPr>
                <w:rFonts w:cs="Arial"/>
                <w:lang w:val="en-US"/>
              </w:rPr>
              <w:t>Budući da će se, u pokretnim napravama, a koje se postavljaju na otvorenoj površini u privatnom vlasništvu, djelatnost trgovine ili ugostiteljstva obavljati sezonski, predložen je kraći rok odobrenja s mogućnošću produljenja. Mijenja se rok trajanja odobrenja na 1 godinu. Ne prihvaća se prijedlog duži od 1 godine trajanja.</w:t>
            </w:r>
          </w:p>
          <w:p w14:paraId="657D6BD0">
            <w:pPr>
              <w:pStyle w:val="25"/>
              <w:rPr>
                <w:rFonts w:ascii="Arial" w:hAnsi="Arial" w:cs="Arial"/>
              </w:rPr>
            </w:pPr>
          </w:p>
          <w:p w14:paraId="1877659E">
            <w:pPr>
              <w:pStyle w:val="25"/>
            </w:pPr>
            <w:r>
              <w:rPr>
                <w:rFonts w:ascii="Arial" w:hAnsi="Arial" w:cs="Arial"/>
              </w:rPr>
              <w:t>Prostorno planskom dokumentacijom nije definirana površina parcele za postavljanje pokretnih vozila. U prijedlogu Odluke o izmjenama i dopunama Odluke o komunalnom redu predložena je površina od 200m2, no prihvaća se povećanje površine na 500m2.</w:t>
            </w:r>
          </w:p>
          <w:p w14:paraId="0041565F">
            <w:pPr>
              <w:pStyle w:val="25"/>
              <w:tabs>
                <w:tab w:val="left" w:pos="1335"/>
              </w:tabs>
              <w:spacing w:before="0" w:after="0"/>
              <w:rPr>
                <w:rFonts w:ascii="Arial" w:hAnsi="Arial" w:cs="Arial"/>
                <w:color w:val="000000"/>
                <w:lang w:val="en-US"/>
              </w:rPr>
            </w:pPr>
          </w:p>
        </w:tc>
      </w:tr>
      <w:tr w14:paraId="5B0ACEAE">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3D34683">
            <w:pPr>
              <w:pStyle w:val="25"/>
              <w:spacing w:before="0" w:after="0"/>
            </w:pPr>
            <w:r>
              <w:rPr>
                <w:rFonts w:ascii="Arial" w:hAnsi="Arial" w:cs="Arial"/>
                <w:color w:val="000000"/>
                <w:lang w:val="en-US"/>
              </w:rPr>
              <w:t>5.</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12AB3CC">
            <w:pPr>
              <w:pStyle w:val="25"/>
              <w:spacing w:before="0" w:after="0"/>
              <w:jc w:val="both"/>
            </w:pPr>
            <w:r>
              <w:rPr>
                <w:rFonts w:ascii="Arial" w:hAnsi="Arial" w:cs="Arial"/>
                <w:color w:val="000000"/>
                <w:lang w:val="en-US"/>
              </w:rPr>
              <w:t>Marko Barišić</w:t>
            </w:r>
          </w:p>
          <w:p w14:paraId="6D433957">
            <w:pPr>
              <w:pStyle w:val="25"/>
              <w:spacing w:before="0" w:after="0"/>
              <w:jc w:val="both"/>
            </w:pPr>
            <w:r>
              <w:rPr>
                <w:rFonts w:ascii="Arial" w:hAnsi="Arial" w:cs="Arial"/>
                <w:color w:val="000000"/>
                <w:lang w:val="en-US"/>
              </w:rPr>
              <w:t xml:space="preserve">Građanin </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5C6A6CF">
            <w:pPr>
              <w:pStyle w:val="25"/>
              <w:spacing w:before="0" w:after="0"/>
            </w:pPr>
            <w:r>
              <w:rPr>
                <w:rFonts w:ascii="Arial" w:hAnsi="Arial" w:cs="Arial"/>
                <w:color w:val="000000"/>
                <w:lang w:val="en-US"/>
              </w:rPr>
              <w:t>Načelni prijedlog</w:t>
            </w:r>
          </w:p>
          <w:p w14:paraId="7A6C597C">
            <w:pPr>
              <w:pStyle w:val="25"/>
              <w:spacing w:before="0" w:after="0"/>
              <w:rPr>
                <w:rFonts w:ascii="Arial" w:hAnsi="Arial" w:cs="Arial"/>
                <w:color w:val="000000"/>
                <w:lang w:val="en-US"/>
              </w:rPr>
            </w:pPr>
          </w:p>
          <w:p w14:paraId="3D9A2C6B">
            <w:pPr>
              <w:pStyle w:val="25"/>
              <w:spacing w:before="0" w:after="0"/>
              <w:rPr>
                <w:rFonts w:ascii="Arial" w:hAnsi="Arial" w:cs="Arial"/>
                <w:color w:val="000000"/>
                <w:lang w:val="en-US"/>
              </w:rPr>
            </w:pPr>
          </w:p>
          <w:p w14:paraId="39834D0C">
            <w:pPr>
              <w:pStyle w:val="25"/>
              <w:spacing w:before="0" w:after="0"/>
            </w:pPr>
            <w:r>
              <w:rPr>
                <w:rFonts w:ascii="Arial" w:hAnsi="Arial" w:cs="Arial"/>
                <w:color w:val="000000"/>
                <w:lang w:val="en-US"/>
              </w:rPr>
              <w:t>Primjedba na dio članka 5. Odluke</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E11087B">
            <w:pPr>
              <w:pStyle w:val="25"/>
              <w:spacing w:before="0" w:after="0"/>
              <w:jc w:val="both"/>
            </w:pPr>
            <w:r>
              <w:rPr>
                <w:rFonts w:ascii="Arial" w:hAnsi="Arial" w:cs="Arial"/>
                <w:color w:val="000000"/>
                <w:lang w:val="en-US"/>
              </w:rPr>
              <w:t>Pisano po starom pravilniku o javnim površinama. Osvježiti I dati ista pravila kaon a vanim površinama</w:t>
            </w:r>
          </w:p>
          <w:p w14:paraId="30519035">
            <w:pPr>
              <w:pStyle w:val="25"/>
              <w:spacing w:before="0" w:after="0"/>
              <w:jc w:val="both"/>
              <w:rPr>
                <w:rFonts w:ascii="Arial" w:hAnsi="Arial" w:cs="Arial"/>
                <w:color w:val="000000"/>
                <w:lang w:val="en-US"/>
              </w:rPr>
            </w:pPr>
          </w:p>
          <w:p w14:paraId="18BC0D6F">
            <w:pPr>
              <w:pStyle w:val="25"/>
              <w:spacing w:before="0" w:after="0"/>
              <w:jc w:val="both"/>
            </w:pPr>
            <w:r>
              <w:rPr>
                <w:rFonts w:ascii="Arial" w:hAnsi="Arial" w:cs="Arial"/>
                <w:color w:val="000000"/>
                <w:lang w:val="en-US"/>
              </w:rPr>
              <w:t>Minimalna parcela 600 m2 radi normalnog zaustavljanja vozila.</w:t>
            </w:r>
          </w:p>
          <w:p w14:paraId="38D52EA5">
            <w:pPr>
              <w:pStyle w:val="25"/>
              <w:spacing w:before="0" w:after="0"/>
              <w:jc w:val="both"/>
              <w:rPr>
                <w:rFonts w:ascii="Arial" w:hAnsi="Arial" w:cs="Arial"/>
                <w:color w:val="000000"/>
                <w:lang w:val="en-US"/>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256BC31">
            <w:pPr>
              <w:pStyle w:val="25"/>
            </w:pPr>
            <w:r>
              <w:rPr>
                <w:rFonts w:ascii="Arial" w:hAnsi="Arial" w:cs="Arial"/>
              </w:rPr>
              <w:t>Prostorno planskom dokumentacijom nije definirana površina parcele za postavljanje pokretnih vozila. U prijedlogu Odluke o izmjenama i dopunama Odluke o komunalnom redu predložena je površina od 200m2, pa se prihvaća povećanje površine na 500m2.</w:t>
            </w:r>
          </w:p>
          <w:p w14:paraId="1F0F2EB2">
            <w:pPr>
              <w:pStyle w:val="25"/>
              <w:spacing w:before="0" w:after="0"/>
              <w:rPr>
                <w:rFonts w:ascii="Arial" w:hAnsi="Arial" w:cs="Arial"/>
                <w:color w:val="000000"/>
                <w:lang w:val="en-US"/>
              </w:rPr>
            </w:pPr>
          </w:p>
        </w:tc>
      </w:tr>
      <w:tr w14:paraId="1502AC37">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F8EE522">
            <w:pPr>
              <w:pStyle w:val="25"/>
              <w:spacing w:before="0" w:after="0"/>
            </w:pPr>
            <w:r>
              <w:rPr>
                <w:rFonts w:ascii="Arial" w:hAnsi="Arial" w:cs="Arial"/>
                <w:color w:val="000000"/>
                <w:lang w:val="en-US"/>
              </w:rPr>
              <w:t>6.</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7DD91AC">
            <w:pPr>
              <w:pStyle w:val="25"/>
              <w:spacing w:before="0" w:after="0"/>
              <w:jc w:val="both"/>
            </w:pPr>
            <w:r>
              <w:rPr>
                <w:rFonts w:ascii="Arial" w:hAnsi="Arial" w:cs="Arial"/>
                <w:color w:val="000000"/>
                <w:lang w:val="en-US"/>
              </w:rPr>
              <w:t>Juraj Kličan</w:t>
            </w:r>
          </w:p>
          <w:p w14:paraId="650EE950">
            <w:pPr>
              <w:pStyle w:val="25"/>
              <w:spacing w:before="0" w:after="0"/>
              <w:jc w:val="both"/>
            </w:pPr>
            <w:r>
              <w:rPr>
                <w:rFonts w:ascii="Arial" w:hAnsi="Arial" w:cs="Arial"/>
                <w:color w:val="000000"/>
                <w:lang w:val="en-US"/>
              </w:rPr>
              <w:t xml:space="preserve">Građanin </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BD31731">
            <w:pPr>
              <w:pStyle w:val="25"/>
              <w:spacing w:before="0" w:after="0"/>
            </w:pPr>
            <w:r>
              <w:rPr>
                <w:rFonts w:ascii="Arial" w:hAnsi="Arial" w:cs="Arial"/>
                <w:color w:val="000000"/>
                <w:lang w:val="en-US"/>
              </w:rPr>
              <w:t>Načelni prijedlog</w:t>
            </w:r>
          </w:p>
          <w:p w14:paraId="1AB34AD5">
            <w:pPr>
              <w:pStyle w:val="25"/>
              <w:spacing w:before="0" w:after="0"/>
              <w:rPr>
                <w:rFonts w:ascii="Arial" w:hAnsi="Arial" w:cs="Arial"/>
                <w:color w:val="000000"/>
                <w:lang w:val="en-US"/>
              </w:rPr>
            </w:pPr>
          </w:p>
          <w:p w14:paraId="32DF29D9">
            <w:pPr>
              <w:pStyle w:val="25"/>
              <w:spacing w:before="0" w:after="0"/>
            </w:pPr>
            <w:r>
              <w:rPr>
                <w:rFonts w:ascii="Arial" w:hAnsi="Arial" w:cs="Arial"/>
                <w:color w:val="000000"/>
                <w:lang w:val="en-US"/>
              </w:rPr>
              <w:t>Prijedlog na dio članaka 5. Odluke</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09084EF">
            <w:pPr>
              <w:pStyle w:val="25"/>
              <w:spacing w:before="0" w:after="0"/>
              <w:jc w:val="both"/>
            </w:pPr>
            <w:r>
              <w:rPr>
                <w:rFonts w:ascii="Arial" w:hAnsi="Arial" w:cs="Arial"/>
                <w:color w:val="000000"/>
                <w:lang w:val="en-US"/>
              </w:rPr>
              <w:t>Plan je rađen po starom pravilniku o javnim površinama uskladiti s novim.</w:t>
            </w:r>
          </w:p>
          <w:p w14:paraId="523F95F7">
            <w:pPr>
              <w:pStyle w:val="25"/>
              <w:spacing w:before="0" w:after="0"/>
              <w:jc w:val="both"/>
              <w:rPr>
                <w:rFonts w:ascii="Arial" w:hAnsi="Arial" w:cs="Arial"/>
                <w:color w:val="000000"/>
                <w:lang w:val="en-US"/>
              </w:rPr>
            </w:pPr>
          </w:p>
          <w:p w14:paraId="59701D8F">
            <w:pPr>
              <w:pStyle w:val="25"/>
              <w:spacing w:before="0" w:after="0"/>
              <w:jc w:val="both"/>
            </w:pPr>
            <w:r>
              <w:rPr>
                <w:rFonts w:ascii="Arial" w:hAnsi="Arial" w:cs="Arial"/>
                <w:color w:val="000000"/>
                <w:lang w:val="en-US"/>
              </w:rPr>
              <w:t>Dozvola grada prethodi MTU. Broj kvadrata pokr. Vozila sa 12 m2 na 16m2.</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0D81AEE">
            <w:pPr>
              <w:pStyle w:val="25"/>
            </w:pPr>
            <w:r>
              <w:rPr>
                <w:rFonts w:ascii="Arial" w:hAnsi="Arial" w:cs="Arial"/>
              </w:rPr>
              <w:t>Prihvaća se prijedlog i izostavlja se podstavak 2. članka 26.b Prijedloga Odluke o izmjenama i dopunama Odluke o komunalnom redu.</w:t>
            </w:r>
          </w:p>
          <w:p w14:paraId="58D3E4BC">
            <w:pPr>
              <w:pStyle w:val="25"/>
            </w:pPr>
            <w:r>
              <w:rPr>
                <w:rFonts w:ascii="Arial" w:hAnsi="Arial" w:cs="Arial"/>
                <w:color w:val="000000"/>
              </w:rPr>
              <w:t>Površina pokretnih naprava nije definirana zakonskim propisima, pa je stavljena površina od 12m2. Prema mišljenju ministarstva nadležnog za poslove prostornog uređenja i gradnju, za postavljanje  kioska i drugih montažnih objekata na privatnom zemljištu potrebno je ishoditi dozvolu upravnog tijela nadležnog za poslove izdavanja i provedbu dokumenata prostornog uređenja.</w:t>
            </w:r>
          </w:p>
          <w:p w14:paraId="20FBE674">
            <w:pPr>
              <w:pStyle w:val="25"/>
              <w:spacing w:before="0" w:after="0"/>
              <w:rPr>
                <w:rFonts w:ascii="Arial" w:hAnsi="Arial" w:cs="Arial"/>
                <w:color w:val="000000"/>
                <w:lang w:val="en-US"/>
              </w:rPr>
            </w:pPr>
          </w:p>
        </w:tc>
      </w:tr>
      <w:tr w14:paraId="744DDDFC">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3105654">
            <w:pPr>
              <w:pStyle w:val="25"/>
              <w:spacing w:before="0" w:after="0"/>
            </w:pPr>
            <w:r>
              <w:rPr>
                <w:rFonts w:ascii="Arial" w:hAnsi="Arial" w:cs="Arial"/>
                <w:color w:val="000000"/>
                <w:lang w:val="en-US"/>
              </w:rPr>
              <w:t>7.</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0BB00AD">
            <w:pPr>
              <w:pStyle w:val="25"/>
              <w:spacing w:before="0" w:after="0"/>
              <w:jc w:val="both"/>
            </w:pPr>
            <w:r>
              <w:rPr>
                <w:rFonts w:ascii="Arial" w:hAnsi="Arial" w:cs="Arial"/>
                <w:color w:val="000000"/>
                <w:lang w:val="en-US"/>
              </w:rPr>
              <w:t>Paula Barišić</w:t>
            </w:r>
          </w:p>
          <w:p w14:paraId="3F652453">
            <w:pPr>
              <w:pStyle w:val="25"/>
              <w:spacing w:before="0" w:after="0"/>
              <w:jc w:val="both"/>
            </w:pPr>
            <w:r>
              <w:rPr>
                <w:rFonts w:ascii="Arial" w:hAnsi="Arial" w:cs="Arial"/>
                <w:color w:val="000000"/>
                <w:lang w:val="en-US"/>
              </w:rPr>
              <w:t xml:space="preserve">Građanin </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9FA49C8">
            <w:pPr>
              <w:pStyle w:val="25"/>
              <w:spacing w:before="0" w:after="0"/>
            </w:pPr>
            <w:r>
              <w:rPr>
                <w:rFonts w:ascii="Arial" w:hAnsi="Arial" w:cs="Arial"/>
                <w:color w:val="000000"/>
                <w:lang w:val="en-US"/>
              </w:rPr>
              <w:t>Načelni prijedlog</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B1F8A5C">
            <w:pPr>
              <w:pStyle w:val="25"/>
              <w:spacing w:before="0" w:after="0"/>
              <w:jc w:val="both"/>
            </w:pPr>
            <w:r>
              <w:rPr>
                <w:rFonts w:ascii="Arial" w:hAnsi="Arial" w:cs="Arial"/>
                <w:color w:val="000000"/>
                <w:lang w:val="en-US"/>
              </w:rPr>
              <w:t>Neprovedivo prvo suglasnost grada pa MTU u županiji.</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4FE66E1">
            <w:pPr>
              <w:pStyle w:val="25"/>
            </w:pPr>
            <w:r>
              <w:rPr>
                <w:rFonts w:ascii="Arial" w:hAnsi="Arial" w:cs="Arial"/>
              </w:rPr>
              <w:t>Prihvaća se prijedlog i izostavlja se podstavak 2. članka 26.b Prijedloga Odluke o izmjenama i dopunama Odluke o komunalnom redu.</w:t>
            </w:r>
          </w:p>
          <w:p w14:paraId="41C321FD">
            <w:pPr>
              <w:pStyle w:val="25"/>
              <w:spacing w:before="0" w:after="0"/>
              <w:rPr>
                <w:rFonts w:ascii="Arial" w:hAnsi="Arial" w:cs="Arial"/>
                <w:color w:val="000000"/>
                <w:lang w:val="en-US"/>
              </w:rPr>
            </w:pPr>
          </w:p>
        </w:tc>
      </w:tr>
      <w:tr w14:paraId="04A786DF">
        <w:tblPrEx>
          <w:tblCellMar>
            <w:top w:w="0" w:type="dxa"/>
            <w:left w:w="108" w:type="dxa"/>
            <w:bottom w:w="0" w:type="dxa"/>
            <w:right w:w="108" w:type="dxa"/>
          </w:tblCellMar>
        </w:tblPrEx>
        <w:trPr>
          <w:trHeight w:val="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1C25CE9">
            <w:pPr>
              <w:pStyle w:val="25"/>
              <w:spacing w:before="0" w:after="0"/>
            </w:pPr>
            <w:r>
              <w:rPr>
                <w:rFonts w:ascii="Arial" w:hAnsi="Arial" w:cs="Arial"/>
                <w:color w:val="000000"/>
                <w:lang w:val="en-US"/>
              </w:rPr>
              <w:t>8.</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0D3B6AF">
            <w:pPr>
              <w:pStyle w:val="25"/>
              <w:spacing w:before="0" w:after="0"/>
              <w:jc w:val="both"/>
            </w:pPr>
            <w:r>
              <w:rPr>
                <w:rFonts w:ascii="Arial" w:hAnsi="Arial" w:cs="Arial"/>
                <w:color w:val="000000"/>
                <w:lang w:val="en-US"/>
              </w:rPr>
              <w:t>Ivica Glunčić</w:t>
            </w:r>
          </w:p>
          <w:p w14:paraId="56125CCE">
            <w:pPr>
              <w:pStyle w:val="25"/>
              <w:spacing w:before="0" w:after="0"/>
              <w:jc w:val="both"/>
            </w:pPr>
            <w:r>
              <w:rPr>
                <w:rFonts w:ascii="Arial" w:hAnsi="Arial" w:cs="Arial"/>
                <w:color w:val="000000"/>
                <w:lang w:val="en-US"/>
              </w:rPr>
              <w:t>Građanin poduzetnik</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EFC1BAF">
            <w:pPr>
              <w:pStyle w:val="25"/>
              <w:spacing w:before="0" w:after="0"/>
            </w:pPr>
            <w:r>
              <w:rPr>
                <w:rFonts w:ascii="Arial" w:hAnsi="Arial" w:cs="Arial"/>
                <w:color w:val="000000"/>
                <w:lang w:val="en-US"/>
              </w:rPr>
              <w:t>Načelni prijedlog</w:t>
            </w:r>
          </w:p>
          <w:p w14:paraId="566A3798">
            <w:pPr>
              <w:pStyle w:val="25"/>
              <w:spacing w:before="0" w:after="0"/>
              <w:rPr>
                <w:rFonts w:ascii="Arial" w:hAnsi="Arial" w:cs="Arial"/>
                <w:color w:val="000000"/>
                <w:lang w:val="en-US"/>
              </w:rPr>
            </w:pPr>
          </w:p>
          <w:p w14:paraId="2D5029FC">
            <w:pPr>
              <w:pStyle w:val="25"/>
              <w:spacing w:before="0" w:after="0"/>
              <w:rPr>
                <w:rFonts w:ascii="Arial" w:hAnsi="Arial" w:cs="Arial"/>
                <w:color w:val="000000"/>
                <w:lang w:val="en-US"/>
              </w:rPr>
            </w:pPr>
          </w:p>
          <w:p w14:paraId="5F6C1821">
            <w:pPr>
              <w:pStyle w:val="25"/>
              <w:spacing w:before="0" w:after="0"/>
            </w:pPr>
            <w:r>
              <w:rPr>
                <w:rFonts w:ascii="Arial" w:hAnsi="Arial" w:cs="Arial"/>
                <w:color w:val="000000"/>
                <w:lang w:val="en-US"/>
              </w:rPr>
              <w:t>Primjedba na djelove članka 5. Odluke</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82965B9">
            <w:pPr>
              <w:pStyle w:val="25"/>
              <w:spacing w:before="0" w:after="0"/>
              <w:jc w:val="both"/>
            </w:pPr>
            <w:r>
              <w:rPr>
                <w:rFonts w:ascii="Arial" w:hAnsi="Arial" w:cs="Arial"/>
                <w:color w:val="000000"/>
                <w:lang w:val="en-US"/>
              </w:rPr>
              <w:t>MTU se može dobiti kada imaš dozvolu grada, a ne obrnuto. Izjenačavanje uvjeta sa najmovima javnih površina.</w:t>
            </w:r>
          </w:p>
          <w:p w14:paraId="1ADB5113">
            <w:pPr>
              <w:pStyle w:val="25"/>
              <w:spacing w:before="0" w:after="0"/>
              <w:jc w:val="both"/>
              <w:rPr>
                <w:rFonts w:ascii="Arial" w:hAnsi="Arial" w:cs="Arial"/>
                <w:color w:val="000000"/>
                <w:lang w:val="en-US"/>
              </w:rPr>
            </w:pPr>
          </w:p>
          <w:p w14:paraId="05D46EA3">
            <w:pPr>
              <w:pStyle w:val="25"/>
              <w:spacing w:before="0" w:after="0"/>
              <w:jc w:val="both"/>
            </w:pPr>
            <w:r>
              <w:rPr>
                <w:rFonts w:ascii="Arial" w:hAnsi="Arial" w:cs="Arial"/>
                <w:color w:val="000000"/>
                <w:lang w:val="en-US"/>
              </w:rPr>
              <w:t>Došlo je do očite greške u trajanju ugovora od 6 mj.,vjetojatno se mislilo na godine, jer u Dubrovniku sezona traje 9 mj.</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74E5CC8">
            <w:pPr>
              <w:pStyle w:val="25"/>
            </w:pPr>
            <w:r>
              <w:rPr>
                <w:rFonts w:ascii="Arial" w:hAnsi="Arial" w:cs="Arial"/>
              </w:rPr>
              <w:t>Prihvaća se prijedlog i izostavlja se podstavak 2. članka 26.b Prijedloga Odluke o izmjenama i dopunama Odluke o komunalnom redu.</w:t>
            </w:r>
          </w:p>
          <w:p w14:paraId="627FE229">
            <w:pPr>
              <w:pStyle w:val="25"/>
              <w:spacing w:before="0" w:after="0"/>
              <w:rPr>
                <w:rFonts w:ascii="Arial" w:hAnsi="Arial" w:cs="Arial"/>
                <w:color w:val="000000"/>
                <w:lang w:val="en-US"/>
              </w:rPr>
            </w:pPr>
          </w:p>
        </w:tc>
      </w:tr>
      <w:tr w14:paraId="49498B04">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808D397">
            <w:pPr>
              <w:pStyle w:val="25"/>
              <w:spacing w:before="0" w:after="0"/>
            </w:pPr>
            <w:r>
              <w:rPr>
                <w:rFonts w:ascii="Arial" w:hAnsi="Arial" w:cs="Arial"/>
                <w:color w:val="000000"/>
                <w:lang w:val="en-US"/>
              </w:rPr>
              <w:t>9.</w:t>
            </w:r>
          </w:p>
          <w:p w14:paraId="263FD452">
            <w:pPr>
              <w:pStyle w:val="25"/>
              <w:spacing w:before="0" w:after="0"/>
              <w:rPr>
                <w:rFonts w:ascii="Arial" w:hAnsi="Arial" w:cs="Arial"/>
                <w:color w:val="000000"/>
                <w:lang w:val="en-US"/>
              </w:rPr>
            </w:pPr>
          </w:p>
          <w:p w14:paraId="713195D0">
            <w:pPr>
              <w:pStyle w:val="25"/>
              <w:spacing w:before="0" w:after="0"/>
              <w:rPr>
                <w:rFonts w:ascii="Arial" w:hAnsi="Arial" w:cs="Arial"/>
                <w:color w:val="000000"/>
                <w:lang w:val="en-US"/>
              </w:rPr>
            </w:pPr>
          </w:p>
          <w:p w14:paraId="2F1430D4">
            <w:pPr>
              <w:pStyle w:val="25"/>
              <w:spacing w:before="0" w:after="0"/>
              <w:rPr>
                <w:rFonts w:ascii="Arial" w:hAnsi="Arial" w:cs="Arial"/>
                <w:color w:val="000000"/>
                <w:lang w:val="en-US"/>
              </w:rPr>
            </w:pPr>
          </w:p>
          <w:p w14:paraId="5C9F5B3E">
            <w:pPr>
              <w:pStyle w:val="25"/>
              <w:spacing w:before="0" w:after="0"/>
              <w:rPr>
                <w:rFonts w:ascii="Arial" w:hAnsi="Arial" w:cs="Arial"/>
                <w:color w:val="000000"/>
                <w:lang w:val="en-US"/>
              </w:rPr>
            </w:pPr>
          </w:p>
          <w:p w14:paraId="18EB6308">
            <w:pPr>
              <w:pStyle w:val="25"/>
              <w:spacing w:before="0" w:after="0"/>
              <w:rPr>
                <w:rFonts w:ascii="Arial" w:hAnsi="Arial" w:cs="Arial"/>
                <w:color w:val="000000"/>
                <w:lang w:val="en-US"/>
              </w:rPr>
            </w:pPr>
          </w:p>
          <w:p w14:paraId="4181EBB1">
            <w:pPr>
              <w:pStyle w:val="25"/>
              <w:spacing w:before="0" w:after="0"/>
              <w:rPr>
                <w:rFonts w:ascii="Arial" w:hAnsi="Arial" w:cs="Arial"/>
                <w:color w:val="000000"/>
                <w:lang w:val="en-US"/>
              </w:rPr>
            </w:pPr>
          </w:p>
          <w:p w14:paraId="09BA65D3">
            <w:pPr>
              <w:pStyle w:val="25"/>
              <w:spacing w:before="0" w:after="0"/>
              <w:rPr>
                <w:rFonts w:ascii="Arial" w:hAnsi="Arial" w:cs="Arial"/>
                <w:color w:val="000000"/>
                <w:lang w:val="en-US"/>
              </w:rPr>
            </w:pPr>
          </w:p>
          <w:p w14:paraId="7F61E2F0">
            <w:pPr>
              <w:pStyle w:val="25"/>
              <w:spacing w:before="0" w:after="0"/>
              <w:rPr>
                <w:rFonts w:ascii="Arial" w:hAnsi="Arial" w:cs="Arial"/>
                <w:color w:val="000000"/>
                <w:lang w:val="en-US"/>
              </w:rPr>
            </w:pPr>
          </w:p>
          <w:p w14:paraId="03DC56C3">
            <w:pPr>
              <w:pStyle w:val="25"/>
              <w:spacing w:before="0" w:after="0"/>
              <w:rPr>
                <w:rFonts w:ascii="Arial" w:hAnsi="Arial" w:cs="Arial"/>
                <w:color w:val="000000"/>
                <w:lang w:val="en-US"/>
              </w:rPr>
            </w:pPr>
          </w:p>
          <w:p w14:paraId="2E0D57CB">
            <w:pPr>
              <w:pStyle w:val="25"/>
              <w:spacing w:before="0" w:after="0"/>
              <w:rPr>
                <w:rFonts w:ascii="Arial" w:hAnsi="Arial" w:cs="Arial"/>
                <w:color w:val="000000"/>
                <w:lang w:val="en-US"/>
              </w:rPr>
            </w:pPr>
          </w:p>
          <w:p w14:paraId="09E0E4F6">
            <w:pPr>
              <w:pStyle w:val="25"/>
              <w:spacing w:before="0" w:after="0"/>
              <w:rPr>
                <w:rFonts w:ascii="Arial" w:hAnsi="Arial" w:cs="Arial"/>
                <w:color w:val="000000"/>
                <w:lang w:val="en-US"/>
              </w:rPr>
            </w:pPr>
          </w:p>
          <w:p w14:paraId="7623B72B">
            <w:pPr>
              <w:pStyle w:val="25"/>
              <w:spacing w:before="0" w:after="0"/>
              <w:rPr>
                <w:rFonts w:ascii="Arial" w:hAnsi="Arial" w:cs="Arial"/>
                <w:color w:val="000000"/>
                <w:lang w:val="en-US"/>
              </w:rPr>
            </w:pPr>
          </w:p>
          <w:p w14:paraId="67DE20D2">
            <w:pPr>
              <w:pStyle w:val="25"/>
              <w:spacing w:before="0" w:after="0"/>
              <w:rPr>
                <w:rFonts w:ascii="Arial" w:hAnsi="Arial" w:cs="Arial"/>
                <w:color w:val="000000"/>
                <w:lang w:val="en-US"/>
              </w:rPr>
            </w:pPr>
          </w:p>
          <w:p w14:paraId="7BEACE3C">
            <w:pPr>
              <w:pStyle w:val="25"/>
              <w:spacing w:before="0" w:after="0"/>
              <w:rPr>
                <w:rFonts w:ascii="Arial" w:hAnsi="Arial" w:cs="Arial"/>
                <w:color w:val="000000"/>
                <w:lang w:val="en-US"/>
              </w:rPr>
            </w:pPr>
          </w:p>
          <w:p w14:paraId="395CFBAC">
            <w:pPr>
              <w:pStyle w:val="25"/>
              <w:spacing w:before="0" w:after="0"/>
            </w:pPr>
            <w:r>
              <w:rPr>
                <w:rFonts w:ascii="Arial" w:hAnsi="Arial" w:cs="Arial"/>
                <w:color w:val="000000"/>
                <w:lang w:val="en-US"/>
              </w:rPr>
              <w:t>10.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A0902B5">
            <w:pPr>
              <w:pStyle w:val="25"/>
              <w:spacing w:before="0" w:after="0"/>
              <w:jc w:val="both"/>
            </w:pPr>
            <w:r>
              <w:rPr>
                <w:rFonts w:ascii="Arial" w:hAnsi="Arial" w:cs="Arial"/>
                <w:color w:val="000000"/>
                <w:lang w:val="en-US"/>
              </w:rPr>
              <w:t>Anonimno</w:t>
            </w:r>
          </w:p>
          <w:p w14:paraId="59BA94A2">
            <w:pPr>
              <w:pStyle w:val="25"/>
              <w:spacing w:before="0" w:after="0"/>
              <w:jc w:val="both"/>
              <w:rPr>
                <w:rFonts w:ascii="Arial" w:hAnsi="Arial" w:cs="Arial"/>
                <w:color w:val="000000"/>
                <w:lang w:val="en-US"/>
              </w:rPr>
            </w:pPr>
          </w:p>
          <w:p w14:paraId="2D7204C5">
            <w:pPr>
              <w:pStyle w:val="25"/>
              <w:spacing w:before="0" w:after="0"/>
              <w:jc w:val="both"/>
              <w:rPr>
                <w:rFonts w:ascii="Arial" w:hAnsi="Arial" w:cs="Arial"/>
                <w:color w:val="000000"/>
                <w:lang w:val="en-US"/>
              </w:rPr>
            </w:pPr>
          </w:p>
          <w:p w14:paraId="47B5D804">
            <w:pPr>
              <w:pStyle w:val="25"/>
              <w:spacing w:before="0" w:after="0"/>
              <w:jc w:val="both"/>
              <w:rPr>
                <w:rFonts w:ascii="Arial" w:hAnsi="Arial" w:cs="Arial"/>
                <w:color w:val="000000"/>
                <w:lang w:val="en-US"/>
              </w:rPr>
            </w:pPr>
          </w:p>
          <w:p w14:paraId="1C9F8447">
            <w:pPr>
              <w:pStyle w:val="25"/>
              <w:spacing w:before="0" w:after="0"/>
              <w:jc w:val="both"/>
              <w:rPr>
                <w:rFonts w:ascii="Arial" w:hAnsi="Arial" w:cs="Arial"/>
                <w:color w:val="000000"/>
                <w:lang w:val="en-US"/>
              </w:rPr>
            </w:pPr>
          </w:p>
          <w:p w14:paraId="46880502">
            <w:pPr>
              <w:pStyle w:val="25"/>
              <w:spacing w:before="0" w:after="0"/>
              <w:jc w:val="both"/>
              <w:rPr>
                <w:rFonts w:ascii="Arial" w:hAnsi="Arial" w:cs="Arial"/>
                <w:color w:val="000000"/>
                <w:lang w:val="en-US"/>
              </w:rPr>
            </w:pPr>
          </w:p>
          <w:p w14:paraId="5F824D54">
            <w:pPr>
              <w:pStyle w:val="25"/>
              <w:spacing w:before="0" w:after="0"/>
              <w:jc w:val="both"/>
              <w:rPr>
                <w:rFonts w:ascii="Arial" w:hAnsi="Arial" w:cs="Arial"/>
                <w:color w:val="000000"/>
                <w:lang w:val="en-US"/>
              </w:rPr>
            </w:pPr>
          </w:p>
          <w:p w14:paraId="376B72EB">
            <w:pPr>
              <w:pStyle w:val="25"/>
              <w:spacing w:before="0" w:after="0"/>
              <w:jc w:val="both"/>
              <w:rPr>
                <w:rFonts w:ascii="Arial" w:hAnsi="Arial" w:cs="Arial"/>
                <w:color w:val="000000"/>
                <w:lang w:val="en-US"/>
              </w:rPr>
            </w:pPr>
          </w:p>
          <w:p w14:paraId="6B60FCF5">
            <w:pPr>
              <w:pStyle w:val="25"/>
              <w:spacing w:before="0" w:after="0"/>
              <w:jc w:val="both"/>
              <w:rPr>
                <w:rFonts w:ascii="Arial" w:hAnsi="Arial" w:cs="Arial"/>
                <w:color w:val="000000"/>
                <w:lang w:val="en-US"/>
              </w:rPr>
            </w:pPr>
          </w:p>
          <w:p w14:paraId="34C2D86C">
            <w:pPr>
              <w:pStyle w:val="25"/>
              <w:spacing w:before="0" w:after="0"/>
              <w:jc w:val="both"/>
              <w:rPr>
                <w:rFonts w:ascii="Arial" w:hAnsi="Arial" w:cs="Arial"/>
                <w:color w:val="000000"/>
                <w:lang w:val="en-US"/>
              </w:rPr>
            </w:pPr>
          </w:p>
          <w:p w14:paraId="3E28B3C9">
            <w:pPr>
              <w:pStyle w:val="25"/>
              <w:spacing w:before="0" w:after="0"/>
              <w:jc w:val="both"/>
              <w:rPr>
                <w:rFonts w:ascii="Arial" w:hAnsi="Arial" w:cs="Arial"/>
                <w:color w:val="000000"/>
                <w:lang w:val="en-US"/>
              </w:rPr>
            </w:pPr>
          </w:p>
          <w:p w14:paraId="7C3D94C8">
            <w:pPr>
              <w:pStyle w:val="25"/>
              <w:spacing w:before="0" w:after="0"/>
              <w:jc w:val="both"/>
              <w:rPr>
                <w:rFonts w:ascii="Arial" w:hAnsi="Arial" w:cs="Arial"/>
                <w:color w:val="000000"/>
                <w:lang w:val="en-US"/>
              </w:rPr>
            </w:pPr>
          </w:p>
          <w:p w14:paraId="0344021C">
            <w:pPr>
              <w:pStyle w:val="25"/>
              <w:spacing w:before="0" w:after="0"/>
              <w:jc w:val="both"/>
              <w:rPr>
                <w:rFonts w:ascii="Arial" w:hAnsi="Arial" w:cs="Arial"/>
                <w:color w:val="000000"/>
                <w:lang w:val="en-US"/>
              </w:rPr>
            </w:pPr>
          </w:p>
          <w:p w14:paraId="142192AC">
            <w:pPr>
              <w:pStyle w:val="25"/>
              <w:spacing w:before="0" w:after="0"/>
              <w:jc w:val="both"/>
              <w:rPr>
                <w:rFonts w:ascii="Arial" w:hAnsi="Arial" w:cs="Arial"/>
                <w:color w:val="000000"/>
                <w:lang w:val="en-US"/>
              </w:rPr>
            </w:pPr>
          </w:p>
          <w:p w14:paraId="41B30184">
            <w:pPr>
              <w:pStyle w:val="25"/>
              <w:spacing w:before="0" w:after="0"/>
              <w:jc w:val="both"/>
              <w:rPr>
                <w:rFonts w:ascii="Arial" w:hAnsi="Arial" w:cs="Arial"/>
                <w:color w:val="000000"/>
                <w:lang w:val="en-US"/>
              </w:rPr>
            </w:pPr>
          </w:p>
          <w:p w14:paraId="34DDD728">
            <w:pPr>
              <w:pStyle w:val="25"/>
              <w:spacing w:before="0" w:after="0"/>
              <w:jc w:val="both"/>
            </w:pPr>
            <w:r>
              <w:rPr>
                <w:rFonts w:ascii="Arial" w:hAnsi="Arial" w:cs="Arial"/>
                <w:color w:val="000000"/>
                <w:lang w:val="en-US"/>
              </w:rPr>
              <w:t>Ante Putica</w:t>
            </w:r>
          </w:p>
          <w:p w14:paraId="09CD44C6">
            <w:pPr>
              <w:pStyle w:val="25"/>
              <w:spacing w:before="0" w:after="0"/>
              <w:jc w:val="both"/>
            </w:pPr>
            <w:r>
              <w:rPr>
                <w:rFonts w:ascii="Arial" w:hAnsi="Arial" w:cs="Arial"/>
                <w:color w:val="000000"/>
                <w:lang w:val="en-US"/>
              </w:rPr>
              <w:t>Građanin</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CAFA89D">
            <w:pPr>
              <w:pStyle w:val="25"/>
              <w:spacing w:before="0" w:after="0"/>
            </w:pPr>
            <w:r>
              <w:rPr>
                <w:rFonts w:ascii="Arial" w:hAnsi="Arial" w:cs="Arial"/>
                <w:color w:val="000000"/>
                <w:lang w:val="en-US"/>
              </w:rPr>
              <w:t>Načelni prijedlog</w:t>
            </w:r>
          </w:p>
          <w:p w14:paraId="5E887577">
            <w:pPr>
              <w:pStyle w:val="25"/>
              <w:spacing w:before="0" w:after="0"/>
              <w:rPr>
                <w:rFonts w:ascii="Arial" w:hAnsi="Arial" w:cs="Arial"/>
                <w:color w:val="000000"/>
                <w:lang w:val="en-US"/>
              </w:rPr>
            </w:pPr>
          </w:p>
          <w:p w14:paraId="321A2FE5">
            <w:pPr>
              <w:pStyle w:val="25"/>
              <w:spacing w:before="0" w:after="0"/>
              <w:rPr>
                <w:rFonts w:ascii="Arial" w:hAnsi="Arial" w:cs="Arial"/>
                <w:color w:val="000000"/>
                <w:lang w:val="en-US"/>
              </w:rPr>
            </w:pPr>
          </w:p>
          <w:p w14:paraId="2995545C">
            <w:pPr>
              <w:pStyle w:val="25"/>
              <w:spacing w:before="0" w:after="0"/>
              <w:rPr>
                <w:rFonts w:ascii="Arial" w:hAnsi="Arial" w:cs="Arial"/>
                <w:color w:val="000000"/>
                <w:lang w:val="en-US"/>
              </w:rPr>
            </w:pPr>
          </w:p>
          <w:p w14:paraId="343791D4">
            <w:pPr>
              <w:pStyle w:val="25"/>
              <w:spacing w:before="0" w:after="0"/>
              <w:rPr>
                <w:rFonts w:ascii="Arial" w:hAnsi="Arial" w:cs="Arial"/>
                <w:color w:val="000000"/>
                <w:lang w:val="en-US"/>
              </w:rPr>
            </w:pPr>
          </w:p>
          <w:p w14:paraId="53AE9F1B">
            <w:pPr>
              <w:pStyle w:val="25"/>
              <w:spacing w:before="0" w:after="0"/>
              <w:rPr>
                <w:rFonts w:ascii="Arial" w:hAnsi="Arial" w:cs="Arial"/>
                <w:color w:val="000000"/>
                <w:lang w:val="en-US"/>
              </w:rPr>
            </w:pPr>
          </w:p>
          <w:p w14:paraId="54D4210E">
            <w:pPr>
              <w:pStyle w:val="25"/>
              <w:spacing w:before="0" w:after="0"/>
              <w:rPr>
                <w:rFonts w:ascii="Arial" w:hAnsi="Arial" w:cs="Arial"/>
                <w:color w:val="000000"/>
                <w:lang w:val="en-US"/>
              </w:rPr>
            </w:pPr>
          </w:p>
          <w:p w14:paraId="1A974893">
            <w:pPr>
              <w:pStyle w:val="25"/>
              <w:spacing w:before="0" w:after="0"/>
              <w:rPr>
                <w:rFonts w:ascii="Arial" w:hAnsi="Arial" w:cs="Arial"/>
                <w:color w:val="000000"/>
                <w:lang w:val="en-US"/>
              </w:rPr>
            </w:pPr>
          </w:p>
          <w:p w14:paraId="45EE439C">
            <w:pPr>
              <w:pStyle w:val="25"/>
              <w:spacing w:before="0" w:after="0"/>
              <w:rPr>
                <w:rFonts w:ascii="Arial" w:hAnsi="Arial" w:cs="Arial"/>
                <w:color w:val="000000"/>
                <w:lang w:val="en-US"/>
              </w:rPr>
            </w:pPr>
          </w:p>
          <w:p w14:paraId="5127B36E">
            <w:pPr>
              <w:pStyle w:val="25"/>
              <w:spacing w:before="0" w:after="0"/>
              <w:rPr>
                <w:rFonts w:ascii="Arial" w:hAnsi="Arial" w:cs="Arial"/>
                <w:color w:val="000000"/>
                <w:lang w:val="en-US"/>
              </w:rPr>
            </w:pPr>
          </w:p>
          <w:p w14:paraId="7F4F5078">
            <w:pPr>
              <w:pStyle w:val="25"/>
              <w:spacing w:before="0" w:after="0"/>
              <w:rPr>
                <w:rFonts w:ascii="Arial" w:hAnsi="Arial" w:cs="Arial"/>
                <w:color w:val="000000"/>
                <w:lang w:val="en-US"/>
              </w:rPr>
            </w:pPr>
          </w:p>
          <w:p w14:paraId="10CCD504">
            <w:pPr>
              <w:pStyle w:val="25"/>
              <w:spacing w:before="0" w:after="0"/>
              <w:rPr>
                <w:rFonts w:ascii="Arial" w:hAnsi="Arial" w:cs="Arial"/>
                <w:color w:val="000000"/>
                <w:lang w:val="en-US"/>
              </w:rPr>
            </w:pPr>
          </w:p>
          <w:p w14:paraId="56149928">
            <w:pPr>
              <w:pStyle w:val="25"/>
              <w:spacing w:before="0" w:after="0"/>
              <w:rPr>
                <w:rFonts w:ascii="Arial" w:hAnsi="Arial" w:cs="Arial"/>
                <w:color w:val="000000"/>
                <w:lang w:val="en-US"/>
              </w:rPr>
            </w:pPr>
          </w:p>
          <w:p w14:paraId="5DC551CE">
            <w:pPr>
              <w:pStyle w:val="25"/>
              <w:spacing w:before="0" w:after="0"/>
              <w:rPr>
                <w:rFonts w:ascii="Arial" w:hAnsi="Arial" w:cs="Arial"/>
                <w:color w:val="000000"/>
                <w:lang w:val="en-US"/>
              </w:rPr>
            </w:pPr>
          </w:p>
          <w:p w14:paraId="6111E9FD">
            <w:pPr>
              <w:pStyle w:val="25"/>
              <w:spacing w:before="0" w:after="0"/>
            </w:pPr>
            <w:r>
              <w:rPr>
                <w:rFonts w:ascii="Arial" w:hAnsi="Arial" w:cs="Arial"/>
                <w:color w:val="000000"/>
                <w:lang w:val="en-US"/>
              </w:rPr>
              <w:t xml:space="preserve">Načelni prijedlog </w:t>
            </w:r>
          </w:p>
          <w:p w14:paraId="69F698C3">
            <w:pPr>
              <w:pStyle w:val="25"/>
              <w:spacing w:before="0" w:after="0"/>
              <w:rPr>
                <w:rFonts w:ascii="Arial" w:hAnsi="Arial" w:cs="Arial"/>
                <w:color w:val="000000"/>
                <w:lang w:val="en-US"/>
              </w:rPr>
            </w:pPr>
          </w:p>
          <w:p w14:paraId="7BA4E745">
            <w:pPr>
              <w:pStyle w:val="25"/>
              <w:spacing w:before="0" w:after="0"/>
            </w:pPr>
            <w:r>
              <w:rPr>
                <w:rFonts w:ascii="Arial" w:hAnsi="Arial" w:cs="Arial"/>
                <w:color w:val="000000"/>
                <w:lang w:val="en-US"/>
              </w:rPr>
              <w:t>Primjedba na članak 26 b</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BD73646">
            <w:pPr>
              <w:pStyle w:val="25"/>
              <w:spacing w:before="0" w:after="0"/>
              <w:jc w:val="both"/>
            </w:pPr>
            <w:r>
              <w:rPr>
                <w:rFonts w:ascii="Arial" w:hAnsi="Arial" w:cs="Arial"/>
                <w:color w:val="000000"/>
                <w:lang w:val="en-US"/>
              </w:rPr>
              <w:t>Akt je neprovediv jer za dobijanje MTU potrebno je prvo ishoditi suglasnost jedinice lokalne samouprave (Grad Dubrovnik).</w:t>
            </w:r>
          </w:p>
          <w:p w14:paraId="631A7CB6">
            <w:pPr>
              <w:pStyle w:val="25"/>
              <w:spacing w:before="0" w:after="0"/>
              <w:jc w:val="both"/>
              <w:rPr>
                <w:rFonts w:ascii="Arial" w:hAnsi="Arial" w:cs="Arial"/>
                <w:color w:val="000000"/>
                <w:lang w:val="en-US"/>
              </w:rPr>
            </w:pPr>
          </w:p>
          <w:p w14:paraId="606D846F">
            <w:pPr>
              <w:pStyle w:val="25"/>
              <w:spacing w:before="0" w:after="0"/>
              <w:jc w:val="both"/>
              <w:rPr>
                <w:rFonts w:ascii="Arial" w:hAnsi="Arial" w:cs="Arial"/>
                <w:color w:val="000000"/>
                <w:lang w:val="en-US"/>
              </w:rPr>
            </w:pPr>
          </w:p>
          <w:p w14:paraId="4B13B4C3">
            <w:pPr>
              <w:pStyle w:val="25"/>
              <w:spacing w:before="0" w:after="0"/>
              <w:jc w:val="both"/>
              <w:rPr>
                <w:rFonts w:ascii="Arial" w:hAnsi="Arial" w:cs="Arial"/>
                <w:color w:val="000000"/>
                <w:lang w:val="en-US"/>
              </w:rPr>
            </w:pPr>
          </w:p>
          <w:p w14:paraId="32DFE00F">
            <w:pPr>
              <w:pStyle w:val="25"/>
              <w:spacing w:before="0" w:after="0"/>
              <w:jc w:val="both"/>
              <w:rPr>
                <w:rFonts w:ascii="Arial" w:hAnsi="Arial" w:cs="Arial"/>
                <w:color w:val="000000"/>
                <w:lang w:val="en-US"/>
              </w:rPr>
            </w:pPr>
          </w:p>
          <w:p w14:paraId="424191C8">
            <w:pPr>
              <w:pStyle w:val="25"/>
              <w:spacing w:before="0" w:after="0"/>
              <w:jc w:val="both"/>
              <w:rPr>
                <w:rFonts w:ascii="Arial" w:hAnsi="Arial" w:cs="Arial"/>
                <w:color w:val="000000"/>
                <w:lang w:val="en-US"/>
              </w:rPr>
            </w:pPr>
          </w:p>
          <w:p w14:paraId="4FA50F2C">
            <w:pPr>
              <w:pStyle w:val="25"/>
              <w:spacing w:before="0" w:after="0"/>
              <w:jc w:val="both"/>
              <w:rPr>
                <w:rFonts w:ascii="Arial" w:hAnsi="Arial" w:cs="Arial"/>
                <w:color w:val="000000"/>
                <w:lang w:val="en-US"/>
              </w:rPr>
            </w:pPr>
          </w:p>
          <w:p w14:paraId="4C59B7B6">
            <w:pPr>
              <w:pStyle w:val="25"/>
              <w:spacing w:before="0" w:after="0"/>
              <w:jc w:val="both"/>
              <w:rPr>
                <w:rFonts w:ascii="Arial" w:hAnsi="Arial" w:cs="Arial"/>
                <w:color w:val="000000"/>
                <w:lang w:val="en-US"/>
              </w:rPr>
            </w:pPr>
          </w:p>
          <w:p w14:paraId="5637255C">
            <w:pPr>
              <w:pStyle w:val="25"/>
              <w:spacing w:before="0" w:after="0"/>
              <w:jc w:val="both"/>
              <w:rPr>
                <w:rFonts w:ascii="Arial" w:hAnsi="Arial" w:cs="Arial"/>
                <w:color w:val="000000"/>
                <w:lang w:val="en-US"/>
              </w:rPr>
            </w:pPr>
          </w:p>
          <w:p w14:paraId="2620683B">
            <w:pPr>
              <w:pStyle w:val="25"/>
              <w:spacing w:before="0" w:after="0"/>
              <w:jc w:val="both"/>
              <w:rPr>
                <w:rFonts w:ascii="Arial" w:hAnsi="Arial" w:cs="Arial"/>
                <w:color w:val="000000"/>
                <w:lang w:val="en-US"/>
              </w:rPr>
            </w:pPr>
          </w:p>
          <w:p w14:paraId="1C9B2E1D">
            <w:pPr>
              <w:pStyle w:val="25"/>
              <w:spacing w:before="0" w:after="0"/>
              <w:jc w:val="both"/>
              <w:rPr>
                <w:rFonts w:ascii="Arial" w:hAnsi="Arial" w:cs="Arial"/>
                <w:color w:val="000000"/>
                <w:lang w:val="en-US"/>
              </w:rPr>
            </w:pPr>
          </w:p>
          <w:p w14:paraId="5751B740">
            <w:pPr>
              <w:pStyle w:val="25"/>
              <w:spacing w:before="0" w:after="0"/>
              <w:jc w:val="both"/>
              <w:rPr>
                <w:rFonts w:ascii="Arial" w:hAnsi="Arial" w:cs="Arial"/>
                <w:color w:val="000000"/>
                <w:lang w:val="en-US"/>
              </w:rPr>
            </w:pPr>
          </w:p>
          <w:p w14:paraId="50CAC421">
            <w:pPr>
              <w:pStyle w:val="25"/>
              <w:spacing w:before="0" w:after="0"/>
              <w:jc w:val="both"/>
            </w:pPr>
            <w:r>
              <w:rPr>
                <w:rFonts w:ascii="Arial" w:hAnsi="Arial" w:cs="Arial"/>
                <w:color w:val="000000"/>
                <w:lang w:val="en-US"/>
              </w:rPr>
              <w:t>Da rok bude 4 godine.</w:t>
            </w:r>
          </w:p>
          <w:p w14:paraId="51A45EF5">
            <w:pPr>
              <w:pStyle w:val="25"/>
              <w:spacing w:before="0" w:after="0"/>
              <w:jc w:val="both"/>
              <w:rPr>
                <w:rFonts w:ascii="Arial" w:hAnsi="Arial" w:cs="Arial"/>
                <w:color w:val="000000"/>
                <w:lang w:val="en-US"/>
              </w:rPr>
            </w:pPr>
          </w:p>
          <w:p w14:paraId="665B6618">
            <w:pPr>
              <w:pStyle w:val="25"/>
              <w:spacing w:before="0" w:after="0"/>
              <w:jc w:val="both"/>
              <w:rPr>
                <w:rFonts w:ascii="Arial" w:hAnsi="Arial" w:cs="Arial"/>
                <w:color w:val="000000"/>
                <w:lang w:val="en-US"/>
              </w:rPr>
            </w:pPr>
          </w:p>
          <w:p w14:paraId="7B2187EA">
            <w:pPr>
              <w:pStyle w:val="25"/>
              <w:spacing w:before="0" w:after="0"/>
              <w:jc w:val="both"/>
            </w:pPr>
            <w:r>
              <w:rPr>
                <w:rFonts w:ascii="Arial" w:hAnsi="Arial" w:cs="Arial"/>
                <w:color w:val="000000"/>
                <w:lang w:val="en-US"/>
              </w:rPr>
              <w:t>Županija ne može izdati MTU prije postavljanja objekta na lokaciju.</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A2A6E4D">
            <w:pPr>
              <w:pStyle w:val="25"/>
            </w:pPr>
            <w:r>
              <w:rPr>
                <w:rFonts w:ascii="Arial" w:hAnsi="Arial" w:cs="Arial"/>
              </w:rPr>
              <w:t>Prihvaća se prijedlog i izostavlja se podstavak 2. članka 26.b Prijedloga Odluke o izmjenama i dopunama Odluke o komunalnom redu.</w:t>
            </w:r>
          </w:p>
          <w:p w14:paraId="6E444E6C">
            <w:pPr>
              <w:pStyle w:val="25"/>
              <w:spacing w:before="0" w:after="0"/>
              <w:rPr>
                <w:rFonts w:ascii="Arial" w:hAnsi="Arial" w:cs="Arial"/>
                <w:color w:val="000000"/>
                <w:lang w:val="en-US"/>
              </w:rPr>
            </w:pPr>
          </w:p>
          <w:p w14:paraId="1D5AA5AB">
            <w:pPr>
              <w:pStyle w:val="25"/>
              <w:spacing w:before="0" w:after="0"/>
              <w:rPr>
                <w:rFonts w:ascii="Arial" w:hAnsi="Arial" w:cs="Arial"/>
                <w:color w:val="000000"/>
                <w:lang w:val="en-US"/>
              </w:rPr>
            </w:pPr>
          </w:p>
          <w:p w14:paraId="17F1CF2B">
            <w:pPr>
              <w:pStyle w:val="26"/>
            </w:pPr>
            <w:r>
              <w:rPr>
                <w:rFonts w:cs="Arial"/>
                <w:lang w:val="en-US"/>
              </w:rPr>
              <w:t>Budući da će se, u pokretnim napravama, a koje se postavljaju na otvorenoj površini u privatnom vlasništvu, djelatnost trgovine ili ugostiteljstva obavljati sezonski, predložen je kraći rok odobrenja s mogućnošću produljenja. Mijenja se rok trajanja odobrenja na 1 godinu. Ne prihvaća se prijedlog duži od 1 godine trajanja.</w:t>
            </w:r>
          </w:p>
          <w:p w14:paraId="38810D27">
            <w:pPr>
              <w:pStyle w:val="25"/>
              <w:rPr>
                <w:rFonts w:ascii="Arial" w:hAnsi="Arial" w:cs="Arial"/>
              </w:rPr>
            </w:pPr>
          </w:p>
          <w:p w14:paraId="4DB7C6C6">
            <w:pPr>
              <w:pStyle w:val="25"/>
            </w:pPr>
            <w:r>
              <w:rPr>
                <w:rFonts w:ascii="Arial" w:hAnsi="Arial" w:cs="Arial"/>
              </w:rPr>
              <w:t>Prihvaća se prijedlog i izostavlja se podstavak 2. članka 26.b Prijedloga Odluke o izmjenama i dopunama Odluke o komunalnom redu.</w:t>
            </w:r>
          </w:p>
          <w:p w14:paraId="474688AD">
            <w:pPr>
              <w:pStyle w:val="25"/>
              <w:rPr>
                <w:rFonts w:ascii="Arial" w:hAnsi="Arial" w:cs="Arial"/>
                <w:color w:val="000000"/>
              </w:rPr>
            </w:pPr>
          </w:p>
          <w:p w14:paraId="252581CF">
            <w:pPr>
              <w:pStyle w:val="25"/>
              <w:spacing w:before="0" w:after="0"/>
              <w:rPr>
                <w:rFonts w:ascii="Arial" w:hAnsi="Arial" w:cs="Arial"/>
                <w:color w:val="000000"/>
                <w:lang w:val="en-US"/>
              </w:rPr>
            </w:pPr>
          </w:p>
        </w:tc>
      </w:tr>
      <w:tr w14:paraId="4C73F019">
        <w:tblPrEx>
          <w:tblCellMar>
            <w:top w:w="0" w:type="dxa"/>
            <w:left w:w="108" w:type="dxa"/>
            <w:bottom w:w="0" w:type="dxa"/>
            <w:right w:w="108" w:type="dxa"/>
          </w:tblCellMar>
        </w:tblPrEx>
        <w:tc>
          <w:tcPr>
            <w:tcW w:w="9214"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C8CAB92">
            <w:pPr>
              <w:pStyle w:val="25"/>
              <w:spacing w:before="0" w:after="0"/>
              <w:rPr>
                <w:rFonts w:ascii="Arial" w:hAnsi="Arial" w:cs="Arial"/>
                <w:color w:val="000000"/>
                <w:lang w:val="en-US"/>
              </w:rPr>
            </w:pPr>
          </w:p>
        </w:tc>
      </w:tr>
    </w:tbl>
    <w:p w14:paraId="35141F68">
      <w:pPr>
        <w:pStyle w:val="25"/>
        <w:spacing w:before="0" w:after="0"/>
        <w:rPr>
          <w:vanish/>
        </w:rPr>
      </w:pPr>
    </w:p>
    <w:tbl>
      <w:tblPr>
        <w:tblStyle w:val="3"/>
        <w:tblW w:w="0" w:type="auto"/>
        <w:tblInd w:w="108" w:type="dxa"/>
        <w:tblLayout w:type="fixed"/>
        <w:tblCellMar>
          <w:top w:w="0" w:type="dxa"/>
          <w:left w:w="108" w:type="dxa"/>
          <w:bottom w:w="0" w:type="dxa"/>
          <w:right w:w="108" w:type="dxa"/>
        </w:tblCellMar>
      </w:tblPr>
      <w:tblGrid>
        <w:gridCol w:w="3114"/>
        <w:gridCol w:w="3016"/>
        <w:gridCol w:w="3079"/>
      </w:tblGrid>
      <w:tr w14:paraId="46C00321">
        <w:tblPrEx>
          <w:tblCellMar>
            <w:top w:w="0" w:type="dxa"/>
            <w:left w:w="108" w:type="dxa"/>
            <w:bottom w:w="0" w:type="dxa"/>
            <w:right w:w="108" w:type="dxa"/>
          </w:tblCellMar>
        </w:tblPrEx>
        <w:tc>
          <w:tcPr>
            <w:tcW w:w="3114"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A6D0F51">
            <w:pPr>
              <w:pStyle w:val="25"/>
              <w:spacing w:before="0" w:after="0"/>
            </w:pPr>
            <w:r>
              <w:rPr>
                <w:rFonts w:ascii="Arial" w:hAnsi="Arial" w:eastAsia="Times New Roman" w:cs="Arial"/>
                <w:b/>
                <w:color w:val="000000"/>
                <w:lang w:eastAsia="hr-HR"/>
              </w:rPr>
              <w:t>Troškovi provedenog savjetovanja</w:t>
            </w:r>
          </w:p>
        </w:tc>
        <w:tc>
          <w:tcPr>
            <w:tcW w:w="609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EEC2CDD">
            <w:pPr>
              <w:pStyle w:val="25"/>
            </w:pPr>
            <w:r>
              <w:rPr>
                <w:rFonts w:ascii="Arial" w:hAnsi="Arial" w:cs="Arial"/>
              </w:rPr>
              <w:t>Provedba internetskog savjetovanja nije iziskivala dodatna financijska sredstva.</w:t>
            </w:r>
          </w:p>
          <w:p w14:paraId="72FDAA6E">
            <w:pPr>
              <w:pStyle w:val="25"/>
              <w:spacing w:before="0" w:after="0"/>
              <w:rPr>
                <w:rFonts w:ascii="Arial" w:hAnsi="Arial" w:eastAsia="Times New Roman" w:cs="Arial"/>
                <w:color w:val="000000"/>
                <w:lang w:eastAsia="hr-HR"/>
              </w:rPr>
            </w:pPr>
          </w:p>
        </w:tc>
      </w:tr>
      <w:tr w14:paraId="1582CFAA">
        <w:tblPrEx>
          <w:tblCellMar>
            <w:top w:w="0" w:type="dxa"/>
            <w:left w:w="108" w:type="dxa"/>
            <w:bottom w:w="0" w:type="dxa"/>
            <w:right w:w="108" w:type="dxa"/>
          </w:tblCellMar>
        </w:tblPrEx>
        <w:tc>
          <w:tcPr>
            <w:tcW w:w="3114"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FF294C7">
            <w:pPr>
              <w:pStyle w:val="25"/>
              <w:spacing w:before="0" w:after="0"/>
            </w:pPr>
            <w:r>
              <w:rPr>
                <w:rFonts w:ascii="Arial" w:hAnsi="Arial" w:eastAsia="Times New Roman" w:cs="Arial"/>
                <w:b/>
                <w:color w:val="000000"/>
                <w:lang w:eastAsia="hr-HR"/>
              </w:rPr>
              <w:t>Tko je i kada izradio izvješće o provedenom savjetovanju?</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0D7018A">
            <w:pPr>
              <w:pStyle w:val="25"/>
              <w:spacing w:before="0" w:after="0"/>
              <w:jc w:val="both"/>
            </w:pPr>
            <w:r>
              <w:rPr>
                <w:rFonts w:ascii="Arial" w:hAnsi="Arial" w:eastAsia="Times New Roman" w:cs="Arial"/>
                <w:color w:val="000000"/>
                <w:lang w:eastAsia="hr-HR"/>
              </w:rPr>
              <w:t>Ime i prezime:</w:t>
            </w:r>
          </w:p>
          <w:p w14:paraId="0DA2944E">
            <w:pPr>
              <w:pStyle w:val="25"/>
              <w:spacing w:before="0" w:after="0"/>
              <w:jc w:val="both"/>
            </w:pPr>
            <w:r>
              <w:rPr>
                <w:rFonts w:ascii="Arial" w:hAnsi="Arial" w:eastAsia="Times New Roman" w:cs="Arial"/>
                <w:color w:val="000000"/>
                <w:lang w:eastAsia="hr-HR"/>
              </w:rPr>
              <w:t>Marita Daničić</w:t>
            </w:r>
          </w:p>
          <w:p w14:paraId="5A8461BF">
            <w:pPr>
              <w:pStyle w:val="25"/>
              <w:spacing w:before="0" w:after="0"/>
              <w:jc w:val="both"/>
            </w:pPr>
            <w:r>
              <w:rPr>
                <w:rFonts w:ascii="Arial" w:hAnsi="Arial" w:eastAsia="Times New Roman" w:cs="Arial"/>
                <w:color w:val="000000"/>
                <w:lang w:eastAsia="hr-HR"/>
              </w:rPr>
              <w:t>Viši savjetnik - specijalist</w:t>
            </w:r>
          </w:p>
        </w:tc>
        <w:tc>
          <w:tcPr>
            <w:tcW w:w="307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315C24C">
            <w:pPr>
              <w:pStyle w:val="25"/>
              <w:spacing w:before="0" w:after="0"/>
              <w:jc w:val="center"/>
            </w:pPr>
            <w:r>
              <w:rPr>
                <w:rFonts w:ascii="Arial" w:hAnsi="Arial" w:eastAsia="Times New Roman" w:cs="Arial"/>
                <w:color w:val="000000"/>
                <w:lang w:eastAsia="hr-HR"/>
              </w:rPr>
              <w:t>Datum:</w:t>
            </w:r>
          </w:p>
          <w:p w14:paraId="36E9B289">
            <w:pPr>
              <w:pStyle w:val="25"/>
              <w:spacing w:before="0" w:after="0"/>
              <w:ind w:left="360" w:right="0" w:firstLine="0"/>
              <w:jc w:val="center"/>
            </w:pPr>
            <w:r>
              <w:rPr>
                <w:rFonts w:ascii="Arial" w:hAnsi="Arial" w:eastAsia="Times New Roman" w:cs="Arial"/>
                <w:color w:val="000000"/>
                <w:lang w:eastAsia="hr-HR"/>
              </w:rPr>
              <w:t>13. veljače 2026.</w:t>
            </w:r>
          </w:p>
        </w:tc>
      </w:tr>
    </w:tbl>
    <w:p w14:paraId="1BAC2433">
      <w:pPr>
        <w:pStyle w:val="25"/>
        <w:rPr>
          <w:rFonts w:ascii="Arial" w:hAnsi="Arial" w:cs="Arial"/>
        </w:rPr>
      </w:pPr>
    </w:p>
    <w:sectPr>
      <w:footnotePr>
        <w:pos w:val="beneathText"/>
        <w:numFmt w:val="decimal"/>
      </w:footnotePr>
      <w:pgSz w:w="11906" w:h="16838"/>
      <w:pgMar w:top="1440" w:right="1440" w:bottom="1440" w:left="1440" w:header="720" w:footer="720" w:gutter="0"/>
      <w:pgNumType w:fmt="decimal"/>
      <w:cols w:space="720" w:num="1"/>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0"/>
        </w:tabs>
        <w:ind w:left="720" w:hanging="360"/>
      </w:pPr>
      <w:rPr>
        <w:b w:val="0"/>
        <w:bCs w:val="0"/>
      </w:r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1">
    <w:nsid w:val="00000002"/>
    <w:multiLevelType w:val="multilevel"/>
    <w:tmpl w:val="00000002"/>
    <w:lvl w:ilvl="0" w:tentative="0">
      <w:start w:val="1"/>
      <w:numFmt w:val="bullet"/>
      <w:lvlText w:val="-"/>
      <w:lvlJc w:val="left"/>
      <w:pPr>
        <w:tabs>
          <w:tab w:val="left" w:pos="0"/>
        </w:tabs>
        <w:ind w:left="1080" w:hanging="360"/>
      </w:pPr>
      <w:rPr>
        <w:rFonts w:ascii="Arial" w:hAnsi="Arial" w:cs="Arial"/>
        <w:b/>
      </w:rPr>
    </w:lvl>
    <w:lvl w:ilvl="1" w:tentative="0">
      <w:start w:val="1"/>
      <w:numFmt w:val="bullet"/>
      <w:lvlText w:val="o"/>
      <w:lvlJc w:val="left"/>
      <w:pPr>
        <w:tabs>
          <w:tab w:val="left" w:pos="0"/>
        </w:tabs>
        <w:ind w:left="1800" w:hanging="360"/>
      </w:pPr>
      <w:rPr>
        <w:rFonts w:ascii="Courier New" w:hAnsi="Courier New" w:cs="Courier New"/>
      </w:rPr>
    </w:lvl>
    <w:lvl w:ilvl="2" w:tentative="0">
      <w:start w:val="1"/>
      <w:numFmt w:val="bullet"/>
      <w:lvlText w:val=""/>
      <w:lvlJc w:val="left"/>
      <w:pPr>
        <w:tabs>
          <w:tab w:val="left" w:pos="0"/>
        </w:tabs>
        <w:ind w:left="2520" w:hanging="360"/>
      </w:pPr>
      <w:rPr>
        <w:rFonts w:ascii="Wingdings" w:hAnsi="Wingdings"/>
      </w:rPr>
    </w:lvl>
    <w:lvl w:ilvl="3" w:tentative="0">
      <w:start w:val="1"/>
      <w:numFmt w:val="bullet"/>
      <w:lvlText w:val=""/>
      <w:lvlJc w:val="left"/>
      <w:pPr>
        <w:tabs>
          <w:tab w:val="left" w:pos="0"/>
        </w:tabs>
        <w:ind w:left="3240" w:hanging="360"/>
      </w:pPr>
      <w:rPr>
        <w:rFonts w:ascii="Symbol" w:hAnsi="Symbol"/>
      </w:rPr>
    </w:lvl>
    <w:lvl w:ilvl="4" w:tentative="0">
      <w:start w:val="1"/>
      <w:numFmt w:val="bullet"/>
      <w:lvlText w:val="o"/>
      <w:lvlJc w:val="left"/>
      <w:pPr>
        <w:tabs>
          <w:tab w:val="left" w:pos="0"/>
        </w:tabs>
        <w:ind w:left="3960" w:hanging="360"/>
      </w:pPr>
      <w:rPr>
        <w:rFonts w:ascii="Courier New" w:hAnsi="Courier New" w:cs="Courier New"/>
      </w:rPr>
    </w:lvl>
    <w:lvl w:ilvl="5" w:tentative="0">
      <w:start w:val="1"/>
      <w:numFmt w:val="bullet"/>
      <w:lvlText w:val=""/>
      <w:lvlJc w:val="left"/>
      <w:pPr>
        <w:tabs>
          <w:tab w:val="left" w:pos="0"/>
        </w:tabs>
        <w:ind w:left="4680" w:hanging="360"/>
      </w:pPr>
      <w:rPr>
        <w:rFonts w:ascii="Wingdings" w:hAnsi="Wingdings"/>
      </w:rPr>
    </w:lvl>
    <w:lvl w:ilvl="6" w:tentative="0">
      <w:start w:val="1"/>
      <w:numFmt w:val="bullet"/>
      <w:lvlText w:val=""/>
      <w:lvlJc w:val="left"/>
      <w:pPr>
        <w:tabs>
          <w:tab w:val="left" w:pos="0"/>
        </w:tabs>
        <w:ind w:left="5400" w:hanging="360"/>
      </w:pPr>
      <w:rPr>
        <w:rFonts w:ascii="Symbol" w:hAnsi="Symbol"/>
      </w:rPr>
    </w:lvl>
    <w:lvl w:ilvl="7" w:tentative="0">
      <w:start w:val="1"/>
      <w:numFmt w:val="bullet"/>
      <w:lvlText w:val="o"/>
      <w:lvlJc w:val="left"/>
      <w:pPr>
        <w:tabs>
          <w:tab w:val="left" w:pos="0"/>
        </w:tabs>
        <w:ind w:left="6120" w:hanging="360"/>
      </w:pPr>
      <w:rPr>
        <w:rFonts w:ascii="Courier New" w:hAnsi="Courier New" w:cs="Courier New"/>
      </w:rPr>
    </w:lvl>
    <w:lvl w:ilvl="8" w:tentative="0">
      <w:start w:val="1"/>
      <w:numFmt w:val="bullet"/>
      <w:lvlText w:val=""/>
      <w:lvlJc w:val="left"/>
      <w:pPr>
        <w:tabs>
          <w:tab w:val="left" w:pos="0"/>
        </w:tabs>
        <w:ind w:left="6840" w:hanging="360"/>
      </w:pPr>
      <w:rPr>
        <w:rFonts w:ascii="Wingdings" w:hAnsi="Wingdings"/>
      </w:rPr>
    </w:lvl>
  </w:abstractNum>
  <w:abstractNum w:abstractNumId="2">
    <w:nsid w:val="00000003"/>
    <w:multiLevelType w:val="multilevel"/>
    <w:tmpl w:val="00000003"/>
    <w:lvl w:ilvl="0" w:tentative="0">
      <w:start w:val="1"/>
      <w:numFmt w:val="bullet"/>
      <w:lvlText w:val=""/>
      <w:lvlJc w:val="left"/>
      <w:pPr>
        <w:tabs>
          <w:tab w:val="left" w:pos="0"/>
        </w:tabs>
        <w:ind w:left="720" w:hanging="360"/>
      </w:pPr>
      <w:rPr>
        <w:rFonts w:ascii="Symbol" w:hAnsi="Symbol"/>
      </w:rPr>
    </w:lvl>
    <w:lvl w:ilvl="1" w:tentative="0">
      <w:start w:val="1"/>
      <w:numFmt w:val="bullet"/>
      <w:lvlText w:val="o"/>
      <w:lvlJc w:val="left"/>
      <w:pPr>
        <w:tabs>
          <w:tab w:val="left" w:pos="0"/>
        </w:tabs>
        <w:ind w:left="1440" w:hanging="360"/>
      </w:pPr>
      <w:rPr>
        <w:rFonts w:ascii="Courier New" w:hAnsi="Courier New" w:cs="Courier New"/>
      </w:rPr>
    </w:lvl>
    <w:lvl w:ilvl="2" w:tentative="0">
      <w:start w:val="1"/>
      <w:numFmt w:val="bullet"/>
      <w:lvlText w:val=""/>
      <w:lvlJc w:val="left"/>
      <w:pPr>
        <w:tabs>
          <w:tab w:val="left" w:pos="0"/>
        </w:tabs>
        <w:ind w:left="2160" w:hanging="360"/>
      </w:pPr>
      <w:rPr>
        <w:rFonts w:ascii="Wingdings" w:hAnsi="Wingdings"/>
      </w:rPr>
    </w:lvl>
    <w:lvl w:ilvl="3" w:tentative="0">
      <w:start w:val="1"/>
      <w:numFmt w:val="bullet"/>
      <w:lvlText w:val=""/>
      <w:lvlJc w:val="left"/>
      <w:pPr>
        <w:tabs>
          <w:tab w:val="left" w:pos="0"/>
        </w:tabs>
        <w:ind w:left="2880" w:hanging="360"/>
      </w:pPr>
      <w:rPr>
        <w:rFonts w:ascii="Symbol" w:hAnsi="Symbol"/>
      </w:rPr>
    </w:lvl>
    <w:lvl w:ilvl="4" w:tentative="0">
      <w:start w:val="1"/>
      <w:numFmt w:val="bullet"/>
      <w:lvlText w:val="o"/>
      <w:lvlJc w:val="left"/>
      <w:pPr>
        <w:tabs>
          <w:tab w:val="left" w:pos="0"/>
        </w:tabs>
        <w:ind w:left="3600" w:hanging="360"/>
      </w:pPr>
      <w:rPr>
        <w:rFonts w:ascii="Courier New" w:hAnsi="Courier New" w:cs="Courier New"/>
      </w:rPr>
    </w:lvl>
    <w:lvl w:ilvl="5" w:tentative="0">
      <w:start w:val="1"/>
      <w:numFmt w:val="bullet"/>
      <w:lvlText w:val=""/>
      <w:lvlJc w:val="left"/>
      <w:pPr>
        <w:tabs>
          <w:tab w:val="left" w:pos="0"/>
        </w:tabs>
        <w:ind w:left="4320" w:hanging="360"/>
      </w:pPr>
      <w:rPr>
        <w:rFonts w:ascii="Wingdings" w:hAnsi="Wingdings"/>
      </w:rPr>
    </w:lvl>
    <w:lvl w:ilvl="6" w:tentative="0">
      <w:start w:val="1"/>
      <w:numFmt w:val="bullet"/>
      <w:lvlText w:val=""/>
      <w:lvlJc w:val="left"/>
      <w:pPr>
        <w:tabs>
          <w:tab w:val="left" w:pos="0"/>
        </w:tabs>
        <w:ind w:left="5040" w:hanging="360"/>
      </w:pPr>
      <w:rPr>
        <w:rFonts w:ascii="Symbol" w:hAnsi="Symbol"/>
      </w:rPr>
    </w:lvl>
    <w:lvl w:ilvl="7" w:tentative="0">
      <w:start w:val="1"/>
      <w:numFmt w:val="bullet"/>
      <w:lvlText w:val="o"/>
      <w:lvlJc w:val="left"/>
      <w:pPr>
        <w:tabs>
          <w:tab w:val="left" w:pos="0"/>
        </w:tabs>
        <w:ind w:left="5760" w:hanging="360"/>
      </w:pPr>
      <w:rPr>
        <w:rFonts w:ascii="Courier New" w:hAnsi="Courier New" w:cs="Courier New"/>
      </w:rPr>
    </w:lvl>
    <w:lvl w:ilvl="8" w:tentative="0">
      <w:start w:val="1"/>
      <w:numFmt w:val="bullet"/>
      <w:lvlText w:val=""/>
      <w:lvlJc w:val="left"/>
      <w:pPr>
        <w:tabs>
          <w:tab w:val="left" w:pos="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08"/>
  <w:hyphenationZone w:val="360"/>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doNotValidateAgainstSchema/>
  <w:doNotDemarcateInvalidXml/>
  <w:footnotePr>
    <w:pos w:val="beneathText"/>
    <w:footnote w:id="0"/>
    <w:footnote w:id="1"/>
  </w:footnotePr>
  <w:endnotePr>
    <w:endnote w:id="0"/>
    <w:endnote w:id="1"/>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235C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heme="minorBidi"/>
      </w:rPr>
    </w:rPrDefault>
    <w:pPrDefault/>
  </w:docDefaults>
  <w:latentStyles w:count="260" w:defQFormat="0" w:defUnhideWhenUsed="1" w:defSemiHidden="1" w:defUIPriority="99" w:defLockedState="0">
    <w:lsdException w:unhideWhenUsed="0" w:uiPriority="7"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7"/>
    <w:pPr>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auto"/>
      <w:suppressAutoHyphens w:val="0"/>
      <w:kinsoku/>
      <w:overflowPunct/>
      <w:autoSpaceDE/>
      <w:bidi w:val="0"/>
      <w:snapToGrid/>
      <w:spacing w:before="0" w:after="160" w:line="240" w:lineRule="auto"/>
      <w:jc w:val="left"/>
    </w:pPr>
    <w:rPr>
      <w:rFonts w:ascii="Calibri" w:hAnsi="Calibri" w:eastAsia="Calibri" w:cs="Times New Roman"/>
      <w:color w:val="auto"/>
      <w:spacing w:val="0"/>
      <w:w w:val="100"/>
      <w:kern w:val="0"/>
      <w:position w:val="0"/>
      <w:sz w:val="22"/>
      <w:szCs w:val="22"/>
      <w:u w:val="none"/>
      <w:shd w:val="clear" w:color="auto" w:fill="auto"/>
      <w:vertAlign w:val="baseline"/>
      <w:lang w:val="hr-HR"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4">
    <w:name w:val="Zadani font odlomka"/>
    <w:uiPriority w:val="6"/>
  </w:style>
  <w:style w:type="character" w:customStyle="1" w:styleId="5">
    <w:name w:val="Naglašeno"/>
    <w:basedOn w:val="4"/>
    <w:uiPriority w:val="6"/>
    <w:rPr>
      <w:b/>
      <w:bCs/>
    </w:rPr>
  </w:style>
  <w:style w:type="character" w:customStyle="1" w:styleId="6">
    <w:name w:val="WW_CharLFO1LVL1"/>
    <w:uiPriority w:val="5"/>
  </w:style>
  <w:style w:type="character" w:customStyle="1" w:styleId="7">
    <w:name w:val="WW_CharLFO2LVL1"/>
    <w:uiPriority w:val="5"/>
    <w:rPr>
      <w:rFonts w:ascii="Arial" w:hAnsi="Arial" w:eastAsia="Times New Roman" w:cs="Arial"/>
      <w:b/>
    </w:rPr>
  </w:style>
  <w:style w:type="character" w:customStyle="1" w:styleId="8">
    <w:name w:val="WW_CharLFO2LVL2"/>
    <w:uiPriority w:val="5"/>
    <w:rPr>
      <w:rFonts w:ascii="Courier New" w:hAnsi="Courier New" w:cs="Courier New"/>
    </w:rPr>
  </w:style>
  <w:style w:type="character" w:customStyle="1" w:styleId="9">
    <w:name w:val="WW_CharLFO2LVL3"/>
    <w:uiPriority w:val="5"/>
    <w:rPr>
      <w:rFonts w:ascii="Wingdings" w:hAnsi="Wingdings"/>
    </w:rPr>
  </w:style>
  <w:style w:type="character" w:customStyle="1" w:styleId="10">
    <w:name w:val="WW_CharLFO2LVL4"/>
    <w:uiPriority w:val="5"/>
    <w:rPr>
      <w:rFonts w:ascii="Symbol" w:hAnsi="Symbol"/>
    </w:rPr>
  </w:style>
  <w:style w:type="character" w:customStyle="1" w:styleId="11">
    <w:name w:val="WW_CharLFO2LVL5"/>
    <w:uiPriority w:val="5"/>
    <w:rPr>
      <w:rFonts w:ascii="Courier New" w:hAnsi="Courier New" w:cs="Courier New"/>
    </w:rPr>
  </w:style>
  <w:style w:type="character" w:customStyle="1" w:styleId="12">
    <w:name w:val="WW_CharLFO2LVL6"/>
    <w:uiPriority w:val="5"/>
    <w:rPr>
      <w:rFonts w:ascii="Wingdings" w:hAnsi="Wingdings"/>
    </w:rPr>
  </w:style>
  <w:style w:type="character" w:customStyle="1" w:styleId="13">
    <w:name w:val="WW_CharLFO2LVL7"/>
    <w:uiPriority w:val="5"/>
    <w:rPr>
      <w:rFonts w:ascii="Symbol" w:hAnsi="Symbol"/>
    </w:rPr>
  </w:style>
  <w:style w:type="character" w:customStyle="1" w:styleId="14">
    <w:name w:val="WW_CharLFO2LVL8"/>
    <w:uiPriority w:val="5"/>
    <w:rPr>
      <w:rFonts w:ascii="Courier New" w:hAnsi="Courier New" w:cs="Courier New"/>
    </w:rPr>
  </w:style>
  <w:style w:type="character" w:customStyle="1" w:styleId="15">
    <w:name w:val="WW_CharLFO2LVL9"/>
    <w:uiPriority w:val="5"/>
    <w:rPr>
      <w:rFonts w:ascii="Wingdings" w:hAnsi="Wingdings"/>
    </w:rPr>
  </w:style>
  <w:style w:type="character" w:customStyle="1" w:styleId="16">
    <w:name w:val="WW_CharLFO3LVL1"/>
    <w:uiPriority w:val="5"/>
    <w:rPr>
      <w:rFonts w:ascii="Symbol" w:hAnsi="Symbol"/>
    </w:rPr>
  </w:style>
  <w:style w:type="character" w:customStyle="1" w:styleId="17">
    <w:name w:val="WW_CharLFO3LVL2"/>
    <w:uiPriority w:val="5"/>
    <w:rPr>
      <w:rFonts w:ascii="Courier New" w:hAnsi="Courier New" w:cs="Courier New"/>
    </w:rPr>
  </w:style>
  <w:style w:type="character" w:customStyle="1" w:styleId="18">
    <w:name w:val="WW_CharLFO3LVL3"/>
    <w:uiPriority w:val="5"/>
    <w:rPr>
      <w:rFonts w:ascii="Wingdings" w:hAnsi="Wingdings"/>
    </w:rPr>
  </w:style>
  <w:style w:type="character" w:customStyle="1" w:styleId="19">
    <w:name w:val="WW_CharLFO3LVL4"/>
    <w:uiPriority w:val="5"/>
    <w:rPr>
      <w:rFonts w:ascii="Symbol" w:hAnsi="Symbol"/>
    </w:rPr>
  </w:style>
  <w:style w:type="character" w:customStyle="1" w:styleId="20">
    <w:name w:val="WW_CharLFO3LVL5"/>
    <w:uiPriority w:val="5"/>
    <w:rPr>
      <w:rFonts w:ascii="Courier New" w:hAnsi="Courier New" w:cs="Courier New"/>
    </w:rPr>
  </w:style>
  <w:style w:type="character" w:customStyle="1" w:styleId="21">
    <w:name w:val="WW_CharLFO3LVL6"/>
    <w:uiPriority w:val="5"/>
    <w:rPr>
      <w:rFonts w:ascii="Wingdings" w:hAnsi="Wingdings"/>
    </w:rPr>
  </w:style>
  <w:style w:type="character" w:customStyle="1" w:styleId="22">
    <w:name w:val="WW_CharLFO3LVL7"/>
    <w:uiPriority w:val="5"/>
    <w:rPr>
      <w:rFonts w:ascii="Symbol" w:hAnsi="Symbol"/>
    </w:rPr>
  </w:style>
  <w:style w:type="character" w:customStyle="1" w:styleId="23">
    <w:name w:val="WW_CharLFO3LVL8"/>
    <w:uiPriority w:val="5"/>
    <w:rPr>
      <w:rFonts w:ascii="Courier New" w:hAnsi="Courier New" w:cs="Courier New"/>
    </w:rPr>
  </w:style>
  <w:style w:type="character" w:customStyle="1" w:styleId="24">
    <w:name w:val="WW_CharLFO3LVL9"/>
    <w:uiPriority w:val="5"/>
    <w:rPr>
      <w:rFonts w:ascii="Wingdings" w:hAnsi="Wingdings"/>
    </w:rPr>
  </w:style>
  <w:style w:type="paragraph" w:customStyle="1" w:styleId="25">
    <w:name w:val="LO-Normal"/>
    <w:uiPriority w:val="2"/>
    <w:pPr>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auto"/>
      <w:suppressAutoHyphens/>
      <w:kinsoku/>
      <w:overflowPunct/>
      <w:autoSpaceDE/>
      <w:bidi w:val="0"/>
      <w:snapToGrid/>
      <w:spacing w:before="0" w:after="160" w:line="240" w:lineRule="auto"/>
      <w:jc w:val="left"/>
    </w:pPr>
    <w:rPr>
      <w:rFonts w:ascii="Calibri" w:hAnsi="Calibri" w:eastAsia="Calibri" w:cs="Times New Roman"/>
      <w:color w:val="auto"/>
      <w:spacing w:val="0"/>
      <w:w w:val="100"/>
      <w:kern w:val="0"/>
      <w:position w:val="0"/>
      <w:sz w:val="22"/>
      <w:szCs w:val="22"/>
      <w:u w:val="none"/>
      <w:shd w:val="clear" w:color="auto" w:fill="auto"/>
      <w:vertAlign w:val="baseline"/>
      <w:lang w:val="hr-HR" w:eastAsia="en-US" w:bidi="ar-SA"/>
    </w:rPr>
  </w:style>
  <w:style w:type="paragraph" w:customStyle="1" w:styleId="26">
    <w:name w:val="Bez proreda"/>
    <w:uiPriority w:val="7"/>
    <w:pPr>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auto"/>
      <w:suppressAutoHyphens/>
      <w:kinsoku/>
      <w:overflowPunct/>
      <w:autoSpaceDE/>
      <w:bidi w:val="0"/>
      <w:snapToGrid/>
      <w:spacing w:before="0" w:after="0" w:line="240" w:lineRule="auto"/>
      <w:jc w:val="left"/>
    </w:pPr>
    <w:rPr>
      <w:rFonts w:ascii="Arial" w:hAnsi="Arial" w:eastAsia="Calibri" w:cs="Times New Roman"/>
      <w:color w:val="auto"/>
      <w:spacing w:val="0"/>
      <w:w w:val="100"/>
      <w:kern w:val="0"/>
      <w:position w:val="0"/>
      <w:sz w:val="22"/>
      <w:szCs w:val="22"/>
      <w:u w:val="none"/>
      <w:shd w:val="clear" w:color="auto" w:fill="auto"/>
      <w:vertAlign w:val="baseline"/>
      <w:lang w:val="hr-HR" w:eastAsia="en-US" w:bidi="ar-SA"/>
    </w:rPr>
  </w:style>
  <w:style w:type="paragraph" w:customStyle="1" w:styleId="27">
    <w:name w:val="x_xmsonormal"/>
    <w:basedOn w:val="25"/>
    <w:uiPriority w:val="7"/>
    <w:pPr>
      <w:suppressAutoHyphens/>
      <w:spacing w:before="0" w:after="0"/>
    </w:pPr>
    <w:rPr>
      <w:rFonts w:cs="Calibri"/>
      <w:lang w:eastAsia="hr-HR"/>
    </w:rPr>
  </w:style>
  <w:style w:type="paragraph" w:customStyle="1" w:styleId="28">
    <w:name w:val="Standard (Web)"/>
    <w:basedOn w:val="25"/>
    <w:uiPriority w:val="6"/>
    <w:pPr>
      <w:suppressAutoHyphens w:val="0"/>
      <w:spacing w:before="100" w:after="100"/>
      <w:textAlignment w:val="auto"/>
    </w:pPr>
    <w:rPr>
      <w:rFonts w:ascii="Times New Roman" w:hAnsi="Times New Roman" w:eastAsia="Times New Roman"/>
      <w:sz w:val="24"/>
      <w:szCs w:val="24"/>
      <w:lang w:eastAsia="hr-HR"/>
    </w:rPr>
  </w:style>
  <w:style w:type="paragraph" w:customStyle="1" w:styleId="29">
    <w:name w:val="Table Contents"/>
    <w:basedOn w:val="1"/>
    <w:uiPriority w:val="6"/>
    <w:pPr>
      <w:widowControl w:val="0"/>
      <w:suppressLineNumbers/>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2056</Words>
  <Characters>12364</Characters>
  <TotalTime>0</TotalTime>
  <ScaleCrop>false</ScaleCrop>
  <LinksUpToDate>false</LinksUpToDate>
  <CharactersWithSpaces>14312</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2026-01-20T13:26:00Z</dcterms:created>
  <dc:creator>Laptop</dc:creator>
  <cp:lastModifiedBy>Laptop</cp:lastModifiedBy>
  <cp:lastPrinted>2026-02-11T12:14:00Z</cp:lastPrinted>
  <dcterms:modified xsi:type="dcterms:W3CDTF">2026-09-17T12:18:43Z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A4F37E932BD94858B8688DAE3DA314DA_13</vt:lpwstr>
  </property>
</Properties>
</file>