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BEB" w:rsidRPr="00EA6CE6" w:rsidRDefault="009D4BEB" w:rsidP="009D4BEB">
      <w:pPr>
        <w:rPr>
          <w:rFonts w:ascii="Arial" w:hAnsi="Arial" w:cs="Arial"/>
          <w:lang w:val="en-US"/>
        </w:rPr>
      </w:pPr>
      <w:r w:rsidRPr="00EA6CE6">
        <w:rPr>
          <w:rFonts w:ascii="Arial" w:hAnsi="Arial" w:cs="Arial"/>
          <w:lang w:val="en-US"/>
        </w:rPr>
        <w:t>OBRAZAC IZVJEŠĆA O PROVEDENOM SAVJETOVANJU</w:t>
      </w:r>
    </w:p>
    <w:tbl>
      <w:tblPr>
        <w:tblStyle w:val="TableGrid"/>
        <w:tblW w:w="0" w:type="auto"/>
        <w:tblLook w:val="04A0" w:firstRow="1" w:lastRow="0" w:firstColumn="1" w:lastColumn="0" w:noHBand="0" w:noVBand="1"/>
      </w:tblPr>
      <w:tblGrid>
        <w:gridCol w:w="3114"/>
        <w:gridCol w:w="3016"/>
        <w:gridCol w:w="2886"/>
      </w:tblGrid>
      <w:tr w:rsidR="009D4BEB" w:rsidRPr="00EA6CE6" w:rsidTr="00777666">
        <w:trPr>
          <w:trHeight w:val="631"/>
        </w:trPr>
        <w:tc>
          <w:tcPr>
            <w:tcW w:w="9016" w:type="dxa"/>
            <w:gridSpan w:val="3"/>
          </w:tcPr>
          <w:p w:rsidR="009D4BEB" w:rsidRPr="00EA6CE6" w:rsidRDefault="009D4BEB" w:rsidP="00777666">
            <w:pPr>
              <w:jc w:val="center"/>
              <w:rPr>
                <w:rFonts w:ascii="Arial" w:hAnsi="Arial" w:cs="Arial"/>
                <w:b/>
              </w:rPr>
            </w:pPr>
            <w:r w:rsidRPr="00EA6CE6">
              <w:rPr>
                <w:rFonts w:ascii="Arial" w:hAnsi="Arial" w:cs="Arial"/>
                <w:b/>
              </w:rPr>
              <w:t xml:space="preserve">  IZVJEŠĆE O PROVEDENOM SAVJETOVANJU</w:t>
            </w:r>
          </w:p>
          <w:p w:rsidR="009D4BEB" w:rsidRPr="00EA6CE6" w:rsidRDefault="009D4BEB" w:rsidP="00777666">
            <w:pPr>
              <w:jc w:val="center"/>
              <w:rPr>
                <w:rFonts w:ascii="Arial" w:hAnsi="Arial" w:cs="Arial"/>
                <w:b/>
              </w:rPr>
            </w:pPr>
            <w:r>
              <w:rPr>
                <w:rFonts w:ascii="Arial" w:hAnsi="Arial" w:cs="Arial"/>
                <w:b/>
              </w:rPr>
              <w:t xml:space="preserve"> SA ZAINTERESIRANOM JAVNOŠĆU</w:t>
            </w:r>
          </w:p>
        </w:tc>
      </w:tr>
      <w:tr w:rsidR="009D4BEB" w:rsidRPr="00EA6CE6" w:rsidTr="00777666">
        <w:trPr>
          <w:trHeight w:val="786"/>
        </w:trPr>
        <w:tc>
          <w:tcPr>
            <w:tcW w:w="3114" w:type="dxa"/>
          </w:tcPr>
          <w:p w:rsidR="009D4BEB" w:rsidRPr="00EA6CE6" w:rsidRDefault="009D4BEB" w:rsidP="00777666">
            <w:pPr>
              <w:rPr>
                <w:rFonts w:ascii="Arial" w:hAnsi="Arial" w:cs="Arial"/>
              </w:rPr>
            </w:pPr>
            <w:r w:rsidRPr="00EA6CE6">
              <w:rPr>
                <w:rFonts w:ascii="Arial" w:hAnsi="Arial" w:cs="Arial"/>
                <w:b/>
              </w:rPr>
              <w:t>Naziv akta/dokumenta za koji je provedeno savjetovanje:</w:t>
            </w:r>
            <w:r>
              <w:rPr>
                <w:rFonts w:ascii="Arial" w:hAnsi="Arial" w:cs="Arial"/>
                <w:b/>
              </w:rPr>
              <w:t xml:space="preserve"> </w:t>
            </w:r>
          </w:p>
        </w:tc>
        <w:tc>
          <w:tcPr>
            <w:tcW w:w="5902" w:type="dxa"/>
            <w:gridSpan w:val="2"/>
          </w:tcPr>
          <w:p w:rsidR="009D4BEB" w:rsidRPr="006A4D94" w:rsidRDefault="009D4BEB" w:rsidP="00777666">
            <w:pPr>
              <w:pStyle w:val="NoSpacing"/>
              <w:jc w:val="both"/>
              <w:rPr>
                <w:rFonts w:ascii="Arial" w:hAnsi="Arial" w:cs="Arial"/>
              </w:rPr>
            </w:pPr>
            <w:r w:rsidRPr="00FE042A">
              <w:rPr>
                <w:rFonts w:ascii="Arial" w:hAnsi="Arial" w:cs="Arial"/>
              </w:rPr>
              <w:t>P</w:t>
            </w:r>
            <w:proofErr w:type="spellStart"/>
            <w:r w:rsidRPr="00FE042A">
              <w:rPr>
                <w:rFonts w:ascii="Arial" w:eastAsia="Times New Roman" w:hAnsi="Arial" w:cs="Arial"/>
                <w:lang w:val="es-ES"/>
              </w:rPr>
              <w:t>rijedlog</w:t>
            </w:r>
            <w:proofErr w:type="spellEnd"/>
            <w:r>
              <w:rPr>
                <w:rFonts w:ascii="Arial" w:eastAsia="Times New Roman" w:hAnsi="Arial" w:cs="Arial"/>
                <w:lang w:val="es-ES"/>
              </w:rPr>
              <w:t xml:space="preserve"> </w:t>
            </w:r>
            <w:proofErr w:type="spellStart"/>
            <w:r>
              <w:rPr>
                <w:rFonts w:ascii="Arial" w:eastAsia="Times New Roman" w:hAnsi="Arial" w:cs="Arial"/>
                <w:lang w:val="es-ES"/>
              </w:rPr>
              <w:t>Pravilnika</w:t>
            </w:r>
            <w:proofErr w:type="spellEnd"/>
            <w:r>
              <w:rPr>
                <w:rFonts w:ascii="Arial" w:eastAsia="Times New Roman" w:hAnsi="Arial" w:cs="Arial"/>
                <w:lang w:val="es-ES"/>
              </w:rPr>
              <w:t xml:space="preserve"> o </w:t>
            </w:r>
            <w:proofErr w:type="spellStart"/>
            <w:r>
              <w:rPr>
                <w:rFonts w:ascii="Arial" w:eastAsia="Times New Roman" w:hAnsi="Arial" w:cs="Arial"/>
                <w:lang w:val="es-ES"/>
              </w:rPr>
              <w:t>poticanju</w:t>
            </w:r>
            <w:proofErr w:type="spellEnd"/>
            <w:r>
              <w:rPr>
                <w:rFonts w:ascii="Arial" w:eastAsia="Times New Roman" w:hAnsi="Arial" w:cs="Arial"/>
                <w:lang w:val="es-ES"/>
              </w:rPr>
              <w:t xml:space="preserve"> </w:t>
            </w:r>
            <w:proofErr w:type="spellStart"/>
            <w:r>
              <w:rPr>
                <w:rFonts w:ascii="Arial" w:eastAsia="Times New Roman" w:hAnsi="Arial" w:cs="Arial"/>
                <w:lang w:val="es-ES"/>
              </w:rPr>
              <w:t>ugradnje</w:t>
            </w:r>
            <w:proofErr w:type="spellEnd"/>
            <w:r>
              <w:rPr>
                <w:rFonts w:ascii="Arial" w:eastAsia="Times New Roman" w:hAnsi="Arial" w:cs="Arial"/>
                <w:lang w:val="es-ES"/>
              </w:rPr>
              <w:t xml:space="preserve"> </w:t>
            </w:r>
            <w:proofErr w:type="spellStart"/>
            <w:r>
              <w:rPr>
                <w:rFonts w:ascii="Arial" w:eastAsia="Times New Roman" w:hAnsi="Arial" w:cs="Arial"/>
                <w:lang w:val="es-ES"/>
              </w:rPr>
              <w:t>fotonaponskih</w:t>
            </w:r>
            <w:proofErr w:type="spellEnd"/>
            <w:r>
              <w:rPr>
                <w:rFonts w:ascii="Arial" w:eastAsia="Times New Roman" w:hAnsi="Arial" w:cs="Arial"/>
                <w:lang w:val="es-ES"/>
              </w:rPr>
              <w:t xml:space="preserve"> </w:t>
            </w:r>
            <w:proofErr w:type="spellStart"/>
            <w:r>
              <w:rPr>
                <w:rFonts w:ascii="Arial" w:eastAsia="Times New Roman" w:hAnsi="Arial" w:cs="Arial"/>
                <w:lang w:val="es-ES"/>
              </w:rPr>
              <w:t>elektrana</w:t>
            </w:r>
            <w:proofErr w:type="spellEnd"/>
            <w:r>
              <w:rPr>
                <w:rFonts w:ascii="Arial" w:eastAsia="Times New Roman" w:hAnsi="Arial" w:cs="Arial"/>
                <w:lang w:val="es-ES"/>
              </w:rPr>
              <w:t xml:space="preserve"> do 10 </w:t>
            </w:r>
            <w:proofErr w:type="spellStart"/>
            <w:r>
              <w:rPr>
                <w:rFonts w:ascii="Arial" w:eastAsia="Times New Roman" w:hAnsi="Arial" w:cs="Arial"/>
                <w:lang w:val="es-ES"/>
              </w:rPr>
              <w:t>kw</w:t>
            </w:r>
            <w:proofErr w:type="spellEnd"/>
            <w:r>
              <w:rPr>
                <w:rFonts w:ascii="Arial" w:eastAsia="Times New Roman" w:hAnsi="Arial" w:cs="Arial"/>
                <w:lang w:val="es-ES"/>
              </w:rPr>
              <w:t xml:space="preserve"> u </w:t>
            </w:r>
            <w:proofErr w:type="spellStart"/>
            <w:r>
              <w:rPr>
                <w:rFonts w:ascii="Arial" w:eastAsia="Times New Roman" w:hAnsi="Arial" w:cs="Arial"/>
                <w:lang w:val="es-ES"/>
              </w:rPr>
              <w:t>obiteljskim</w:t>
            </w:r>
            <w:proofErr w:type="spellEnd"/>
            <w:r>
              <w:rPr>
                <w:rFonts w:ascii="Arial" w:eastAsia="Times New Roman" w:hAnsi="Arial" w:cs="Arial"/>
                <w:lang w:val="es-ES"/>
              </w:rPr>
              <w:t xml:space="preserve"> </w:t>
            </w:r>
            <w:proofErr w:type="spellStart"/>
            <w:r>
              <w:rPr>
                <w:rFonts w:ascii="Arial" w:eastAsia="Times New Roman" w:hAnsi="Arial" w:cs="Arial"/>
                <w:lang w:val="es-ES"/>
              </w:rPr>
              <w:t>kućama</w:t>
            </w:r>
            <w:proofErr w:type="spellEnd"/>
            <w:r>
              <w:rPr>
                <w:rFonts w:ascii="Arial" w:eastAsia="Times New Roman" w:hAnsi="Arial" w:cs="Arial"/>
                <w:lang w:val="es-ES"/>
              </w:rPr>
              <w:t xml:space="preserve"> na </w:t>
            </w:r>
            <w:proofErr w:type="spellStart"/>
            <w:r>
              <w:rPr>
                <w:rFonts w:ascii="Arial" w:eastAsia="Times New Roman" w:hAnsi="Arial" w:cs="Arial"/>
                <w:lang w:val="es-ES"/>
              </w:rPr>
              <w:t>području</w:t>
            </w:r>
            <w:proofErr w:type="spellEnd"/>
            <w:r>
              <w:rPr>
                <w:rFonts w:ascii="Arial" w:eastAsia="Times New Roman" w:hAnsi="Arial" w:cs="Arial"/>
                <w:lang w:val="es-ES"/>
              </w:rPr>
              <w:t xml:space="preserve"> G</w:t>
            </w:r>
            <w:r w:rsidRPr="00275BD1">
              <w:rPr>
                <w:rFonts w:ascii="Arial" w:hAnsi="Arial" w:cs="Arial"/>
                <w:color w:val="000000" w:themeColor="text1"/>
              </w:rPr>
              <w:t xml:space="preserve">rada </w:t>
            </w:r>
            <w:r>
              <w:rPr>
                <w:rFonts w:ascii="Arial" w:hAnsi="Arial" w:cs="Arial"/>
                <w:color w:val="000000" w:themeColor="text1"/>
              </w:rPr>
              <w:t>Dubrovnika</w:t>
            </w:r>
          </w:p>
        </w:tc>
      </w:tr>
      <w:tr w:rsidR="009D4BEB" w:rsidRPr="00EA6CE6" w:rsidTr="00777666">
        <w:trPr>
          <w:trHeight w:val="830"/>
        </w:trPr>
        <w:tc>
          <w:tcPr>
            <w:tcW w:w="3114" w:type="dxa"/>
          </w:tcPr>
          <w:p w:rsidR="009D4BEB" w:rsidRPr="00EA6CE6" w:rsidRDefault="009D4BEB" w:rsidP="00777666">
            <w:pPr>
              <w:rPr>
                <w:rFonts w:ascii="Arial" w:hAnsi="Arial" w:cs="Arial"/>
                <w:b/>
              </w:rPr>
            </w:pPr>
            <w:r w:rsidRPr="00EA6CE6">
              <w:rPr>
                <w:rFonts w:ascii="Arial" w:hAnsi="Arial" w:cs="Arial"/>
                <w:b/>
              </w:rPr>
              <w:t>Naziv tijela nadležnog za izradu nacrta / provedbu savjetovanja</w:t>
            </w:r>
          </w:p>
        </w:tc>
        <w:tc>
          <w:tcPr>
            <w:tcW w:w="5902" w:type="dxa"/>
            <w:gridSpan w:val="2"/>
          </w:tcPr>
          <w:p w:rsidR="009D4BEB" w:rsidRPr="00EA6CE6" w:rsidRDefault="009D4BEB" w:rsidP="00777666">
            <w:pPr>
              <w:rPr>
                <w:rFonts w:ascii="Arial" w:hAnsi="Arial" w:cs="Arial"/>
              </w:rPr>
            </w:pPr>
            <w:r w:rsidRPr="00EA6CE6">
              <w:rPr>
                <w:rFonts w:ascii="Arial" w:hAnsi="Arial" w:cs="Arial"/>
              </w:rPr>
              <w:t>Grad Dubrovnik</w:t>
            </w:r>
          </w:p>
          <w:p w:rsidR="009D4BEB" w:rsidRPr="00EA6CE6" w:rsidRDefault="009D4BEB" w:rsidP="00777666">
            <w:pPr>
              <w:rPr>
                <w:rFonts w:ascii="Arial" w:hAnsi="Arial" w:cs="Arial"/>
              </w:rPr>
            </w:pPr>
            <w:r w:rsidRPr="00EA6CE6">
              <w:rPr>
                <w:rFonts w:ascii="Arial" w:hAnsi="Arial" w:cs="Arial"/>
              </w:rPr>
              <w:t xml:space="preserve">Upravni odjel za </w:t>
            </w:r>
            <w:r>
              <w:rPr>
                <w:rFonts w:ascii="Arial" w:hAnsi="Arial" w:cs="Arial"/>
              </w:rPr>
              <w:t>europske fondove i gospodarstvo</w:t>
            </w:r>
          </w:p>
        </w:tc>
      </w:tr>
      <w:tr w:rsidR="009D4BEB" w:rsidRPr="00EA6CE6" w:rsidTr="00777666">
        <w:tc>
          <w:tcPr>
            <w:tcW w:w="3114" w:type="dxa"/>
          </w:tcPr>
          <w:p w:rsidR="009D4BEB" w:rsidRPr="00EA6CE6" w:rsidRDefault="009D4BEB" w:rsidP="00777666">
            <w:pPr>
              <w:rPr>
                <w:rFonts w:ascii="Arial" w:hAnsi="Arial" w:cs="Arial"/>
                <w:b/>
              </w:rPr>
            </w:pPr>
            <w:r w:rsidRPr="00EA6CE6">
              <w:rPr>
                <w:rFonts w:ascii="Arial" w:hAnsi="Arial" w:cs="Arial"/>
                <w:b/>
              </w:rPr>
              <w:t>Cilj i glavne teme savjetovanja</w:t>
            </w:r>
          </w:p>
        </w:tc>
        <w:tc>
          <w:tcPr>
            <w:tcW w:w="5902" w:type="dxa"/>
            <w:gridSpan w:val="2"/>
          </w:tcPr>
          <w:p w:rsidR="009D4BEB" w:rsidRPr="00596BC9" w:rsidRDefault="009D4BEB" w:rsidP="00777666">
            <w:pPr>
              <w:pStyle w:val="NormalWeb"/>
              <w:jc w:val="both"/>
              <w:rPr>
                <w:rFonts w:ascii="Arial" w:hAnsi="Arial" w:cs="Arial"/>
                <w:color w:val="000000" w:themeColor="text1"/>
                <w:sz w:val="22"/>
                <w:szCs w:val="22"/>
              </w:rPr>
            </w:pPr>
            <w:proofErr w:type="spellStart"/>
            <w:r w:rsidRPr="00596BC9">
              <w:rPr>
                <w:rFonts w:ascii="Arial" w:hAnsi="Arial" w:cs="Arial"/>
                <w:sz w:val="22"/>
                <w:szCs w:val="22"/>
                <w:lang w:val="es-ES"/>
              </w:rPr>
              <w:t>Pravilnik</w:t>
            </w:r>
            <w:proofErr w:type="spellEnd"/>
            <w:r w:rsidRPr="00596BC9">
              <w:rPr>
                <w:rFonts w:ascii="Arial" w:hAnsi="Arial" w:cs="Arial"/>
                <w:sz w:val="22"/>
                <w:szCs w:val="22"/>
                <w:lang w:val="es-ES"/>
              </w:rPr>
              <w:t xml:space="preserve"> o </w:t>
            </w:r>
            <w:proofErr w:type="spellStart"/>
            <w:r w:rsidRPr="00596BC9">
              <w:rPr>
                <w:rFonts w:ascii="Arial" w:hAnsi="Arial" w:cs="Arial"/>
                <w:sz w:val="22"/>
                <w:szCs w:val="22"/>
                <w:lang w:val="es-ES"/>
              </w:rPr>
              <w:t>poticanju</w:t>
            </w:r>
            <w:proofErr w:type="spellEnd"/>
            <w:r w:rsidRPr="00596BC9">
              <w:rPr>
                <w:rFonts w:ascii="Arial" w:hAnsi="Arial" w:cs="Arial"/>
                <w:sz w:val="22"/>
                <w:szCs w:val="22"/>
                <w:lang w:val="es-ES"/>
              </w:rPr>
              <w:t xml:space="preserve"> </w:t>
            </w:r>
            <w:proofErr w:type="spellStart"/>
            <w:r w:rsidRPr="00596BC9">
              <w:rPr>
                <w:rFonts w:ascii="Arial" w:hAnsi="Arial" w:cs="Arial"/>
                <w:sz w:val="22"/>
                <w:szCs w:val="22"/>
                <w:lang w:val="es-ES"/>
              </w:rPr>
              <w:t>ugradnje</w:t>
            </w:r>
            <w:proofErr w:type="spellEnd"/>
            <w:r w:rsidRPr="00596BC9">
              <w:rPr>
                <w:rFonts w:ascii="Arial" w:hAnsi="Arial" w:cs="Arial"/>
                <w:sz w:val="22"/>
                <w:szCs w:val="22"/>
                <w:lang w:val="es-ES"/>
              </w:rPr>
              <w:t xml:space="preserve"> </w:t>
            </w:r>
            <w:proofErr w:type="spellStart"/>
            <w:r w:rsidRPr="00596BC9">
              <w:rPr>
                <w:rFonts w:ascii="Arial" w:hAnsi="Arial" w:cs="Arial"/>
                <w:sz w:val="22"/>
                <w:szCs w:val="22"/>
                <w:lang w:val="es-ES"/>
              </w:rPr>
              <w:t>fotonaponskih</w:t>
            </w:r>
            <w:proofErr w:type="spellEnd"/>
            <w:r w:rsidRPr="00596BC9">
              <w:rPr>
                <w:rFonts w:ascii="Arial" w:hAnsi="Arial" w:cs="Arial"/>
                <w:sz w:val="22"/>
                <w:szCs w:val="22"/>
                <w:lang w:val="es-ES"/>
              </w:rPr>
              <w:t xml:space="preserve"> </w:t>
            </w:r>
            <w:proofErr w:type="spellStart"/>
            <w:r w:rsidRPr="00596BC9">
              <w:rPr>
                <w:rFonts w:ascii="Arial" w:hAnsi="Arial" w:cs="Arial"/>
                <w:sz w:val="22"/>
                <w:szCs w:val="22"/>
                <w:lang w:val="es-ES"/>
              </w:rPr>
              <w:t>elektrana</w:t>
            </w:r>
            <w:proofErr w:type="spellEnd"/>
            <w:r w:rsidRPr="00596BC9">
              <w:rPr>
                <w:rFonts w:ascii="Arial" w:hAnsi="Arial" w:cs="Arial"/>
                <w:sz w:val="22"/>
                <w:szCs w:val="22"/>
                <w:lang w:val="es-ES"/>
              </w:rPr>
              <w:t xml:space="preserve"> do 10 </w:t>
            </w:r>
            <w:proofErr w:type="spellStart"/>
            <w:r w:rsidRPr="00596BC9">
              <w:rPr>
                <w:rFonts w:ascii="Arial" w:hAnsi="Arial" w:cs="Arial"/>
                <w:sz w:val="22"/>
                <w:szCs w:val="22"/>
                <w:lang w:val="es-ES"/>
              </w:rPr>
              <w:t>kw</w:t>
            </w:r>
            <w:proofErr w:type="spellEnd"/>
            <w:r w:rsidRPr="00596BC9">
              <w:rPr>
                <w:rFonts w:ascii="Arial" w:hAnsi="Arial" w:cs="Arial"/>
                <w:sz w:val="22"/>
                <w:szCs w:val="22"/>
                <w:lang w:val="es-ES"/>
              </w:rPr>
              <w:t xml:space="preserve"> u </w:t>
            </w:r>
            <w:proofErr w:type="spellStart"/>
            <w:r w:rsidRPr="00596BC9">
              <w:rPr>
                <w:rFonts w:ascii="Arial" w:hAnsi="Arial" w:cs="Arial"/>
                <w:sz w:val="22"/>
                <w:szCs w:val="22"/>
                <w:lang w:val="es-ES"/>
              </w:rPr>
              <w:t>obiteljskim</w:t>
            </w:r>
            <w:proofErr w:type="spellEnd"/>
            <w:r w:rsidRPr="00596BC9">
              <w:rPr>
                <w:rFonts w:ascii="Arial" w:hAnsi="Arial" w:cs="Arial"/>
                <w:sz w:val="22"/>
                <w:szCs w:val="22"/>
                <w:lang w:val="es-ES"/>
              </w:rPr>
              <w:t xml:space="preserve"> </w:t>
            </w:r>
            <w:proofErr w:type="spellStart"/>
            <w:r w:rsidRPr="00596BC9">
              <w:rPr>
                <w:rFonts w:ascii="Arial" w:hAnsi="Arial" w:cs="Arial"/>
                <w:sz w:val="22"/>
                <w:szCs w:val="22"/>
                <w:lang w:val="es-ES"/>
              </w:rPr>
              <w:t>kućama</w:t>
            </w:r>
            <w:proofErr w:type="spellEnd"/>
            <w:r w:rsidRPr="00596BC9">
              <w:rPr>
                <w:rFonts w:ascii="Arial" w:hAnsi="Arial" w:cs="Arial"/>
                <w:sz w:val="22"/>
                <w:szCs w:val="22"/>
                <w:lang w:val="es-ES"/>
              </w:rPr>
              <w:t xml:space="preserve"> na </w:t>
            </w:r>
            <w:proofErr w:type="spellStart"/>
            <w:r w:rsidRPr="00596BC9">
              <w:rPr>
                <w:rFonts w:ascii="Arial" w:hAnsi="Arial" w:cs="Arial"/>
                <w:sz w:val="22"/>
                <w:szCs w:val="22"/>
                <w:lang w:val="es-ES"/>
              </w:rPr>
              <w:t>području</w:t>
            </w:r>
            <w:proofErr w:type="spellEnd"/>
            <w:r w:rsidRPr="00596BC9">
              <w:rPr>
                <w:rFonts w:ascii="Arial" w:hAnsi="Arial" w:cs="Arial"/>
                <w:sz w:val="22"/>
                <w:szCs w:val="22"/>
                <w:lang w:val="es-ES"/>
              </w:rPr>
              <w:t xml:space="preserve"> G</w:t>
            </w:r>
            <w:r w:rsidRPr="00596BC9">
              <w:rPr>
                <w:rFonts w:ascii="Arial" w:hAnsi="Arial" w:cs="Arial"/>
                <w:color w:val="000000" w:themeColor="text1"/>
                <w:sz w:val="22"/>
                <w:szCs w:val="22"/>
              </w:rPr>
              <w:t xml:space="preserve">rada Dubrovnika je dokument koji ima za cilj </w:t>
            </w:r>
            <w:r w:rsidRPr="00596BC9">
              <w:rPr>
                <w:rFonts w:ascii="Arial" w:hAnsi="Arial" w:cs="Arial"/>
                <w:sz w:val="22"/>
                <w:szCs w:val="22"/>
              </w:rPr>
              <w:t>poticanje povećanja udjela obnovljivih izvora energije u ukupnoj potrošnji električne energije te unaprjeđenje energetske učinkovitosti u kućanstvima na području Grada Dubrovnika. Time se ujedno doprinosi smanjenju emisija stakleničkog plina CO</w:t>
            </w:r>
            <w:r w:rsidRPr="00596BC9">
              <w:rPr>
                <w:rFonts w:ascii="Cambria Math" w:hAnsi="Cambria Math" w:cs="Cambria Math"/>
                <w:sz w:val="22"/>
                <w:szCs w:val="22"/>
              </w:rPr>
              <w:t>₂</w:t>
            </w:r>
            <w:r w:rsidRPr="00596BC9">
              <w:rPr>
                <w:rFonts w:ascii="Arial" w:hAnsi="Arial" w:cs="Arial"/>
                <w:sz w:val="22"/>
                <w:szCs w:val="22"/>
              </w:rPr>
              <w:t>, u skladu s ciljevima Europskog zelenog plana i postizanjem klimatske neutralnosti do 2050. godine.</w:t>
            </w:r>
            <w:r>
              <w:rPr>
                <w:rFonts w:ascii="Arial" w:hAnsi="Arial" w:cs="Arial"/>
                <w:sz w:val="22"/>
                <w:szCs w:val="22"/>
              </w:rPr>
              <w:t xml:space="preserve"> </w:t>
            </w:r>
            <w:r w:rsidRPr="00596BC9">
              <w:rPr>
                <w:rFonts w:ascii="Arial" w:hAnsi="Arial" w:cs="Arial"/>
                <w:sz w:val="22"/>
                <w:szCs w:val="22"/>
              </w:rPr>
              <w:t>Financijska sredstva dodjeljuju se na godišnjoj razini putem javnih poziva, a osigurana su u Proračunu Grada u upravnom odjelu nadležnom za gospodarstvo. Prijavitelji mogu putem javnog poziva ostvariti pravo na sufinanciranje opravdanih troškova u iznosu do najviše 90 % prihvatljivih troškova, ali ne više od 5.000 eura po kućanstvu.</w:t>
            </w:r>
          </w:p>
          <w:p w:rsidR="009D4BEB" w:rsidRPr="005821BA" w:rsidRDefault="009D4BEB" w:rsidP="00777666">
            <w:pPr>
              <w:pStyle w:val="NormalWeb"/>
              <w:jc w:val="both"/>
              <w:rPr>
                <w:rFonts w:ascii="Arial" w:hAnsi="Arial" w:cs="Arial"/>
                <w:sz w:val="22"/>
                <w:szCs w:val="22"/>
              </w:rPr>
            </w:pPr>
            <w:r w:rsidRPr="00521082">
              <w:rPr>
                <w:rFonts w:ascii="Arial" w:hAnsi="Arial" w:cs="Arial"/>
                <w:sz w:val="22"/>
                <w:szCs w:val="22"/>
              </w:rPr>
              <w:t xml:space="preserve">Sredstva potpore dodjeljuju se za sufinanciranje troškova izrade projektne dokumentacije, nabave, instalacije i ugradnje FN modula </w:t>
            </w:r>
            <w:r>
              <w:rPr>
                <w:rFonts w:ascii="Arial" w:hAnsi="Arial" w:cs="Arial"/>
                <w:sz w:val="22"/>
                <w:szCs w:val="22"/>
              </w:rPr>
              <w:t xml:space="preserve">i </w:t>
            </w:r>
            <w:r w:rsidRPr="00521082">
              <w:rPr>
                <w:rFonts w:ascii="Arial" w:hAnsi="Arial" w:cs="Arial"/>
                <w:sz w:val="22"/>
                <w:szCs w:val="22"/>
              </w:rPr>
              <w:t xml:space="preserve">opreme fotonaponskih elektrana snage do 10 kW za vlastitu potrošnju. Prihvatljivi su troškovi nastali u tekućoj godini u kojoj je javni poziv objavljen, odnosno od 1. siječnja do dana isteka poziva, sukladno uvjetima i kriterijima propisanim </w:t>
            </w:r>
            <w:r>
              <w:rPr>
                <w:rFonts w:ascii="Arial" w:hAnsi="Arial" w:cs="Arial"/>
                <w:sz w:val="22"/>
                <w:szCs w:val="22"/>
              </w:rPr>
              <w:t>P</w:t>
            </w:r>
            <w:r w:rsidRPr="00521082">
              <w:rPr>
                <w:rFonts w:ascii="Arial" w:hAnsi="Arial" w:cs="Arial"/>
                <w:sz w:val="22"/>
                <w:szCs w:val="22"/>
              </w:rPr>
              <w:t>ravilnikom. Nakon sklapanja ugovora, odobrena sredstva isplaćuju se prijaviteljima jednokratno,</w:t>
            </w:r>
            <w:r>
              <w:rPr>
                <w:rFonts w:ascii="Arial" w:hAnsi="Arial" w:cs="Arial"/>
                <w:sz w:val="22"/>
                <w:szCs w:val="22"/>
              </w:rPr>
              <w:t xml:space="preserve"> </w:t>
            </w:r>
            <w:r w:rsidRPr="00521082">
              <w:rPr>
                <w:rFonts w:ascii="Arial" w:hAnsi="Arial" w:cs="Arial"/>
                <w:sz w:val="22"/>
                <w:szCs w:val="22"/>
              </w:rPr>
              <w:t>u roku od 30 dana od dana potpisa ugovora po obje ugovorne strane.</w:t>
            </w:r>
          </w:p>
        </w:tc>
      </w:tr>
      <w:tr w:rsidR="009D4BEB" w:rsidRPr="00EA6CE6" w:rsidTr="00777666">
        <w:tc>
          <w:tcPr>
            <w:tcW w:w="3114" w:type="dxa"/>
          </w:tcPr>
          <w:p w:rsidR="009D4BEB" w:rsidRPr="00EA6CE6" w:rsidRDefault="009D4BEB" w:rsidP="00777666">
            <w:pPr>
              <w:rPr>
                <w:rFonts w:ascii="Arial" w:hAnsi="Arial" w:cs="Arial"/>
                <w:b/>
              </w:rPr>
            </w:pPr>
            <w:r w:rsidRPr="00EA6CE6">
              <w:rPr>
                <w:rFonts w:ascii="Arial" w:hAnsi="Arial" w:cs="Arial"/>
                <w:b/>
              </w:rPr>
              <w:t>Objava dokumenta za savjetovanje</w:t>
            </w:r>
          </w:p>
          <w:p w:rsidR="009D4BEB" w:rsidRPr="00EA6CE6" w:rsidRDefault="009D4BEB" w:rsidP="00777666">
            <w:pPr>
              <w:rPr>
                <w:rFonts w:ascii="Arial" w:hAnsi="Arial" w:cs="Arial"/>
              </w:rPr>
            </w:pPr>
          </w:p>
        </w:tc>
        <w:tc>
          <w:tcPr>
            <w:tcW w:w="5902" w:type="dxa"/>
            <w:gridSpan w:val="2"/>
          </w:tcPr>
          <w:p w:rsidR="009D4BEB" w:rsidRPr="0081208B" w:rsidRDefault="009D4BEB" w:rsidP="00777666">
            <w:pPr>
              <w:rPr>
                <w:rFonts w:ascii="Arial" w:hAnsi="Arial" w:cs="Arial"/>
                <w:i/>
              </w:rPr>
            </w:pPr>
            <w:r w:rsidRPr="00EA6CE6">
              <w:rPr>
                <w:rFonts w:ascii="Arial" w:hAnsi="Arial" w:cs="Arial"/>
                <w:i/>
              </w:rPr>
              <w:t>Poveznica na objavljeno</w:t>
            </w:r>
            <w:r>
              <w:rPr>
                <w:rFonts w:ascii="Arial" w:hAnsi="Arial" w:cs="Arial"/>
                <w:i/>
              </w:rPr>
              <w:t xml:space="preserve"> savjetovanje: </w:t>
            </w:r>
            <w:r w:rsidRPr="00EA6CE6">
              <w:rPr>
                <w:rFonts w:ascii="Arial" w:hAnsi="Arial" w:cs="Arial"/>
                <w:i/>
              </w:rPr>
              <w:t xml:space="preserve"> </w:t>
            </w:r>
            <w:r w:rsidRPr="0081208B">
              <w:rPr>
                <w:rFonts w:ascii="Arial" w:hAnsi="Arial" w:cs="Arial"/>
                <w:i/>
              </w:rPr>
              <w:t>https://www.dubrovnik.hr/vijesti/javno-savjetovanje---prijedlog-pravilnika-o-poticanju-ugradnje-fotonaponskih-elektrana-do-10-kw-u-obiteljskim-kucama-na-podrucju-grada-dubrovnika-20405</w:t>
            </w:r>
          </w:p>
        </w:tc>
      </w:tr>
      <w:tr w:rsidR="009D4BEB" w:rsidRPr="00EA6CE6" w:rsidTr="00777666">
        <w:tc>
          <w:tcPr>
            <w:tcW w:w="3114" w:type="dxa"/>
          </w:tcPr>
          <w:p w:rsidR="009D4BEB" w:rsidRDefault="009D4BEB" w:rsidP="00777666">
            <w:pPr>
              <w:rPr>
                <w:rFonts w:ascii="Arial" w:hAnsi="Arial" w:cs="Arial"/>
              </w:rPr>
            </w:pPr>
          </w:p>
          <w:p w:rsidR="009D4BEB" w:rsidRPr="00EA6CE6" w:rsidRDefault="009D4BEB" w:rsidP="00777666">
            <w:pPr>
              <w:rPr>
                <w:rFonts w:ascii="Arial" w:hAnsi="Arial" w:cs="Arial"/>
                <w:b/>
              </w:rPr>
            </w:pPr>
            <w:r w:rsidRPr="00EA6CE6">
              <w:rPr>
                <w:rFonts w:ascii="Arial" w:hAnsi="Arial" w:cs="Arial"/>
                <w:b/>
              </w:rPr>
              <w:t>Pregled prihvaćenih i neprihvaćenih mišljenja i prijedloga s obrazloženjem razloga za neprihvaćanje</w:t>
            </w:r>
          </w:p>
          <w:p w:rsidR="009D4BEB" w:rsidRPr="00EA6CE6" w:rsidRDefault="009D4BEB" w:rsidP="00777666">
            <w:pPr>
              <w:rPr>
                <w:rFonts w:ascii="Arial" w:hAnsi="Arial" w:cs="Arial"/>
              </w:rPr>
            </w:pPr>
          </w:p>
        </w:tc>
        <w:tc>
          <w:tcPr>
            <w:tcW w:w="5902" w:type="dxa"/>
            <w:gridSpan w:val="2"/>
          </w:tcPr>
          <w:p w:rsidR="009D4BEB" w:rsidRPr="004D3235" w:rsidRDefault="009D4BEB" w:rsidP="00777666">
            <w:pPr>
              <w:jc w:val="center"/>
              <w:rPr>
                <w:rFonts w:ascii="Arial" w:hAnsi="Arial" w:cs="Arial"/>
              </w:rPr>
            </w:pPr>
            <w:r w:rsidRPr="004D3235">
              <w:rPr>
                <w:rFonts w:ascii="Arial" w:hAnsi="Arial" w:cs="Arial"/>
              </w:rPr>
              <w:lastRenderedPageBreak/>
              <w:t>Prijedlog broj 1 (anonimno):</w:t>
            </w:r>
          </w:p>
          <w:p w:rsidR="009D4BEB" w:rsidRPr="004D3235" w:rsidRDefault="009D4BEB" w:rsidP="00777666">
            <w:pPr>
              <w:jc w:val="both"/>
              <w:rPr>
                <w:rFonts w:ascii="Arial" w:hAnsi="Arial" w:cs="Arial"/>
                <w:i/>
              </w:rPr>
            </w:pPr>
            <w:r w:rsidRPr="004D3235">
              <w:rPr>
                <w:rFonts w:ascii="Arial" w:hAnsi="Arial" w:cs="Arial"/>
                <w:i/>
              </w:rPr>
              <w:t>Prihvatljivi troškovi trebaju biti minimalno 12 mjeseci od sklapanja ugovora o sufinanciranju. Na ovaj način su prijavitelji sigurniji da će im solari biti sufinancirani.</w:t>
            </w:r>
          </w:p>
          <w:p w:rsidR="009D4BEB" w:rsidRPr="004D3235" w:rsidRDefault="009D4BEB" w:rsidP="00777666">
            <w:pPr>
              <w:jc w:val="both"/>
              <w:rPr>
                <w:rFonts w:ascii="Arial" w:hAnsi="Arial" w:cs="Arial"/>
                <w:i/>
              </w:rPr>
            </w:pPr>
            <w:r w:rsidRPr="004D3235">
              <w:rPr>
                <w:rFonts w:ascii="Arial" w:hAnsi="Arial" w:cs="Arial"/>
                <w:i/>
              </w:rPr>
              <w:lastRenderedPageBreak/>
              <w:t>Članak 3. stavak 2. „</w:t>
            </w:r>
            <w:r w:rsidRPr="004D3235">
              <w:rPr>
                <w:rFonts w:ascii="Arial" w:hAnsi="Arial" w:cs="Arial"/>
                <w:bCs/>
                <w:i/>
              </w:rPr>
              <w:t>Prihvatljivi su oni troškovi koji su nastali od 1. siječnja  unutar tekuće godine u kojoj je Javni poziv objavljen pa zaključno do utvrđenog zadnjeg dana trajanja Javnog poziva“ - prihvatljivi troškovi trebaju biti duži. Vlasnici nemaju informaciju da li će natječaj biti objavljen u godini u kojoj su stavili solare. Postoji mogućnost da se solari postave i plate u 2026. godini, a natječaj za solare ne bude objavljen te godine ili iz nekog drugog razloga ne budu odabrani za sufinanciranje</w:t>
            </w:r>
          </w:p>
          <w:p w:rsidR="009D4BEB" w:rsidRPr="004D3235" w:rsidRDefault="009D4BEB" w:rsidP="00777666">
            <w:pPr>
              <w:pStyle w:val="NormalWeb"/>
              <w:rPr>
                <w:rFonts w:ascii="Arial" w:hAnsi="Arial" w:cs="Arial"/>
                <w:sz w:val="22"/>
                <w:szCs w:val="22"/>
              </w:rPr>
            </w:pPr>
            <w:r w:rsidRPr="004D3235">
              <w:rPr>
                <w:rFonts w:ascii="Arial" w:hAnsi="Arial" w:cs="Arial"/>
                <w:sz w:val="22"/>
                <w:szCs w:val="22"/>
              </w:rPr>
              <w:t xml:space="preserve">Prijedlog se ne prihvaća. </w:t>
            </w:r>
          </w:p>
          <w:p w:rsidR="009D4BEB" w:rsidRPr="001A2542" w:rsidRDefault="009D4BEB" w:rsidP="00777666">
            <w:pPr>
              <w:pStyle w:val="NoSpacing"/>
              <w:jc w:val="both"/>
              <w:rPr>
                <w:rFonts w:ascii="Arial" w:hAnsi="Arial" w:cs="Arial"/>
              </w:rPr>
            </w:pPr>
            <w:r w:rsidRPr="001A2542">
              <w:rPr>
                <w:rFonts w:ascii="Arial" w:hAnsi="Arial" w:cs="Arial"/>
              </w:rPr>
              <w:t>Prihvatljivi troškovi definirani su na način da osiguravaju jasno razdoblje provedbe</w:t>
            </w:r>
            <w:r>
              <w:rPr>
                <w:rFonts w:ascii="Arial" w:hAnsi="Arial" w:cs="Arial"/>
              </w:rPr>
              <w:t xml:space="preserve">. </w:t>
            </w:r>
            <w:r w:rsidRPr="001A2542">
              <w:rPr>
                <w:rFonts w:ascii="Arial" w:hAnsi="Arial" w:cs="Arial"/>
              </w:rPr>
              <w:t>Produženje razdoblja prihvatljivosti na minimalno 12 mjeseci od sklapanja ugovora o sufinanciranju nije prihvaćeno, budući da bi takvo rješenje odstupalo od postojećeg modela provedbe programa. Odredba prema kojoj su prihvatljivi troškovi oni nastali od 1. siječnja tekuće godine u kojoj je Javni poziv objavljen do zadnjeg dana trajanja Poziva osigurava jasne vremenske okvire i usklađenost s proračunskom godinom.</w:t>
            </w:r>
          </w:p>
          <w:p w:rsidR="009D4BEB" w:rsidRPr="001A2542" w:rsidRDefault="009D4BEB" w:rsidP="00777666">
            <w:pPr>
              <w:pStyle w:val="NoSpacing"/>
              <w:jc w:val="both"/>
              <w:rPr>
                <w:rFonts w:ascii="Arial" w:hAnsi="Arial" w:cs="Arial"/>
              </w:rPr>
            </w:pPr>
            <w:r w:rsidRPr="001A2542">
              <w:rPr>
                <w:rFonts w:ascii="Arial" w:hAnsi="Arial" w:cs="Arial"/>
              </w:rPr>
              <w:t>Ujedno, ovakav model provedbe omogućuje da se kroz projekt jasno dokaže njegova realizacija, odnosno da je fotonaponska elektrana stvarno ugrađena i stavljena u funkciju, dok se prijaviteljima sredstva isplaćuju isključivo za stvarno nastale i dokazive troškove. Takav pristup predstavlja transparentan i fiskalno odgovoran način raspolaganja javnim sredstvima te je kao takav u potpunosti prihvatljiv i opravdan za Grad.</w:t>
            </w:r>
          </w:p>
          <w:p w:rsidR="009D4BEB" w:rsidRPr="001A2542" w:rsidRDefault="009D4BEB" w:rsidP="00777666">
            <w:pPr>
              <w:pStyle w:val="NoSpacing"/>
              <w:jc w:val="both"/>
              <w:rPr>
                <w:rFonts w:ascii="Arial" w:hAnsi="Arial" w:cs="Arial"/>
              </w:rPr>
            </w:pPr>
            <w:r w:rsidRPr="001A2542">
              <w:rPr>
                <w:rFonts w:ascii="Arial" w:hAnsi="Arial" w:cs="Arial"/>
              </w:rPr>
              <w:t>Zabrinutost vezana uz mogućnost neobjave natječaja u određenoj godini može se smatrati neopravdanom, budući da Grad u svom proračunu, zajedno s projekcijama za naredno razdoblje, jasno predviđa provedbu ovog projekta te su za njega planirana odgovarajuća financijska sredstva. Time je osiguran kontinuitet i predvidivost provedbe mjera sufinanciranja.</w:t>
            </w:r>
          </w:p>
          <w:p w:rsidR="009D4BEB" w:rsidRPr="001A2542" w:rsidRDefault="009D4BEB" w:rsidP="00777666">
            <w:pPr>
              <w:pStyle w:val="NoSpacing"/>
              <w:jc w:val="both"/>
              <w:rPr>
                <w:color w:val="FFFFFF" w:themeColor="background1"/>
              </w:rPr>
            </w:pPr>
            <w:r w:rsidRPr="001A2542">
              <w:rPr>
                <w:rFonts w:ascii="Arial" w:hAnsi="Arial" w:cs="Arial"/>
              </w:rPr>
              <w:t>Dodatno, u kontekstu aktualnih politika poticanja korištenja obnovljivih izvora energije i povećanog interesa za ugradnju solarnih sustava radi smanjenja emisija i poticanja čiste energije, provedba ovakvih mjera predstavlja jedan od prioriteta. Slijedom navedenog, očekuje se kontinuitet objave javnih poziva i daljnja podrška projektima ugradnje fotonaponskih elektrana.</w:t>
            </w:r>
          </w:p>
        </w:tc>
      </w:tr>
      <w:tr w:rsidR="009D4BEB" w:rsidRPr="00EA6CE6" w:rsidTr="00777666">
        <w:tc>
          <w:tcPr>
            <w:tcW w:w="3114" w:type="dxa"/>
          </w:tcPr>
          <w:p w:rsidR="009D4BEB" w:rsidRPr="00EA6CE6" w:rsidRDefault="009D4BEB" w:rsidP="00777666">
            <w:pPr>
              <w:rPr>
                <w:rFonts w:ascii="Arial" w:hAnsi="Arial" w:cs="Arial"/>
                <w:b/>
              </w:rPr>
            </w:pPr>
            <w:r w:rsidRPr="00EA6CE6">
              <w:rPr>
                <w:rFonts w:ascii="Arial" w:hAnsi="Arial" w:cs="Arial"/>
                <w:b/>
              </w:rPr>
              <w:lastRenderedPageBreak/>
              <w:t>Troškovi provedenog savjetovanja</w:t>
            </w:r>
          </w:p>
        </w:tc>
        <w:tc>
          <w:tcPr>
            <w:tcW w:w="5902" w:type="dxa"/>
            <w:gridSpan w:val="2"/>
          </w:tcPr>
          <w:p w:rsidR="009D4BEB" w:rsidRPr="00EA6CE6" w:rsidRDefault="009D4BEB" w:rsidP="00777666">
            <w:pPr>
              <w:rPr>
                <w:rFonts w:ascii="Arial" w:hAnsi="Arial" w:cs="Arial"/>
              </w:rPr>
            </w:pPr>
            <w:r w:rsidRPr="00EA6CE6">
              <w:rPr>
                <w:rFonts w:ascii="Arial" w:hAnsi="Arial" w:cs="Arial"/>
              </w:rPr>
              <w:t>Provedba internetskog  savjetovanja nije iskazivala dodatne financijske troškove.</w:t>
            </w:r>
          </w:p>
        </w:tc>
      </w:tr>
      <w:tr w:rsidR="009D4BEB" w:rsidRPr="00EA6CE6" w:rsidTr="00777666">
        <w:tc>
          <w:tcPr>
            <w:tcW w:w="3114" w:type="dxa"/>
          </w:tcPr>
          <w:p w:rsidR="009D4BEB" w:rsidRPr="00FD6FFD" w:rsidRDefault="009D4BEB" w:rsidP="00777666">
            <w:pPr>
              <w:rPr>
                <w:rFonts w:ascii="Arial" w:hAnsi="Arial" w:cs="Arial"/>
                <w:b/>
              </w:rPr>
            </w:pPr>
            <w:r w:rsidRPr="00FD6FFD">
              <w:rPr>
                <w:rFonts w:ascii="Arial" w:hAnsi="Arial" w:cs="Arial"/>
                <w:b/>
              </w:rPr>
              <w:t>Tko je i kada izradio izvješće o provedenom savjetovanju?</w:t>
            </w:r>
          </w:p>
        </w:tc>
        <w:tc>
          <w:tcPr>
            <w:tcW w:w="3016" w:type="dxa"/>
          </w:tcPr>
          <w:p w:rsidR="009D4BEB" w:rsidRPr="00EA6CE6" w:rsidRDefault="009D4BEB" w:rsidP="00777666">
            <w:pPr>
              <w:rPr>
                <w:rFonts w:ascii="Arial" w:hAnsi="Arial" w:cs="Arial"/>
              </w:rPr>
            </w:pPr>
            <w:r w:rsidRPr="00EA6CE6">
              <w:rPr>
                <w:rFonts w:ascii="Arial" w:hAnsi="Arial" w:cs="Arial"/>
              </w:rPr>
              <w:t>Ime i prezime:</w:t>
            </w:r>
          </w:p>
          <w:p w:rsidR="009D4BEB" w:rsidRPr="00EA6CE6" w:rsidRDefault="009D4BEB" w:rsidP="00777666">
            <w:pPr>
              <w:rPr>
                <w:rFonts w:ascii="Arial" w:hAnsi="Arial" w:cs="Arial"/>
              </w:rPr>
            </w:pPr>
            <w:r>
              <w:rPr>
                <w:rFonts w:ascii="Arial" w:hAnsi="Arial" w:cs="Arial"/>
              </w:rPr>
              <w:t>Anita Burić</w:t>
            </w:r>
          </w:p>
        </w:tc>
        <w:tc>
          <w:tcPr>
            <w:tcW w:w="2886" w:type="dxa"/>
          </w:tcPr>
          <w:p w:rsidR="009D4BEB" w:rsidRPr="00EA6CE6" w:rsidRDefault="009D4BEB" w:rsidP="00777666">
            <w:pPr>
              <w:rPr>
                <w:rFonts w:ascii="Arial" w:hAnsi="Arial" w:cs="Arial"/>
              </w:rPr>
            </w:pPr>
            <w:r w:rsidRPr="00EA6CE6">
              <w:rPr>
                <w:rFonts w:ascii="Arial" w:hAnsi="Arial" w:cs="Arial"/>
              </w:rPr>
              <w:t>Datum:</w:t>
            </w:r>
          </w:p>
          <w:p w:rsidR="009D4BEB" w:rsidRPr="00EA6CE6" w:rsidRDefault="009D4BEB" w:rsidP="00777666">
            <w:pPr>
              <w:rPr>
                <w:rFonts w:ascii="Arial" w:hAnsi="Arial" w:cs="Arial"/>
              </w:rPr>
            </w:pPr>
            <w:r>
              <w:rPr>
                <w:rFonts w:ascii="Arial" w:hAnsi="Arial" w:cs="Arial"/>
              </w:rPr>
              <w:t>24. travnja 2026.</w:t>
            </w:r>
          </w:p>
        </w:tc>
      </w:tr>
    </w:tbl>
    <w:p w:rsidR="001A7CFF" w:rsidRDefault="001A7CFF"/>
    <w:p w:rsidR="009D4BEB" w:rsidRDefault="009D4BEB"/>
    <w:p w:rsidR="009D4BEB" w:rsidRPr="00EA6CE6" w:rsidRDefault="009D4BEB" w:rsidP="009D4BEB">
      <w:pPr>
        <w:rPr>
          <w:rFonts w:ascii="Arial" w:hAnsi="Arial" w:cs="Arial"/>
          <w:lang w:val="en-US"/>
        </w:rPr>
      </w:pPr>
      <w:r w:rsidRPr="00EA6CE6">
        <w:rPr>
          <w:rFonts w:ascii="Arial" w:hAnsi="Arial" w:cs="Arial"/>
          <w:lang w:val="en-US"/>
        </w:rPr>
        <w:lastRenderedPageBreak/>
        <w:t>OBRAZAC IZVJEŠĆA O PROVEDENOM SAVJETOVANJU</w:t>
      </w:r>
    </w:p>
    <w:tbl>
      <w:tblPr>
        <w:tblStyle w:val="TableGrid"/>
        <w:tblW w:w="0" w:type="auto"/>
        <w:tblLook w:val="04A0" w:firstRow="1" w:lastRow="0" w:firstColumn="1" w:lastColumn="0" w:noHBand="0" w:noVBand="1"/>
      </w:tblPr>
      <w:tblGrid>
        <w:gridCol w:w="3114"/>
        <w:gridCol w:w="3016"/>
        <w:gridCol w:w="2886"/>
      </w:tblGrid>
      <w:tr w:rsidR="009D4BEB" w:rsidRPr="00EA6CE6" w:rsidTr="00777666">
        <w:trPr>
          <w:trHeight w:val="983"/>
        </w:trPr>
        <w:tc>
          <w:tcPr>
            <w:tcW w:w="9016" w:type="dxa"/>
            <w:gridSpan w:val="3"/>
          </w:tcPr>
          <w:p w:rsidR="009D4BEB" w:rsidRPr="00EA6CE6" w:rsidRDefault="009D4BEB" w:rsidP="00777666">
            <w:pPr>
              <w:jc w:val="center"/>
              <w:rPr>
                <w:rFonts w:ascii="Arial" w:hAnsi="Arial" w:cs="Arial"/>
                <w:b/>
              </w:rPr>
            </w:pPr>
            <w:r w:rsidRPr="00EA6CE6">
              <w:rPr>
                <w:rFonts w:ascii="Arial" w:hAnsi="Arial" w:cs="Arial"/>
                <w:b/>
              </w:rPr>
              <w:t xml:space="preserve">  IZVJEŠĆE O PROVEDENOM SAVJETOVANJU</w:t>
            </w:r>
          </w:p>
          <w:p w:rsidR="009D4BEB" w:rsidRPr="00EA6CE6" w:rsidRDefault="009D4BEB" w:rsidP="00777666">
            <w:pPr>
              <w:jc w:val="center"/>
              <w:rPr>
                <w:rFonts w:ascii="Arial" w:hAnsi="Arial" w:cs="Arial"/>
                <w:b/>
              </w:rPr>
            </w:pPr>
            <w:r w:rsidRPr="00EA6CE6">
              <w:rPr>
                <w:rFonts w:ascii="Arial" w:hAnsi="Arial" w:cs="Arial"/>
                <w:b/>
              </w:rPr>
              <w:t xml:space="preserve"> SA ZAINTERESIRANOM JAVNOŠĆU</w:t>
            </w:r>
          </w:p>
        </w:tc>
      </w:tr>
      <w:tr w:rsidR="009D4BEB" w:rsidRPr="00EA6CE6" w:rsidTr="00777666">
        <w:tc>
          <w:tcPr>
            <w:tcW w:w="3114" w:type="dxa"/>
          </w:tcPr>
          <w:p w:rsidR="009D4BEB" w:rsidRPr="00EA6CE6" w:rsidRDefault="009D4BEB" w:rsidP="00777666">
            <w:pPr>
              <w:rPr>
                <w:rFonts w:ascii="Arial" w:hAnsi="Arial" w:cs="Arial"/>
              </w:rPr>
            </w:pPr>
            <w:r w:rsidRPr="00EA6CE6">
              <w:rPr>
                <w:rFonts w:ascii="Arial" w:hAnsi="Arial" w:cs="Arial"/>
                <w:b/>
              </w:rPr>
              <w:t>Naziv akta/dokumenta za koji je provedeno savjetovanje:</w:t>
            </w:r>
          </w:p>
        </w:tc>
        <w:tc>
          <w:tcPr>
            <w:tcW w:w="5902" w:type="dxa"/>
            <w:gridSpan w:val="2"/>
          </w:tcPr>
          <w:p w:rsidR="009D4BEB" w:rsidRPr="006A4D94" w:rsidRDefault="009D4BEB" w:rsidP="00777666">
            <w:pPr>
              <w:pStyle w:val="NoSpacing"/>
              <w:jc w:val="both"/>
              <w:rPr>
                <w:rFonts w:ascii="Arial" w:hAnsi="Arial" w:cs="Arial"/>
              </w:rPr>
            </w:pPr>
            <w:r w:rsidRPr="00FE042A">
              <w:rPr>
                <w:rFonts w:ascii="Arial" w:hAnsi="Arial" w:cs="Arial"/>
              </w:rPr>
              <w:t>P</w:t>
            </w:r>
            <w:proofErr w:type="spellStart"/>
            <w:r w:rsidRPr="00FE042A">
              <w:rPr>
                <w:rFonts w:ascii="Arial" w:eastAsia="Times New Roman" w:hAnsi="Arial" w:cs="Arial"/>
                <w:lang w:val="es-ES"/>
              </w:rPr>
              <w:t>rijedlog</w:t>
            </w:r>
            <w:proofErr w:type="spellEnd"/>
            <w:r>
              <w:rPr>
                <w:rFonts w:ascii="Arial" w:eastAsia="Times New Roman" w:hAnsi="Arial" w:cs="Arial"/>
                <w:lang w:val="es-ES"/>
              </w:rPr>
              <w:t xml:space="preserve"> </w:t>
            </w:r>
            <w:proofErr w:type="spellStart"/>
            <w:r>
              <w:rPr>
                <w:rFonts w:ascii="Arial" w:eastAsia="Times New Roman" w:hAnsi="Arial" w:cs="Arial"/>
                <w:lang w:val="es-ES"/>
              </w:rPr>
              <w:t>Pravilnika</w:t>
            </w:r>
            <w:proofErr w:type="spellEnd"/>
            <w:r>
              <w:rPr>
                <w:rFonts w:ascii="Arial" w:eastAsia="Times New Roman" w:hAnsi="Arial" w:cs="Arial"/>
                <w:lang w:val="es-ES"/>
              </w:rPr>
              <w:t xml:space="preserve"> o </w:t>
            </w:r>
            <w:proofErr w:type="spellStart"/>
            <w:r>
              <w:rPr>
                <w:rFonts w:ascii="Arial" w:eastAsia="Times New Roman" w:hAnsi="Arial" w:cs="Arial"/>
                <w:lang w:val="es-ES"/>
              </w:rPr>
              <w:t>poticanju</w:t>
            </w:r>
            <w:proofErr w:type="spellEnd"/>
            <w:r>
              <w:rPr>
                <w:rFonts w:ascii="Arial" w:eastAsia="Times New Roman" w:hAnsi="Arial" w:cs="Arial"/>
                <w:lang w:val="es-ES"/>
              </w:rPr>
              <w:t xml:space="preserve"> </w:t>
            </w:r>
            <w:proofErr w:type="spellStart"/>
            <w:r>
              <w:rPr>
                <w:rFonts w:ascii="Arial" w:eastAsia="Times New Roman" w:hAnsi="Arial" w:cs="Arial"/>
                <w:lang w:val="es-ES"/>
              </w:rPr>
              <w:t>ugradnje</w:t>
            </w:r>
            <w:proofErr w:type="spellEnd"/>
            <w:r>
              <w:rPr>
                <w:rFonts w:ascii="Arial" w:eastAsia="Times New Roman" w:hAnsi="Arial" w:cs="Arial"/>
                <w:lang w:val="es-ES"/>
              </w:rPr>
              <w:t xml:space="preserve"> </w:t>
            </w:r>
            <w:proofErr w:type="spellStart"/>
            <w:r>
              <w:rPr>
                <w:rFonts w:ascii="Arial" w:eastAsia="Times New Roman" w:hAnsi="Arial" w:cs="Arial"/>
                <w:lang w:val="es-ES"/>
              </w:rPr>
              <w:t>fotonaponskih</w:t>
            </w:r>
            <w:proofErr w:type="spellEnd"/>
            <w:r>
              <w:rPr>
                <w:rFonts w:ascii="Arial" w:eastAsia="Times New Roman" w:hAnsi="Arial" w:cs="Arial"/>
                <w:lang w:val="es-ES"/>
              </w:rPr>
              <w:t xml:space="preserve"> </w:t>
            </w:r>
            <w:proofErr w:type="spellStart"/>
            <w:r>
              <w:rPr>
                <w:rFonts w:ascii="Arial" w:eastAsia="Times New Roman" w:hAnsi="Arial" w:cs="Arial"/>
                <w:lang w:val="es-ES"/>
              </w:rPr>
              <w:t>elektrana</w:t>
            </w:r>
            <w:proofErr w:type="spellEnd"/>
            <w:r>
              <w:rPr>
                <w:rFonts w:ascii="Arial" w:eastAsia="Times New Roman" w:hAnsi="Arial" w:cs="Arial"/>
                <w:lang w:val="es-ES"/>
              </w:rPr>
              <w:t xml:space="preserve"> do 10 </w:t>
            </w:r>
            <w:proofErr w:type="spellStart"/>
            <w:r>
              <w:rPr>
                <w:rFonts w:ascii="Arial" w:eastAsia="Times New Roman" w:hAnsi="Arial" w:cs="Arial"/>
                <w:lang w:val="es-ES"/>
              </w:rPr>
              <w:t>kw</w:t>
            </w:r>
            <w:proofErr w:type="spellEnd"/>
            <w:r>
              <w:rPr>
                <w:rFonts w:ascii="Arial" w:eastAsia="Times New Roman" w:hAnsi="Arial" w:cs="Arial"/>
                <w:lang w:val="es-ES"/>
              </w:rPr>
              <w:t xml:space="preserve"> u </w:t>
            </w:r>
            <w:proofErr w:type="spellStart"/>
            <w:r>
              <w:rPr>
                <w:rFonts w:ascii="Arial" w:eastAsia="Times New Roman" w:hAnsi="Arial" w:cs="Arial"/>
                <w:lang w:val="es-ES"/>
              </w:rPr>
              <w:t>obiteljskim</w:t>
            </w:r>
            <w:proofErr w:type="spellEnd"/>
            <w:r>
              <w:rPr>
                <w:rFonts w:ascii="Arial" w:eastAsia="Times New Roman" w:hAnsi="Arial" w:cs="Arial"/>
                <w:lang w:val="es-ES"/>
              </w:rPr>
              <w:t xml:space="preserve"> </w:t>
            </w:r>
            <w:proofErr w:type="spellStart"/>
            <w:r>
              <w:rPr>
                <w:rFonts w:ascii="Arial" w:eastAsia="Times New Roman" w:hAnsi="Arial" w:cs="Arial"/>
                <w:lang w:val="es-ES"/>
              </w:rPr>
              <w:t>kućama</w:t>
            </w:r>
            <w:proofErr w:type="spellEnd"/>
            <w:r>
              <w:rPr>
                <w:rFonts w:ascii="Arial" w:eastAsia="Times New Roman" w:hAnsi="Arial" w:cs="Arial"/>
                <w:lang w:val="es-ES"/>
              </w:rPr>
              <w:t xml:space="preserve"> na </w:t>
            </w:r>
            <w:proofErr w:type="spellStart"/>
            <w:r>
              <w:rPr>
                <w:rFonts w:ascii="Arial" w:eastAsia="Times New Roman" w:hAnsi="Arial" w:cs="Arial"/>
                <w:lang w:val="es-ES"/>
              </w:rPr>
              <w:t>području</w:t>
            </w:r>
            <w:proofErr w:type="spellEnd"/>
            <w:r>
              <w:rPr>
                <w:rFonts w:ascii="Arial" w:eastAsia="Times New Roman" w:hAnsi="Arial" w:cs="Arial"/>
                <w:lang w:val="es-ES"/>
              </w:rPr>
              <w:t xml:space="preserve"> G</w:t>
            </w:r>
            <w:r w:rsidRPr="00275BD1">
              <w:rPr>
                <w:rFonts w:ascii="Arial" w:hAnsi="Arial" w:cs="Arial"/>
                <w:color w:val="000000" w:themeColor="text1"/>
              </w:rPr>
              <w:t xml:space="preserve">rada </w:t>
            </w:r>
            <w:r>
              <w:rPr>
                <w:rFonts w:ascii="Arial" w:hAnsi="Arial" w:cs="Arial"/>
                <w:color w:val="000000" w:themeColor="text1"/>
              </w:rPr>
              <w:t>D</w:t>
            </w:r>
            <w:r w:rsidRPr="00275BD1">
              <w:rPr>
                <w:rFonts w:ascii="Arial" w:hAnsi="Arial" w:cs="Arial"/>
                <w:color w:val="000000" w:themeColor="text1"/>
              </w:rPr>
              <w:t>ubrovnika</w:t>
            </w:r>
          </w:p>
        </w:tc>
      </w:tr>
      <w:tr w:rsidR="009D4BEB" w:rsidRPr="00EA6CE6" w:rsidTr="00777666">
        <w:tc>
          <w:tcPr>
            <w:tcW w:w="3114" w:type="dxa"/>
          </w:tcPr>
          <w:p w:rsidR="009D4BEB" w:rsidRPr="00EA6CE6" w:rsidRDefault="009D4BEB" w:rsidP="00777666">
            <w:pPr>
              <w:rPr>
                <w:rFonts w:ascii="Arial" w:hAnsi="Arial" w:cs="Arial"/>
                <w:b/>
              </w:rPr>
            </w:pPr>
            <w:r w:rsidRPr="00EA6CE6">
              <w:rPr>
                <w:rFonts w:ascii="Arial" w:hAnsi="Arial" w:cs="Arial"/>
                <w:b/>
              </w:rPr>
              <w:t>Naziv tijela nadležnog za izradu nacrta / provedbu savjetovanja</w:t>
            </w:r>
          </w:p>
        </w:tc>
        <w:tc>
          <w:tcPr>
            <w:tcW w:w="5902" w:type="dxa"/>
            <w:gridSpan w:val="2"/>
          </w:tcPr>
          <w:p w:rsidR="009D4BEB" w:rsidRPr="00EA6CE6" w:rsidRDefault="009D4BEB" w:rsidP="00777666">
            <w:pPr>
              <w:rPr>
                <w:rFonts w:ascii="Arial" w:hAnsi="Arial" w:cs="Arial"/>
              </w:rPr>
            </w:pPr>
            <w:r w:rsidRPr="00EA6CE6">
              <w:rPr>
                <w:rFonts w:ascii="Arial" w:hAnsi="Arial" w:cs="Arial"/>
              </w:rPr>
              <w:t>Grad Dubrovnik</w:t>
            </w:r>
          </w:p>
          <w:p w:rsidR="009D4BEB" w:rsidRPr="00EA6CE6" w:rsidRDefault="009D4BEB" w:rsidP="00777666">
            <w:pPr>
              <w:rPr>
                <w:rFonts w:ascii="Arial" w:hAnsi="Arial" w:cs="Arial"/>
              </w:rPr>
            </w:pPr>
            <w:r w:rsidRPr="00EA6CE6">
              <w:rPr>
                <w:rFonts w:ascii="Arial" w:hAnsi="Arial" w:cs="Arial"/>
              </w:rPr>
              <w:t xml:space="preserve">Upravni odjel za </w:t>
            </w:r>
            <w:r>
              <w:rPr>
                <w:rFonts w:ascii="Arial" w:hAnsi="Arial" w:cs="Arial"/>
              </w:rPr>
              <w:t xml:space="preserve">europske fondove i gospodarstvo </w:t>
            </w:r>
          </w:p>
        </w:tc>
      </w:tr>
      <w:tr w:rsidR="009D4BEB" w:rsidRPr="00EA6CE6" w:rsidTr="00777666">
        <w:tc>
          <w:tcPr>
            <w:tcW w:w="3114" w:type="dxa"/>
          </w:tcPr>
          <w:p w:rsidR="009D4BEB" w:rsidRPr="00EA6CE6" w:rsidRDefault="009D4BEB" w:rsidP="00777666">
            <w:pPr>
              <w:rPr>
                <w:rFonts w:ascii="Arial" w:hAnsi="Arial" w:cs="Arial"/>
                <w:b/>
              </w:rPr>
            </w:pPr>
            <w:r w:rsidRPr="00EA6CE6">
              <w:rPr>
                <w:rFonts w:ascii="Arial" w:hAnsi="Arial" w:cs="Arial"/>
                <w:b/>
              </w:rPr>
              <w:t>Cilj i glavne teme savjetovanja</w:t>
            </w:r>
          </w:p>
        </w:tc>
        <w:tc>
          <w:tcPr>
            <w:tcW w:w="5902" w:type="dxa"/>
            <w:gridSpan w:val="2"/>
          </w:tcPr>
          <w:p w:rsidR="009D4BEB" w:rsidRPr="004B466E" w:rsidRDefault="009D4BEB" w:rsidP="00777666">
            <w:pPr>
              <w:pStyle w:val="NoSpacing"/>
              <w:jc w:val="both"/>
              <w:rPr>
                <w:rFonts w:ascii="Arial" w:hAnsi="Arial" w:cs="Arial"/>
              </w:rPr>
            </w:pPr>
            <w:proofErr w:type="spellStart"/>
            <w:r w:rsidRPr="004B466E">
              <w:rPr>
                <w:rFonts w:ascii="Arial" w:hAnsi="Arial" w:cs="Arial"/>
                <w:lang w:val="es-ES"/>
              </w:rPr>
              <w:t>Pravilnik</w:t>
            </w:r>
            <w:proofErr w:type="spellEnd"/>
            <w:r w:rsidRPr="004B466E">
              <w:rPr>
                <w:rFonts w:ascii="Arial" w:hAnsi="Arial" w:cs="Arial"/>
                <w:lang w:val="es-ES"/>
              </w:rPr>
              <w:t xml:space="preserve"> o </w:t>
            </w:r>
            <w:proofErr w:type="spellStart"/>
            <w:r w:rsidRPr="004B466E">
              <w:rPr>
                <w:rFonts w:ascii="Arial" w:hAnsi="Arial" w:cs="Arial"/>
                <w:lang w:val="es-ES"/>
              </w:rPr>
              <w:t>poticanju</w:t>
            </w:r>
            <w:proofErr w:type="spellEnd"/>
            <w:r w:rsidRPr="004B466E">
              <w:rPr>
                <w:rFonts w:ascii="Arial" w:hAnsi="Arial" w:cs="Arial"/>
                <w:lang w:val="es-ES"/>
              </w:rPr>
              <w:t xml:space="preserve"> </w:t>
            </w:r>
            <w:proofErr w:type="spellStart"/>
            <w:r w:rsidRPr="004B466E">
              <w:rPr>
                <w:rFonts w:ascii="Arial" w:hAnsi="Arial" w:cs="Arial"/>
                <w:lang w:val="es-ES"/>
              </w:rPr>
              <w:t>ugradnje</w:t>
            </w:r>
            <w:proofErr w:type="spellEnd"/>
            <w:r w:rsidRPr="004B466E">
              <w:rPr>
                <w:rFonts w:ascii="Arial" w:hAnsi="Arial" w:cs="Arial"/>
                <w:lang w:val="es-ES"/>
              </w:rPr>
              <w:t xml:space="preserve"> </w:t>
            </w:r>
            <w:proofErr w:type="spellStart"/>
            <w:r w:rsidRPr="004B466E">
              <w:rPr>
                <w:rFonts w:ascii="Arial" w:hAnsi="Arial" w:cs="Arial"/>
                <w:lang w:val="es-ES"/>
              </w:rPr>
              <w:t>fotonaponskih</w:t>
            </w:r>
            <w:proofErr w:type="spellEnd"/>
            <w:r w:rsidRPr="004B466E">
              <w:rPr>
                <w:rFonts w:ascii="Arial" w:hAnsi="Arial" w:cs="Arial"/>
                <w:lang w:val="es-ES"/>
              </w:rPr>
              <w:t xml:space="preserve"> </w:t>
            </w:r>
            <w:proofErr w:type="spellStart"/>
            <w:r w:rsidRPr="004B466E">
              <w:rPr>
                <w:rFonts w:ascii="Arial" w:hAnsi="Arial" w:cs="Arial"/>
                <w:lang w:val="es-ES"/>
              </w:rPr>
              <w:t>elektrana</w:t>
            </w:r>
            <w:proofErr w:type="spellEnd"/>
            <w:r w:rsidRPr="004B466E">
              <w:rPr>
                <w:rFonts w:ascii="Arial" w:hAnsi="Arial" w:cs="Arial"/>
                <w:lang w:val="es-ES"/>
              </w:rPr>
              <w:t xml:space="preserve"> do 10 </w:t>
            </w:r>
            <w:proofErr w:type="spellStart"/>
            <w:r w:rsidRPr="004B466E">
              <w:rPr>
                <w:rFonts w:ascii="Arial" w:hAnsi="Arial" w:cs="Arial"/>
                <w:lang w:val="es-ES"/>
              </w:rPr>
              <w:t>kw</w:t>
            </w:r>
            <w:proofErr w:type="spellEnd"/>
            <w:r w:rsidRPr="004B466E">
              <w:rPr>
                <w:rFonts w:ascii="Arial" w:hAnsi="Arial" w:cs="Arial"/>
                <w:lang w:val="es-ES"/>
              </w:rPr>
              <w:t xml:space="preserve"> u </w:t>
            </w:r>
            <w:proofErr w:type="spellStart"/>
            <w:r w:rsidRPr="004B466E">
              <w:rPr>
                <w:rFonts w:ascii="Arial" w:hAnsi="Arial" w:cs="Arial"/>
                <w:lang w:val="es-ES"/>
              </w:rPr>
              <w:t>obiteljskim</w:t>
            </w:r>
            <w:proofErr w:type="spellEnd"/>
            <w:r w:rsidRPr="004B466E">
              <w:rPr>
                <w:rFonts w:ascii="Arial" w:hAnsi="Arial" w:cs="Arial"/>
                <w:lang w:val="es-ES"/>
              </w:rPr>
              <w:t xml:space="preserve"> </w:t>
            </w:r>
            <w:proofErr w:type="spellStart"/>
            <w:r w:rsidRPr="004B466E">
              <w:rPr>
                <w:rFonts w:ascii="Arial" w:hAnsi="Arial" w:cs="Arial"/>
                <w:lang w:val="es-ES"/>
              </w:rPr>
              <w:t>kućama</w:t>
            </w:r>
            <w:proofErr w:type="spellEnd"/>
            <w:r w:rsidRPr="004B466E">
              <w:rPr>
                <w:rFonts w:ascii="Arial" w:hAnsi="Arial" w:cs="Arial"/>
                <w:lang w:val="es-ES"/>
              </w:rPr>
              <w:t xml:space="preserve"> na </w:t>
            </w:r>
            <w:proofErr w:type="spellStart"/>
            <w:r w:rsidRPr="004B466E">
              <w:rPr>
                <w:rFonts w:ascii="Arial" w:hAnsi="Arial" w:cs="Arial"/>
                <w:lang w:val="es-ES"/>
              </w:rPr>
              <w:t>području</w:t>
            </w:r>
            <w:proofErr w:type="spellEnd"/>
            <w:r w:rsidRPr="004B466E">
              <w:rPr>
                <w:rFonts w:ascii="Arial" w:hAnsi="Arial" w:cs="Arial"/>
                <w:lang w:val="es-ES"/>
              </w:rPr>
              <w:t xml:space="preserve"> G</w:t>
            </w:r>
            <w:r w:rsidRPr="004B466E">
              <w:rPr>
                <w:rFonts w:ascii="Arial" w:hAnsi="Arial" w:cs="Arial"/>
                <w:color w:val="000000" w:themeColor="text1"/>
              </w:rPr>
              <w:t xml:space="preserve">rada Dubrovnika je dokument koji ima za cilj </w:t>
            </w:r>
            <w:r w:rsidRPr="004B466E">
              <w:rPr>
                <w:rFonts w:ascii="Arial" w:hAnsi="Arial" w:cs="Arial"/>
              </w:rPr>
              <w:t>poticanje povećanja udjela obnovljivih izvora energije u ukupnoj potrošnji električne energije te unaprjeđenje energetske učinkovitosti u kućanstvima na području Grada Dubrovnika. Time se ujedno doprinosi smanjenju emisija stakleničkog plina CO</w:t>
            </w:r>
            <w:r w:rsidRPr="004B466E">
              <w:rPr>
                <w:rFonts w:ascii="Cambria Math" w:hAnsi="Cambria Math" w:cs="Cambria Math"/>
              </w:rPr>
              <w:t>₂</w:t>
            </w:r>
            <w:r w:rsidRPr="004B466E">
              <w:rPr>
                <w:rFonts w:ascii="Arial" w:hAnsi="Arial" w:cs="Arial"/>
              </w:rPr>
              <w:t>, u skladu s ciljevima Europskog zelenog plana i postizanjem klimatske neutralnosti do 2050. godine.</w:t>
            </w:r>
          </w:p>
          <w:p w:rsidR="009D4BEB" w:rsidRPr="004B466E" w:rsidRDefault="009D4BEB" w:rsidP="00777666">
            <w:pPr>
              <w:pStyle w:val="NoSpacing"/>
              <w:jc w:val="both"/>
              <w:rPr>
                <w:rFonts w:ascii="Arial" w:eastAsia="Times New Roman" w:hAnsi="Arial" w:cs="Arial"/>
                <w:color w:val="000000" w:themeColor="text1"/>
              </w:rPr>
            </w:pPr>
            <w:r w:rsidRPr="004B466E">
              <w:rPr>
                <w:rFonts w:ascii="Arial" w:hAnsi="Arial" w:cs="Arial"/>
              </w:rPr>
              <w:t>Financijska sredstva dodjeljuju se na godišnjoj razini putem javnih poziva, a osigurana su u Proračunu Grada, u upravnom odjelu nadležnom za gospodarstvo. Prijavitelji mogu putem javnog poziva ostvariti pravo na sufinanciranje opravdanih troškova u iznosu do najviše 90 % prihvatljivih troškova, ali ne više od 5.000 eura po kućanstvu</w:t>
            </w:r>
          </w:p>
          <w:p w:rsidR="009D4BEB" w:rsidRPr="005821BA" w:rsidRDefault="009D4BEB" w:rsidP="00777666">
            <w:pPr>
              <w:pStyle w:val="NoSpacing"/>
              <w:jc w:val="both"/>
            </w:pPr>
            <w:r w:rsidRPr="004B466E">
              <w:rPr>
                <w:rFonts w:ascii="Arial" w:hAnsi="Arial" w:cs="Arial"/>
              </w:rPr>
              <w:t>Sredstva potpore dodjeljuju se za sufinanciranje troškova izrade projektne dokumentacije, nabave, instalacije i ugradnje FN modula te opreme fotonaponskih elektrana snage do 10 kW za vlastitu potrošnju. Prihvatljivi su troškovi nastali u tekućoj godini u kojoj je javni poziv objavljen, odnosno od 1. siječnja do dana isteka poziva, sukladno uvjetima i kriterijima propisanim Pravilnikom. Nakon sklapanja ugovora, odobrena sredstva isplaćuju se prijaviteljima jednokratno,u roku od 30 dana od dana potpisa ugovora po obje ugovorne strane.</w:t>
            </w:r>
          </w:p>
        </w:tc>
      </w:tr>
      <w:tr w:rsidR="009D4BEB" w:rsidRPr="00EA6CE6" w:rsidTr="00777666">
        <w:tc>
          <w:tcPr>
            <w:tcW w:w="3114" w:type="dxa"/>
          </w:tcPr>
          <w:p w:rsidR="009D4BEB" w:rsidRPr="00EA6CE6" w:rsidRDefault="009D4BEB" w:rsidP="00777666">
            <w:pPr>
              <w:rPr>
                <w:rFonts w:ascii="Arial" w:hAnsi="Arial" w:cs="Arial"/>
                <w:b/>
              </w:rPr>
            </w:pPr>
            <w:r w:rsidRPr="00EA6CE6">
              <w:rPr>
                <w:rFonts w:ascii="Arial" w:hAnsi="Arial" w:cs="Arial"/>
                <w:b/>
              </w:rPr>
              <w:t>Objava dokumenta za savjetovanje</w:t>
            </w:r>
          </w:p>
          <w:p w:rsidR="009D4BEB" w:rsidRPr="00EA6CE6" w:rsidRDefault="009D4BEB" w:rsidP="00777666">
            <w:pPr>
              <w:rPr>
                <w:rFonts w:ascii="Arial" w:hAnsi="Arial" w:cs="Arial"/>
              </w:rPr>
            </w:pPr>
          </w:p>
        </w:tc>
        <w:tc>
          <w:tcPr>
            <w:tcW w:w="5902" w:type="dxa"/>
            <w:gridSpan w:val="2"/>
          </w:tcPr>
          <w:p w:rsidR="009D4BEB" w:rsidRDefault="009D4BEB" w:rsidP="00777666">
            <w:pPr>
              <w:rPr>
                <w:rFonts w:ascii="Arial" w:hAnsi="Arial" w:cs="Arial"/>
                <w:i/>
              </w:rPr>
            </w:pPr>
            <w:r w:rsidRPr="00EA6CE6">
              <w:rPr>
                <w:rFonts w:ascii="Arial" w:hAnsi="Arial" w:cs="Arial"/>
                <w:i/>
              </w:rPr>
              <w:t>Poveznica na objavljeno savjetovanje</w:t>
            </w:r>
            <w:r>
              <w:rPr>
                <w:rFonts w:ascii="Arial" w:hAnsi="Arial" w:cs="Arial"/>
                <w:i/>
              </w:rPr>
              <w:t>:</w:t>
            </w:r>
          </w:p>
          <w:p w:rsidR="009D4BEB" w:rsidRPr="0081208B" w:rsidRDefault="009D4BEB" w:rsidP="00777666">
            <w:pPr>
              <w:rPr>
                <w:rFonts w:ascii="Arial" w:hAnsi="Arial" w:cs="Arial"/>
                <w:i/>
              </w:rPr>
            </w:pPr>
            <w:r w:rsidRPr="0081208B">
              <w:rPr>
                <w:rFonts w:ascii="Arial" w:hAnsi="Arial" w:cs="Arial"/>
                <w:i/>
              </w:rPr>
              <w:t>https://www.dubrovnik.hr/vijesti/javno-savjetovanje---prijedlog-pravilnika-o-poticanju-ugradnje-fotonaponskih-elektrana-do-10-kw-u-obiteljskim-kucama-na-podrucju-grada-dubrovnika-20405</w:t>
            </w:r>
          </w:p>
        </w:tc>
      </w:tr>
      <w:tr w:rsidR="009D4BEB" w:rsidRPr="00EA6CE6" w:rsidTr="00777666">
        <w:tc>
          <w:tcPr>
            <w:tcW w:w="3114" w:type="dxa"/>
          </w:tcPr>
          <w:p w:rsidR="009D4BEB" w:rsidRPr="00EA6CE6" w:rsidRDefault="009D4BEB" w:rsidP="00777666">
            <w:pPr>
              <w:rPr>
                <w:rFonts w:ascii="Arial" w:hAnsi="Arial" w:cs="Arial"/>
                <w:b/>
              </w:rPr>
            </w:pPr>
            <w:r w:rsidRPr="00EA6CE6">
              <w:rPr>
                <w:rFonts w:ascii="Arial" w:hAnsi="Arial" w:cs="Arial"/>
                <w:b/>
              </w:rPr>
              <w:t>Razdoblje provedbe savjetovanja</w:t>
            </w:r>
          </w:p>
        </w:tc>
        <w:tc>
          <w:tcPr>
            <w:tcW w:w="5902" w:type="dxa"/>
            <w:gridSpan w:val="2"/>
          </w:tcPr>
          <w:p w:rsidR="009D4BEB" w:rsidRPr="00986875" w:rsidRDefault="009D4BEB" w:rsidP="00777666">
            <w:pPr>
              <w:jc w:val="both"/>
              <w:rPr>
                <w:rFonts w:ascii="Arial" w:hAnsi="Arial" w:cs="Arial"/>
                <w:i/>
              </w:rPr>
            </w:pPr>
            <w:r w:rsidRPr="00023AFA">
              <w:rPr>
                <w:rStyle w:val="Emphasis"/>
                <w:rFonts w:ascii="Arial" w:hAnsi="Arial" w:cs="Arial"/>
              </w:rPr>
              <w:t>Internetsko savjetovanje sa zainteresiranom javnošću provedeno je u razdoblju od</w:t>
            </w:r>
            <w:r>
              <w:rPr>
                <w:rStyle w:val="Emphasis"/>
                <w:rFonts w:ascii="Arial" w:hAnsi="Arial" w:cs="Arial"/>
              </w:rPr>
              <w:t xml:space="preserve">  27. ožujka do 24. travnja 2026. </w:t>
            </w:r>
          </w:p>
        </w:tc>
      </w:tr>
      <w:tr w:rsidR="009D4BEB" w:rsidRPr="00EA6CE6" w:rsidTr="00777666">
        <w:tc>
          <w:tcPr>
            <w:tcW w:w="3114" w:type="dxa"/>
          </w:tcPr>
          <w:p w:rsidR="009D4BEB" w:rsidRPr="00986875" w:rsidRDefault="009D4BEB" w:rsidP="00777666">
            <w:pPr>
              <w:rPr>
                <w:rFonts w:ascii="Arial" w:hAnsi="Arial" w:cs="Arial"/>
                <w:b/>
              </w:rPr>
            </w:pPr>
            <w:r w:rsidRPr="00EA6CE6">
              <w:rPr>
                <w:rFonts w:ascii="Arial" w:hAnsi="Arial" w:cs="Arial"/>
                <w:b/>
              </w:rPr>
              <w:t>Pregled osnovnih pokazatelja uključenosti savjetovanja s javnošću</w:t>
            </w:r>
          </w:p>
        </w:tc>
        <w:tc>
          <w:tcPr>
            <w:tcW w:w="5902" w:type="dxa"/>
            <w:gridSpan w:val="2"/>
          </w:tcPr>
          <w:p w:rsidR="009D4BEB" w:rsidRPr="001D1091" w:rsidRDefault="009D4BEB" w:rsidP="00777666">
            <w:pPr>
              <w:rPr>
                <w:rFonts w:ascii="Arial" w:hAnsi="Arial" w:cs="Arial"/>
              </w:rPr>
            </w:pPr>
            <w:r w:rsidRPr="001D1091">
              <w:rPr>
                <w:rFonts w:ascii="Arial" w:hAnsi="Arial" w:cs="Arial"/>
              </w:rPr>
              <w:t>Za vrijeme trajanja javnog savjetovanja zaprimljena su dva prijed</w:t>
            </w:r>
            <w:r>
              <w:rPr>
                <w:rFonts w:ascii="Arial" w:hAnsi="Arial" w:cs="Arial"/>
              </w:rPr>
              <w:t>loga zainteresiranih pojedinaca</w:t>
            </w:r>
          </w:p>
        </w:tc>
      </w:tr>
      <w:tr w:rsidR="009D4BEB" w:rsidRPr="00EA6CE6" w:rsidTr="00777666">
        <w:tc>
          <w:tcPr>
            <w:tcW w:w="3114" w:type="dxa"/>
          </w:tcPr>
          <w:p w:rsidR="009D4BEB" w:rsidRDefault="009D4BEB" w:rsidP="00777666">
            <w:pPr>
              <w:rPr>
                <w:rFonts w:ascii="Arial" w:hAnsi="Arial" w:cs="Arial"/>
              </w:rPr>
            </w:pPr>
          </w:p>
          <w:p w:rsidR="009D4BEB" w:rsidRPr="00EA6CE6" w:rsidRDefault="009D4BEB" w:rsidP="00777666">
            <w:pPr>
              <w:rPr>
                <w:rFonts w:ascii="Arial" w:hAnsi="Arial" w:cs="Arial"/>
                <w:b/>
              </w:rPr>
            </w:pPr>
            <w:r w:rsidRPr="00EA6CE6">
              <w:rPr>
                <w:rFonts w:ascii="Arial" w:hAnsi="Arial" w:cs="Arial"/>
                <w:b/>
              </w:rPr>
              <w:t>Pregled prihvaćenih i neprihvaćenih mišljenja i prijedloga s obrazloženjem razloga za neprihvaćanje</w:t>
            </w:r>
          </w:p>
          <w:p w:rsidR="009D4BEB" w:rsidRPr="00EA6CE6" w:rsidRDefault="009D4BEB" w:rsidP="00777666">
            <w:pPr>
              <w:rPr>
                <w:rFonts w:ascii="Arial" w:hAnsi="Arial" w:cs="Arial"/>
              </w:rPr>
            </w:pPr>
          </w:p>
        </w:tc>
        <w:tc>
          <w:tcPr>
            <w:tcW w:w="5902" w:type="dxa"/>
            <w:gridSpan w:val="2"/>
          </w:tcPr>
          <w:p w:rsidR="009D4BEB" w:rsidRPr="00675FB1" w:rsidRDefault="009D4BEB" w:rsidP="00777666">
            <w:pPr>
              <w:jc w:val="center"/>
              <w:rPr>
                <w:rFonts w:ascii="Arial" w:hAnsi="Arial" w:cs="Arial"/>
              </w:rPr>
            </w:pPr>
            <w:r w:rsidRPr="00675FB1">
              <w:rPr>
                <w:rFonts w:ascii="Arial" w:hAnsi="Arial" w:cs="Arial"/>
              </w:rPr>
              <w:t>Prijedlog broj 2 (anonimno)</w:t>
            </w:r>
            <w:r>
              <w:rPr>
                <w:rFonts w:ascii="Arial" w:hAnsi="Arial" w:cs="Arial"/>
              </w:rPr>
              <w:t>:</w:t>
            </w:r>
          </w:p>
          <w:p w:rsidR="009D4BEB" w:rsidRPr="00675FB1" w:rsidRDefault="009D4BEB" w:rsidP="00777666">
            <w:pPr>
              <w:pStyle w:val="NoSpacing"/>
              <w:jc w:val="both"/>
              <w:rPr>
                <w:rFonts w:ascii="Arial" w:hAnsi="Arial" w:cs="Arial"/>
                <w:i/>
              </w:rPr>
            </w:pPr>
            <w:r w:rsidRPr="00675FB1">
              <w:rPr>
                <w:rFonts w:ascii="Arial" w:hAnsi="Arial" w:cs="Arial"/>
                <w:i/>
              </w:rPr>
              <w:t>Podnosim primjedbu na odredbu članka 3. kojom se propisuje da su prihvatljivi isključivo troškovi nastli od 1. siječnja tekuće godine u kojoj je Javnipoziv objavljen.</w:t>
            </w:r>
          </w:p>
          <w:p w:rsidR="009D4BEB" w:rsidRPr="00675FB1" w:rsidRDefault="009D4BEB" w:rsidP="00777666">
            <w:pPr>
              <w:pStyle w:val="NoSpacing"/>
              <w:jc w:val="both"/>
              <w:rPr>
                <w:rFonts w:ascii="Arial" w:hAnsi="Arial" w:cs="Arial"/>
                <w:i/>
              </w:rPr>
            </w:pPr>
            <w:r w:rsidRPr="00675FB1">
              <w:rPr>
                <w:rFonts w:ascii="Arial" w:hAnsi="Arial" w:cs="Arial"/>
                <w:i/>
              </w:rPr>
              <w:t>Navedena odredba u praksi je ograničavjuća te otežava pravovremnu i kvalitetnu provedbu projekata.Zbog priprde radova i obveze njihove realizacije unutar jedne kalendarske godine, nužno je započeti pripremne aktivnosti ranije, uključujući ugovaranje izvođača radova i podmirenje predujmova.</w:t>
            </w:r>
          </w:p>
          <w:p w:rsidR="009D4BEB" w:rsidRPr="00675FB1" w:rsidRDefault="009D4BEB" w:rsidP="00777666">
            <w:pPr>
              <w:pStyle w:val="NoSpacing"/>
              <w:jc w:val="both"/>
              <w:rPr>
                <w:rFonts w:ascii="Arial" w:hAnsi="Arial" w:cs="Arial"/>
                <w:i/>
              </w:rPr>
            </w:pPr>
            <w:r w:rsidRPr="00675FB1">
              <w:rPr>
                <w:rFonts w:ascii="Arial" w:hAnsi="Arial" w:cs="Arial"/>
                <w:i/>
              </w:rPr>
              <w:t>Postoje situacije u kojima su troškovi nastali prije 1. siječnja tekuće godine (npr. ugovaranje izvođača i plaćanje avansa u prethodnoj godini za radove koji se izvode u godini Javnog poziva), a koji su izravno povezani s provedbom projekta.</w:t>
            </w:r>
          </w:p>
          <w:p w:rsidR="009D4BEB" w:rsidRPr="00675FB1" w:rsidRDefault="009D4BEB" w:rsidP="00777666">
            <w:pPr>
              <w:pStyle w:val="NoSpacing"/>
              <w:jc w:val="both"/>
              <w:rPr>
                <w:rFonts w:ascii="Arial" w:hAnsi="Arial" w:cs="Arial"/>
                <w:i/>
              </w:rPr>
            </w:pPr>
            <w:r w:rsidRPr="00675FB1">
              <w:rPr>
                <w:rFonts w:ascii="Arial" w:hAnsi="Arial" w:cs="Arial"/>
                <w:i/>
              </w:rPr>
              <w:t>Prijedlog izmjene:</w:t>
            </w:r>
          </w:p>
          <w:p w:rsidR="009D4BEB" w:rsidRPr="00675FB1" w:rsidRDefault="009D4BEB" w:rsidP="00777666">
            <w:pPr>
              <w:pStyle w:val="NoSpacing"/>
              <w:jc w:val="both"/>
              <w:rPr>
                <w:rFonts w:ascii="Arial" w:hAnsi="Arial" w:cs="Arial"/>
                <w:i/>
              </w:rPr>
            </w:pPr>
            <w:r w:rsidRPr="00675FB1">
              <w:rPr>
                <w:rFonts w:ascii="Arial" w:hAnsi="Arial" w:cs="Arial"/>
                <w:i/>
              </w:rPr>
              <w:t>Predlaže se izmjena odredbe na način da se kao prihvatljivi priznaju i troškovi nastali prije 1. siječnja tekuće godine, uz uvjet da su izravno povezani s provedbom projekta i da su nastali nakon određenog referentnog datuma (npr. 1. siječnja prethodne godine).</w:t>
            </w:r>
          </w:p>
          <w:p w:rsidR="009D4BEB" w:rsidRPr="00675FB1" w:rsidRDefault="009D4BEB" w:rsidP="00777666">
            <w:pPr>
              <w:pStyle w:val="NoSpacing"/>
              <w:jc w:val="both"/>
              <w:rPr>
                <w:rFonts w:ascii="Arial" w:hAnsi="Arial" w:cs="Arial"/>
                <w:i/>
              </w:rPr>
            </w:pPr>
            <w:r w:rsidRPr="00675FB1">
              <w:rPr>
                <w:rFonts w:ascii="Arial" w:hAnsi="Arial" w:cs="Arial"/>
                <w:i/>
              </w:rPr>
              <w:t>Na ovaj način omogućila bi se pravovremena priprema projekta, smanjio financijski rizik za prijavitelje te povećala učinkovitost korištenja proračunskih sredstava.</w:t>
            </w:r>
          </w:p>
          <w:p w:rsidR="009D4BEB" w:rsidRPr="00675FB1" w:rsidRDefault="009D4BEB" w:rsidP="00777666">
            <w:pPr>
              <w:pStyle w:val="NormalWeb"/>
              <w:jc w:val="both"/>
              <w:rPr>
                <w:rFonts w:ascii="Arial" w:hAnsi="Arial" w:cs="Arial"/>
                <w:sz w:val="22"/>
                <w:szCs w:val="22"/>
              </w:rPr>
            </w:pPr>
            <w:r w:rsidRPr="00675FB1">
              <w:rPr>
                <w:rFonts w:ascii="Arial" w:hAnsi="Arial" w:cs="Arial"/>
                <w:sz w:val="22"/>
                <w:szCs w:val="22"/>
              </w:rPr>
              <w:t>Prijedlog se djelomično prihvaća.</w:t>
            </w:r>
          </w:p>
          <w:p w:rsidR="009D4BEB" w:rsidRPr="00675FB1" w:rsidRDefault="009D4BEB" w:rsidP="00777666">
            <w:pPr>
              <w:pStyle w:val="NormalWeb"/>
              <w:jc w:val="both"/>
              <w:rPr>
                <w:rFonts w:ascii="Arial" w:hAnsi="Arial" w:cs="Arial"/>
                <w:sz w:val="22"/>
                <w:szCs w:val="22"/>
              </w:rPr>
            </w:pPr>
            <w:r w:rsidRPr="00675FB1">
              <w:rPr>
                <w:rFonts w:ascii="Arial" w:hAnsi="Arial" w:cs="Arial"/>
                <w:sz w:val="22"/>
                <w:szCs w:val="22"/>
              </w:rPr>
              <w:t>Odredba članka 3. kojom se propisuje da su prihvatljivi isključivo troškovi nastali od 1. siječnja tekuće godine u kojoj je Javni poziv objavljen zadržava se, budući da osigurava jasne vremenske okvire provedbe i usklađenost s proračunskom godinom.</w:t>
            </w:r>
          </w:p>
          <w:p w:rsidR="009D4BEB" w:rsidRPr="008305F9" w:rsidRDefault="009D4BEB" w:rsidP="00777666">
            <w:pPr>
              <w:pStyle w:val="NormalWeb"/>
              <w:jc w:val="both"/>
              <w:rPr>
                <w:rFonts w:ascii="Arial" w:hAnsi="Arial" w:cs="Arial"/>
                <w:sz w:val="22"/>
                <w:szCs w:val="22"/>
              </w:rPr>
            </w:pPr>
            <w:r w:rsidRPr="007B43C1">
              <w:rPr>
                <w:rFonts w:ascii="Arial" w:hAnsi="Arial" w:cs="Arial"/>
                <w:sz w:val="22"/>
                <w:szCs w:val="22"/>
              </w:rPr>
              <w:t>Međutim, razmatrajući iznesene argumente o potrebi pravovremene pripreme projekata i dinamici ugovaranja radova, Grad će u predmetni Pravilnik ugraditi mogućnost avansnog plaćanja ograničenog na rok od 180 dana prije objave javnog poziva te pod drugim propisanim uvjetima. Na taj način omogućit će se prijaviteljima ranije pokretanje aktivnosti i lakše financijsko planiranje</w:t>
            </w:r>
            <w:r>
              <w:rPr>
                <w:rFonts w:ascii="Arial" w:hAnsi="Arial" w:cs="Arial"/>
                <w:sz w:val="22"/>
                <w:szCs w:val="22"/>
              </w:rPr>
              <w:t xml:space="preserve">. </w:t>
            </w:r>
          </w:p>
        </w:tc>
      </w:tr>
      <w:tr w:rsidR="009D4BEB" w:rsidRPr="00EA6CE6" w:rsidTr="00777666">
        <w:tc>
          <w:tcPr>
            <w:tcW w:w="3114" w:type="dxa"/>
          </w:tcPr>
          <w:p w:rsidR="009D4BEB" w:rsidRPr="00EA6CE6" w:rsidRDefault="009D4BEB" w:rsidP="00777666">
            <w:pPr>
              <w:rPr>
                <w:rFonts w:ascii="Arial" w:hAnsi="Arial" w:cs="Arial"/>
                <w:b/>
              </w:rPr>
            </w:pPr>
            <w:r w:rsidRPr="00EA6CE6">
              <w:rPr>
                <w:rFonts w:ascii="Arial" w:hAnsi="Arial" w:cs="Arial"/>
                <w:b/>
              </w:rPr>
              <w:t>Troškovi provedenog savjetovanja</w:t>
            </w:r>
          </w:p>
        </w:tc>
        <w:tc>
          <w:tcPr>
            <w:tcW w:w="5902" w:type="dxa"/>
            <w:gridSpan w:val="2"/>
          </w:tcPr>
          <w:p w:rsidR="009D4BEB" w:rsidRPr="00EA6CE6" w:rsidRDefault="009D4BEB" w:rsidP="00777666">
            <w:pPr>
              <w:rPr>
                <w:rFonts w:ascii="Arial" w:hAnsi="Arial" w:cs="Arial"/>
              </w:rPr>
            </w:pPr>
            <w:r w:rsidRPr="00EA6CE6">
              <w:rPr>
                <w:rFonts w:ascii="Arial" w:hAnsi="Arial" w:cs="Arial"/>
              </w:rPr>
              <w:t>Provedba internetskog  savjetovanja nije iskazivala dodatne financijske troškove.</w:t>
            </w:r>
          </w:p>
        </w:tc>
      </w:tr>
      <w:tr w:rsidR="009D4BEB" w:rsidRPr="00EA6CE6" w:rsidTr="00777666">
        <w:tc>
          <w:tcPr>
            <w:tcW w:w="3114" w:type="dxa"/>
          </w:tcPr>
          <w:p w:rsidR="009D4BEB" w:rsidRPr="00FD6FFD" w:rsidRDefault="009D4BEB" w:rsidP="00777666">
            <w:pPr>
              <w:rPr>
                <w:rFonts w:ascii="Arial" w:hAnsi="Arial" w:cs="Arial"/>
                <w:b/>
              </w:rPr>
            </w:pPr>
            <w:r w:rsidRPr="00FD6FFD">
              <w:rPr>
                <w:rFonts w:ascii="Arial" w:hAnsi="Arial" w:cs="Arial"/>
                <w:b/>
              </w:rPr>
              <w:t>Tko je i kada izradio izvješće o provedenom savjetovanju?</w:t>
            </w:r>
          </w:p>
        </w:tc>
        <w:tc>
          <w:tcPr>
            <w:tcW w:w="3016" w:type="dxa"/>
          </w:tcPr>
          <w:p w:rsidR="009D4BEB" w:rsidRPr="00EA6CE6" w:rsidRDefault="009D4BEB" w:rsidP="00777666">
            <w:pPr>
              <w:rPr>
                <w:rFonts w:ascii="Arial" w:hAnsi="Arial" w:cs="Arial"/>
              </w:rPr>
            </w:pPr>
            <w:r w:rsidRPr="00EA6CE6">
              <w:rPr>
                <w:rFonts w:ascii="Arial" w:hAnsi="Arial" w:cs="Arial"/>
              </w:rPr>
              <w:t>Ime i prezime:</w:t>
            </w:r>
          </w:p>
          <w:p w:rsidR="009D4BEB" w:rsidRPr="00EA6CE6" w:rsidRDefault="009D4BEB" w:rsidP="00777666">
            <w:pPr>
              <w:rPr>
                <w:rFonts w:ascii="Arial" w:hAnsi="Arial" w:cs="Arial"/>
              </w:rPr>
            </w:pPr>
            <w:r>
              <w:rPr>
                <w:rFonts w:ascii="Arial" w:hAnsi="Arial" w:cs="Arial"/>
              </w:rPr>
              <w:t>Anita Burić</w:t>
            </w:r>
          </w:p>
        </w:tc>
        <w:tc>
          <w:tcPr>
            <w:tcW w:w="2886" w:type="dxa"/>
          </w:tcPr>
          <w:p w:rsidR="009D4BEB" w:rsidRPr="00EA6CE6" w:rsidRDefault="009D4BEB" w:rsidP="00777666">
            <w:pPr>
              <w:rPr>
                <w:rFonts w:ascii="Arial" w:hAnsi="Arial" w:cs="Arial"/>
              </w:rPr>
            </w:pPr>
            <w:r w:rsidRPr="00EA6CE6">
              <w:rPr>
                <w:rFonts w:ascii="Arial" w:hAnsi="Arial" w:cs="Arial"/>
              </w:rPr>
              <w:t>Datum:</w:t>
            </w:r>
          </w:p>
          <w:p w:rsidR="009D4BEB" w:rsidRPr="00EA6CE6" w:rsidRDefault="009D4BEB" w:rsidP="00777666">
            <w:pPr>
              <w:rPr>
                <w:rFonts w:ascii="Arial" w:hAnsi="Arial" w:cs="Arial"/>
              </w:rPr>
            </w:pPr>
            <w:r>
              <w:rPr>
                <w:rFonts w:ascii="Arial" w:hAnsi="Arial" w:cs="Arial"/>
              </w:rPr>
              <w:t>24. travnja 2026.</w:t>
            </w:r>
          </w:p>
        </w:tc>
      </w:tr>
    </w:tbl>
    <w:p w:rsidR="009D4BEB" w:rsidRPr="003112DC" w:rsidRDefault="009D4BEB" w:rsidP="009D4BEB">
      <w:pPr>
        <w:rPr>
          <w:rFonts w:ascii="Arial" w:hAnsi="Arial" w:cs="Arial"/>
        </w:rPr>
      </w:pPr>
    </w:p>
    <w:p w:rsidR="009D4BEB" w:rsidRDefault="009D4BEB">
      <w:bookmarkStart w:id="0" w:name="_GoBack"/>
      <w:bookmarkEnd w:id="0"/>
    </w:p>
    <w:sectPr w:rsidR="009D4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EB"/>
    <w:rsid w:val="001A7CFF"/>
    <w:rsid w:val="00621A77"/>
    <w:rsid w:val="009D4B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740EE-77D6-47F1-A394-C0C33DF0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B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BEB"/>
    <w:pPr>
      <w:spacing w:after="0" w:line="240" w:lineRule="auto"/>
    </w:pPr>
  </w:style>
  <w:style w:type="table" w:styleId="TableGrid">
    <w:name w:val="Table Grid"/>
    <w:basedOn w:val="TableNormal"/>
    <w:uiPriority w:val="59"/>
    <w:rsid w:val="009D4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4BE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9D4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1396</Words>
  <Characters>7958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Burić</dc:creator>
  <cp:keywords/>
  <dc:description/>
  <cp:lastModifiedBy>Anita Burić</cp:lastModifiedBy>
  <cp:revision>2</cp:revision>
  <dcterms:created xsi:type="dcterms:W3CDTF">2026-04-30T07:36:00Z</dcterms:created>
  <dcterms:modified xsi:type="dcterms:W3CDTF">2026-04-30T07:39:00Z</dcterms:modified>
</cp:coreProperties>
</file>