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6A" w:rsidRPr="00324C3E" w:rsidRDefault="001F1775" w:rsidP="007403D4">
      <w:pPr>
        <w:pStyle w:val="Bezproreda"/>
        <w:rPr>
          <w:lang w:val="en-US"/>
        </w:rPr>
      </w:pPr>
      <w:r w:rsidRPr="00324C3E">
        <w:rPr>
          <w:lang w:val="en-US"/>
        </w:rPr>
        <w:t>OBRAZAC IZVJEŠĆA O PROVEDENOM SAVJETOVANJU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583"/>
        <w:gridCol w:w="2886"/>
      </w:tblGrid>
      <w:tr w:rsidR="001F1775" w:rsidRPr="00324C3E" w:rsidTr="00324C3E">
        <w:trPr>
          <w:trHeight w:val="683"/>
        </w:trPr>
        <w:tc>
          <w:tcPr>
            <w:tcW w:w="9016" w:type="dxa"/>
            <w:gridSpan w:val="3"/>
          </w:tcPr>
          <w:p w:rsidR="001F1775" w:rsidRPr="00324C3E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:rsidR="001F1775" w:rsidRPr="00324C3E" w:rsidRDefault="001F1775" w:rsidP="00324C3E">
            <w:pPr>
              <w:jc w:val="center"/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 SA ZAINTERESIRANOM JAVNOŠĆU</w:t>
            </w: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854F50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6469" w:type="dxa"/>
            <w:gridSpan w:val="2"/>
          </w:tcPr>
          <w:p w:rsidR="00854F50" w:rsidRPr="00324C3E" w:rsidRDefault="00073C95" w:rsidP="00975DA3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Prijedlog </w:t>
            </w:r>
            <w:r w:rsidR="00975DA3">
              <w:rPr>
                <w:rFonts w:ascii="Arial" w:eastAsia="Times New Roman" w:hAnsi="Arial" w:cs="Arial"/>
              </w:rPr>
              <w:t xml:space="preserve"> Programa potpore za usluge od općeg gospodarskog interesa u obliku naknade za obavljanje javne usluge javnog obalnog linijskog pomorskog prijevoza za razdoblje od 3 godine (</w:t>
            </w:r>
            <w:proofErr w:type="spellStart"/>
            <w:r w:rsidR="00975DA3">
              <w:rPr>
                <w:rFonts w:ascii="Arial" w:eastAsia="Times New Roman" w:hAnsi="Arial" w:cs="Arial"/>
              </w:rPr>
              <w:t>2026</w:t>
            </w:r>
            <w:proofErr w:type="spellEnd"/>
            <w:r w:rsidR="00975DA3">
              <w:rPr>
                <w:rFonts w:ascii="Arial" w:eastAsia="Times New Roman" w:hAnsi="Arial" w:cs="Arial"/>
              </w:rPr>
              <w:t>.-</w:t>
            </w:r>
            <w:proofErr w:type="spellStart"/>
            <w:r w:rsidR="00975DA3">
              <w:rPr>
                <w:rFonts w:ascii="Arial" w:eastAsia="Times New Roman" w:hAnsi="Arial" w:cs="Arial"/>
              </w:rPr>
              <w:t>2029</w:t>
            </w:r>
            <w:proofErr w:type="spellEnd"/>
            <w:r w:rsidR="00975DA3">
              <w:rPr>
                <w:rFonts w:ascii="Arial" w:eastAsia="Times New Roman" w:hAnsi="Arial" w:cs="Arial"/>
              </w:rPr>
              <w:t>.) na lokalnoj brodskoj liniji Dubrovnik (luka Gruž)-otok Koločep (luka Gornje čelo)</w:t>
            </w:r>
          </w:p>
        </w:tc>
      </w:tr>
      <w:tr w:rsidR="001F1775" w:rsidRPr="00324C3E" w:rsidTr="00772461">
        <w:tc>
          <w:tcPr>
            <w:tcW w:w="2547" w:type="dxa"/>
          </w:tcPr>
          <w:p w:rsidR="00854F50" w:rsidRPr="00324C3E" w:rsidRDefault="00854F50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 xml:space="preserve">Naziv </w:t>
            </w:r>
            <w:r w:rsidR="001F1775" w:rsidRPr="00324C3E">
              <w:rPr>
                <w:rFonts w:ascii="Arial" w:hAnsi="Arial" w:cs="Arial"/>
                <w:b/>
              </w:rPr>
              <w:t>tijel</w:t>
            </w:r>
            <w:r w:rsidRPr="00324C3E">
              <w:rPr>
                <w:rFonts w:ascii="Arial" w:hAnsi="Arial" w:cs="Arial"/>
                <w:b/>
              </w:rPr>
              <w:t>a nadležnog za izradu nacrta /</w:t>
            </w:r>
            <w:r w:rsidR="001F1775" w:rsidRPr="00324C3E">
              <w:rPr>
                <w:rFonts w:ascii="Arial" w:hAnsi="Arial" w:cs="Arial"/>
                <w:b/>
              </w:rPr>
              <w:t xml:space="preserve"> prov</w:t>
            </w:r>
            <w:r w:rsidRPr="00324C3E">
              <w:rPr>
                <w:rFonts w:ascii="Arial" w:hAnsi="Arial" w:cs="Arial"/>
                <w:b/>
              </w:rPr>
              <w:t>edbu</w:t>
            </w:r>
            <w:r w:rsidR="001F1775" w:rsidRPr="00324C3E">
              <w:rPr>
                <w:rFonts w:ascii="Arial" w:hAnsi="Arial" w:cs="Arial"/>
                <w:b/>
              </w:rPr>
              <w:t xml:space="preserve"> savjetovanj</w:t>
            </w:r>
            <w:r w:rsidRPr="00324C3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469" w:type="dxa"/>
            <w:gridSpan w:val="2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 xml:space="preserve">Grad </w:t>
            </w:r>
            <w:r w:rsidR="00854F50" w:rsidRPr="00324C3E">
              <w:rPr>
                <w:rFonts w:ascii="Arial" w:hAnsi="Arial" w:cs="Arial"/>
              </w:rPr>
              <w:t>Dubrovnik</w:t>
            </w:r>
          </w:p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 xml:space="preserve">Upravni odjel za </w:t>
            </w:r>
            <w:r w:rsidR="00744F36">
              <w:rPr>
                <w:rFonts w:ascii="Arial" w:hAnsi="Arial" w:cs="Arial"/>
              </w:rPr>
              <w:t>komunalne djelatnosti,promet,more i mjesnu samoupravu</w:t>
            </w:r>
          </w:p>
          <w:p w:rsidR="001F1775" w:rsidRPr="00324C3E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6469" w:type="dxa"/>
            <w:gridSpan w:val="2"/>
          </w:tcPr>
          <w:p w:rsidR="00975DA3" w:rsidRPr="008E3BB9" w:rsidRDefault="00975DA3" w:rsidP="00975DA3">
            <w:pPr>
              <w:widowControl w:val="0"/>
              <w:autoSpaceDE w:val="0"/>
              <w:autoSpaceDN w:val="0"/>
              <w:adjustRightInd w:val="0"/>
              <w:ind w:right="69"/>
              <w:jc w:val="both"/>
              <w:rPr>
                <w:rFonts w:ascii="Arial" w:hAnsi="Arial" w:cs="Arial"/>
              </w:rPr>
            </w:pPr>
            <w:r w:rsidRPr="008E3BB9">
              <w:rPr>
                <w:rFonts w:ascii="Arial" w:hAnsi="Arial" w:cs="Arial"/>
              </w:rPr>
              <w:t>Radi postizanja jednakih uvjeta</w:t>
            </w:r>
            <w:r>
              <w:rPr>
                <w:rFonts w:ascii="Arial" w:hAnsi="Arial" w:cs="Arial"/>
              </w:rPr>
              <w:t xml:space="preserve"> življenja svih svojih građana,</w:t>
            </w:r>
            <w:r w:rsidRPr="008E3BB9">
              <w:rPr>
                <w:rFonts w:ascii="Arial" w:hAnsi="Arial" w:cs="Arial"/>
              </w:rPr>
              <w:t>Grad Dubrovnik smatra važnim  ul</w:t>
            </w:r>
            <w:r w:rsidRPr="008E3BB9">
              <w:rPr>
                <w:rFonts w:ascii="Arial" w:hAnsi="Arial" w:cs="Arial"/>
                <w:spacing w:val="7"/>
              </w:rPr>
              <w:t xml:space="preserve">aganje </w:t>
            </w:r>
            <w:r>
              <w:rPr>
                <w:rFonts w:ascii="Arial" w:hAnsi="Arial" w:cs="Arial"/>
                <w:spacing w:val="7"/>
              </w:rPr>
              <w:t>i</w:t>
            </w:r>
            <w:r w:rsidRPr="008E3BB9">
              <w:rPr>
                <w:rFonts w:ascii="Arial" w:hAnsi="Arial" w:cs="Arial"/>
                <w:spacing w:val="7"/>
              </w:rPr>
              <w:t xml:space="preserve"> u one dijelove Grada Dubrovnika koji </w:t>
            </w:r>
            <w:r>
              <w:rPr>
                <w:rFonts w:ascii="Arial" w:hAnsi="Arial" w:cs="Arial"/>
                <w:spacing w:val="7"/>
              </w:rPr>
              <w:t xml:space="preserve">nisu </w:t>
            </w:r>
            <w:r w:rsidRPr="008E3BB9">
              <w:rPr>
                <w:rFonts w:ascii="Arial" w:hAnsi="Arial" w:cs="Arial"/>
                <w:spacing w:val="7"/>
              </w:rPr>
              <w:t>tako atraktivni za življenje,u ovom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 w:rsidRPr="008E3BB9">
              <w:rPr>
                <w:rFonts w:ascii="Arial" w:hAnsi="Arial" w:cs="Arial"/>
                <w:spacing w:val="7"/>
              </w:rPr>
              <w:t>slučaju</w:t>
            </w:r>
            <w:r>
              <w:rPr>
                <w:rFonts w:ascii="Arial" w:hAnsi="Arial" w:cs="Arial"/>
                <w:spacing w:val="7"/>
              </w:rPr>
              <w:t xml:space="preserve"> otoka Koločepa radi odvojenosti morem,</w:t>
            </w:r>
            <w:r w:rsidRPr="008E3BB9">
              <w:rPr>
                <w:rFonts w:ascii="Arial" w:hAnsi="Arial" w:cs="Arial"/>
                <w:spacing w:val="7"/>
              </w:rPr>
              <w:t>odnosno prometnom izoliranosti  pogotovo u zimskim mjesecima</w:t>
            </w:r>
            <w:r>
              <w:rPr>
                <w:rFonts w:ascii="Arial" w:hAnsi="Arial" w:cs="Arial"/>
                <w:spacing w:val="7"/>
              </w:rPr>
              <w:t xml:space="preserve">. </w:t>
            </w:r>
            <w:r w:rsidRPr="008E3BB9">
              <w:rPr>
                <w:rFonts w:ascii="Arial" w:hAnsi="Arial" w:cs="Arial"/>
                <w:spacing w:val="7"/>
              </w:rPr>
              <w:t xml:space="preserve"> </w:t>
            </w:r>
          </w:p>
          <w:p w:rsidR="00975DA3" w:rsidRPr="008E3BB9" w:rsidRDefault="00975DA3" w:rsidP="00975DA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  <w:p w:rsidR="00975DA3" w:rsidRDefault="00975DA3" w:rsidP="00975DA3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  <w:r w:rsidRPr="008E3BB9">
              <w:rPr>
                <w:rFonts w:ascii="Arial" w:eastAsia="Times New Roman" w:hAnsi="Arial" w:cs="Arial"/>
              </w:rPr>
              <w:t xml:space="preserve">U svrhu povezivanja otoka Koločepa s Dubrovnikom kao županijskim upravnim centrom i to prvenstveno radi lokalnog stanovništva i poboljšanja uvjeta života istih, Grad Dubrovnik u obvezi je osigurati nesmetano odvijanje linije javnog prijevoza u lokalnom obalnom pomorskom prometu. </w:t>
            </w:r>
          </w:p>
          <w:p w:rsidR="00975DA3" w:rsidRPr="008E3BB9" w:rsidRDefault="00975DA3" w:rsidP="00975DA3">
            <w:pPr>
              <w:pStyle w:val="Bezproreda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Grad Dubrovnik će putem Gradskog vijeća donijeti Odluku o utvrđivanju</w:t>
            </w:r>
            <w:r w:rsidRPr="00E91966">
              <w:rPr>
                <w:rFonts w:ascii="Arial" w:eastAsia="Times New Roman" w:hAnsi="Arial" w:cs="Arial"/>
              </w:rPr>
              <w:t xml:space="preserve"> lokalne brodske linije na relaciji Dubrovnik (Luka Gruž) – otok Koločep (Gornje </w:t>
            </w:r>
            <w:r>
              <w:rPr>
                <w:rFonts w:ascii="Arial" w:eastAsia="Times New Roman" w:hAnsi="Arial" w:cs="Arial"/>
              </w:rPr>
              <w:t>čelo) kao cjelogodišnje putničke</w:t>
            </w:r>
            <w:r w:rsidRPr="00E9196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brodske linije čime se omogućuje</w:t>
            </w:r>
            <w:r w:rsidRPr="00E91966">
              <w:rPr>
                <w:rFonts w:ascii="Arial" w:eastAsia="Times New Roman" w:hAnsi="Arial" w:cs="Arial"/>
              </w:rPr>
              <w:t xml:space="preserve"> cjelogodišnje povezivanje otoka Koločepa s gradom Dubrovnikom kao županijskim administrativnim sjedištem. Održavanje usluge javnog prijevoza na ovoj liniji smatra se uslugom od općeg gospodarskog interesa. </w:t>
            </w:r>
            <w:r w:rsidRPr="008E3BB9">
              <w:rPr>
                <w:rFonts w:ascii="Arial" w:eastAsia="Times New Roman" w:hAnsi="Arial" w:cs="Arial"/>
              </w:rPr>
              <w:t xml:space="preserve"> </w:t>
            </w:r>
          </w:p>
          <w:p w:rsidR="00975DA3" w:rsidRPr="008E3BB9" w:rsidRDefault="00975DA3" w:rsidP="00975DA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  <w:p w:rsidR="00975DA3" w:rsidRDefault="00975DA3" w:rsidP="00975DA3">
            <w:pPr>
              <w:widowControl w:val="0"/>
              <w:autoSpaceDE w:val="0"/>
              <w:autoSpaceDN w:val="0"/>
              <w:adjustRightInd w:val="0"/>
              <w:spacing w:before="37"/>
              <w:ind w:right="1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</w:t>
            </w:r>
            <w:r w:rsidRPr="008E3BB9">
              <w:rPr>
                <w:rFonts w:ascii="Arial" w:hAnsi="Arial" w:cs="Arial"/>
              </w:rPr>
              <w:t xml:space="preserve"> za obavljanje javnog prijevoza na određenim linijama, na kojima brodari uzimajući u obzir vlastiti gospodarski interes, temeljen na tržišnim principima i  pod danim uvjetima i u danom opsegu</w:t>
            </w:r>
            <w:r>
              <w:rPr>
                <w:rFonts w:ascii="Arial" w:hAnsi="Arial" w:cs="Arial"/>
              </w:rPr>
              <w:t xml:space="preserve"> </w:t>
            </w:r>
            <w:r w:rsidRPr="008E3BB9">
              <w:rPr>
                <w:rFonts w:ascii="Arial" w:hAnsi="Arial" w:cs="Arial"/>
              </w:rPr>
              <w:t xml:space="preserve">ne bi </w:t>
            </w:r>
            <w:r>
              <w:rPr>
                <w:rFonts w:ascii="Arial" w:hAnsi="Arial" w:cs="Arial"/>
              </w:rPr>
              <w:t>p</w:t>
            </w:r>
            <w:r w:rsidRPr="008E3BB9">
              <w:rPr>
                <w:rFonts w:ascii="Arial" w:hAnsi="Arial" w:cs="Arial"/>
              </w:rPr>
              <w:t>reuzeli obvezu obavljanja tog prijevoza, te upravo zbog nemogućnosti da ostvarenim prihodom svoga poslovanja pokriju troškove, daje im se naknada.</w:t>
            </w:r>
          </w:p>
          <w:p w:rsidR="00975DA3" w:rsidRDefault="00975DA3" w:rsidP="00975DA3">
            <w:pPr>
              <w:widowControl w:val="0"/>
              <w:autoSpaceDE w:val="0"/>
              <w:autoSpaceDN w:val="0"/>
              <w:adjustRightInd w:val="0"/>
              <w:spacing w:before="37"/>
              <w:ind w:right="131"/>
              <w:jc w:val="both"/>
              <w:rPr>
                <w:rFonts w:ascii="Arial" w:hAnsi="Arial" w:cs="Arial"/>
              </w:rPr>
            </w:pPr>
          </w:p>
          <w:p w:rsidR="00975DA3" w:rsidRPr="008E3BB9" w:rsidRDefault="00975DA3" w:rsidP="00975DA3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 w:rsidRPr="008E3BB9">
              <w:rPr>
                <w:rFonts w:ascii="Arial" w:eastAsia="Times New Roman" w:hAnsi="Arial" w:cs="Arial"/>
                <w:lang w:val="es-ES"/>
              </w:rPr>
              <w:t xml:space="preserve">Cilj dodjele naknade za obavljanje javne usluge koja će se dodijeliti temeljem ovog prijedloga </w:t>
            </w:r>
            <w:r>
              <w:rPr>
                <w:rFonts w:ascii="Arial" w:eastAsia="Times New Roman" w:hAnsi="Arial" w:cs="Arial"/>
                <w:lang w:val="es-ES"/>
              </w:rPr>
              <w:t xml:space="preserve">Programa, te provođenjem postupka javne nabave odabira ponuditelja, </w:t>
            </w:r>
            <w:r w:rsidRPr="008E3BB9">
              <w:rPr>
                <w:rFonts w:ascii="Arial" w:eastAsia="Times New Roman" w:hAnsi="Arial" w:cs="Arial"/>
                <w:lang w:val="es-ES"/>
              </w:rPr>
              <w:t xml:space="preserve">je osiguranje nesmetanog pružanja usluge redovitog javnog pomorskog prijevoza kao usluge od općeg gospodarskog interesa krajnjim korisnicima, a ponajprije otočnom stanovništvu, u ovom slučaju stanovnicima otoka Koločepa. </w:t>
            </w:r>
          </w:p>
          <w:p w:rsidR="00324C3E" w:rsidRDefault="00324C3E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975DA3" w:rsidRDefault="00975DA3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975DA3" w:rsidRDefault="00975DA3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975DA3" w:rsidRDefault="00975DA3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975DA3" w:rsidRDefault="00975DA3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975DA3" w:rsidRPr="00324C3E" w:rsidRDefault="00975DA3" w:rsidP="00744F36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14418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lastRenderedPageBreak/>
              <w:t xml:space="preserve">Objava </w:t>
            </w:r>
            <w:r w:rsidR="001F1775" w:rsidRPr="00324C3E">
              <w:rPr>
                <w:rFonts w:ascii="Arial" w:hAnsi="Arial" w:cs="Arial"/>
                <w:b/>
              </w:rPr>
              <w:t>dokumenta</w:t>
            </w:r>
            <w:r w:rsidRPr="00324C3E">
              <w:rPr>
                <w:rFonts w:ascii="Arial" w:hAnsi="Arial" w:cs="Arial"/>
                <w:b/>
              </w:rPr>
              <w:t xml:space="preserve"> za savjetovanje</w:t>
            </w:r>
          </w:p>
          <w:p w:rsidR="00114418" w:rsidRPr="00324C3E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:rsidR="00744F36" w:rsidRDefault="001F1775" w:rsidP="00324C3E">
            <w:pPr>
              <w:rPr>
                <w:rFonts w:ascii="Arial" w:hAnsi="Arial" w:cs="Arial"/>
                <w:i/>
              </w:rPr>
            </w:pPr>
            <w:r w:rsidRPr="00324C3E">
              <w:rPr>
                <w:rFonts w:ascii="Arial" w:hAnsi="Arial" w:cs="Arial"/>
                <w:i/>
              </w:rPr>
              <w:t>P</w:t>
            </w:r>
            <w:r w:rsidR="00114418" w:rsidRPr="00324C3E">
              <w:rPr>
                <w:rFonts w:ascii="Arial" w:hAnsi="Arial" w:cs="Arial"/>
                <w:i/>
              </w:rPr>
              <w:t>oveznica na objavljeno savjetovanje</w:t>
            </w:r>
          </w:p>
          <w:p w:rsidR="00324C3E" w:rsidRPr="00324C3E" w:rsidRDefault="00975DA3" w:rsidP="00975DA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5" w:history="1">
              <w:proofErr w:type="spellStart"/>
              <w:r w:rsidRPr="00975DA3">
                <w:rPr>
                  <w:rFonts w:eastAsiaTheme="minorHAnsi"/>
                  <w:color w:val="0000FF"/>
                  <w:u w:val="single"/>
                  <w:lang w:eastAsia="en-US"/>
                </w:rPr>
                <w:t>https</w:t>
              </w:r>
              <w:proofErr w:type="spellEnd"/>
              <w:r w:rsidRPr="00975DA3">
                <w:rPr>
                  <w:rFonts w:eastAsiaTheme="minorHAnsi"/>
                  <w:color w:val="0000FF"/>
                  <w:u w:val="single"/>
                  <w:lang w:eastAsia="en-US"/>
                </w:rPr>
                <w:t>://www.dubrovnik.hr/vijesti/javno-savjetovanje---program-potpore-od-opceg-gospodarskog-interesa-u-obliku-naknade-za-obavljanje-javne-usluge-javnog-obalnog-linijskog-pomorskog-prijevoza-za-razdoblje-od-3-godine-(2026-2029)-na-lokalnoj-brodskoj-liniji-dubrovnik-(luka-gruz)---otok-kolocep-(luka-gornje-celo)-20367</w:t>
              </w:r>
            </w:hyperlink>
          </w:p>
        </w:tc>
      </w:tr>
      <w:tr w:rsidR="001F1775" w:rsidRPr="00324C3E" w:rsidTr="002D59F1">
        <w:trPr>
          <w:trHeight w:val="2159"/>
        </w:trPr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</w:p>
          <w:p w:rsidR="00114418" w:rsidRPr="00324C3E" w:rsidRDefault="00114418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6469" w:type="dxa"/>
            <w:gridSpan w:val="2"/>
          </w:tcPr>
          <w:p w:rsidR="001F1775" w:rsidRPr="00324C3E" w:rsidRDefault="001F1775" w:rsidP="00576DF1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</w:p>
          <w:p w:rsidR="001F1775" w:rsidRPr="00324C3E" w:rsidRDefault="009B02C2" w:rsidP="002D59F1">
            <w:pPr>
              <w:pStyle w:val="Bezproreda"/>
              <w:jc w:val="both"/>
              <w:rPr>
                <w:rStyle w:val="Istaknuto"/>
                <w:rFonts w:ascii="Arial" w:hAnsi="Arial" w:cs="Arial"/>
                <w:i w:val="0"/>
              </w:rPr>
            </w:pPr>
            <w:r w:rsidRPr="00324C3E">
              <w:rPr>
                <w:rStyle w:val="Istaknuto"/>
                <w:rFonts w:ascii="Arial" w:hAnsi="Arial" w:cs="Arial"/>
              </w:rPr>
              <w:t>Javno</w:t>
            </w:r>
            <w:r w:rsidR="00541CB9" w:rsidRPr="00324C3E">
              <w:rPr>
                <w:rStyle w:val="Istaknuto"/>
                <w:rFonts w:ascii="Arial" w:hAnsi="Arial" w:cs="Arial"/>
              </w:rPr>
              <w:t xml:space="preserve"> savjetovanje sa zainteresiranom javnošću</w:t>
            </w:r>
            <w:r w:rsidR="00324C3E" w:rsidRPr="00324C3E">
              <w:rPr>
                <w:rStyle w:val="Istaknuto"/>
                <w:rFonts w:ascii="Arial" w:hAnsi="Arial" w:cs="Arial"/>
              </w:rPr>
              <w:t xml:space="preserve"> za</w:t>
            </w:r>
            <w:r w:rsidR="00324C3E" w:rsidRPr="00324C3E">
              <w:rPr>
                <w:rFonts w:ascii="Arial" w:hAnsi="Arial" w:cs="Arial"/>
                <w:b/>
              </w:rPr>
              <w:t xml:space="preserve"> </w:t>
            </w:r>
            <w:r w:rsidR="00772461">
              <w:rPr>
                <w:rFonts w:ascii="Arial" w:eastAsia="Times New Roman" w:hAnsi="Arial" w:cs="Arial"/>
              </w:rPr>
              <w:t>Prijedlog</w:t>
            </w:r>
            <w:r w:rsidR="00975DA3">
              <w:rPr>
                <w:rFonts w:ascii="Arial" w:eastAsia="Times New Roman" w:hAnsi="Arial" w:cs="Arial"/>
              </w:rPr>
              <w:t xml:space="preserve"> </w:t>
            </w:r>
            <w:r w:rsidR="00975DA3">
              <w:rPr>
                <w:rFonts w:ascii="Arial" w:eastAsia="Times New Roman" w:hAnsi="Arial" w:cs="Arial"/>
              </w:rPr>
              <w:t>Programa potpore za usluge od općeg gospodarskog interesa u obliku naknade za obavljanje javne usluge javnog obalnog linijskog pomorskog prijevoza za razdoblje od 3 godine (</w:t>
            </w:r>
            <w:proofErr w:type="spellStart"/>
            <w:r w:rsidR="00975DA3">
              <w:rPr>
                <w:rFonts w:ascii="Arial" w:eastAsia="Times New Roman" w:hAnsi="Arial" w:cs="Arial"/>
              </w:rPr>
              <w:t>2026</w:t>
            </w:r>
            <w:proofErr w:type="spellEnd"/>
            <w:r w:rsidR="00975DA3">
              <w:rPr>
                <w:rFonts w:ascii="Arial" w:eastAsia="Times New Roman" w:hAnsi="Arial" w:cs="Arial"/>
              </w:rPr>
              <w:t>.-</w:t>
            </w:r>
            <w:proofErr w:type="spellStart"/>
            <w:r w:rsidR="00975DA3">
              <w:rPr>
                <w:rFonts w:ascii="Arial" w:eastAsia="Times New Roman" w:hAnsi="Arial" w:cs="Arial"/>
              </w:rPr>
              <w:t>2029</w:t>
            </w:r>
            <w:proofErr w:type="spellEnd"/>
            <w:r w:rsidR="00975DA3">
              <w:rPr>
                <w:rFonts w:ascii="Arial" w:eastAsia="Times New Roman" w:hAnsi="Arial" w:cs="Arial"/>
              </w:rPr>
              <w:t>.) na lokalnoj brodskoj liniji Dubrovnik (luka Gruž)-otok Koločep (luka Gornje čelo)</w:t>
            </w:r>
            <w:bookmarkStart w:id="0" w:name="_GoBack"/>
            <w:bookmarkEnd w:id="0"/>
            <w:r w:rsidR="00772461">
              <w:rPr>
                <w:rFonts w:ascii="Arial" w:eastAsia="Times New Roman" w:hAnsi="Arial" w:cs="Arial"/>
              </w:rPr>
              <w:t xml:space="preserve"> </w:t>
            </w:r>
            <w:r w:rsidR="00541CB9" w:rsidRPr="00324C3E">
              <w:rPr>
                <w:rStyle w:val="Istaknuto"/>
                <w:rFonts w:ascii="Arial" w:hAnsi="Arial" w:cs="Arial"/>
              </w:rPr>
              <w:t xml:space="preserve">provedeno je u razdoblju od </w:t>
            </w:r>
            <w:proofErr w:type="spellStart"/>
            <w:r w:rsidR="00B96EA0">
              <w:rPr>
                <w:rStyle w:val="Istaknuto"/>
                <w:rFonts w:ascii="Arial" w:hAnsi="Arial" w:cs="Arial"/>
              </w:rPr>
              <w:t>16</w:t>
            </w:r>
            <w:proofErr w:type="spellEnd"/>
            <w:r w:rsidR="00B96EA0">
              <w:rPr>
                <w:rStyle w:val="Istaknuto"/>
                <w:rFonts w:ascii="Arial" w:hAnsi="Arial" w:cs="Arial"/>
              </w:rPr>
              <w:t xml:space="preserve">. ožujka do </w:t>
            </w:r>
            <w:proofErr w:type="spellStart"/>
            <w:r w:rsidR="00B96EA0">
              <w:rPr>
                <w:rStyle w:val="Istaknuto"/>
                <w:rFonts w:ascii="Arial" w:hAnsi="Arial" w:cs="Arial"/>
              </w:rPr>
              <w:t>24</w:t>
            </w:r>
            <w:proofErr w:type="spellEnd"/>
            <w:r w:rsidR="00B96EA0">
              <w:rPr>
                <w:rStyle w:val="Istaknuto"/>
                <w:rFonts w:ascii="Arial" w:hAnsi="Arial" w:cs="Arial"/>
              </w:rPr>
              <w:t>. ožujka</w:t>
            </w:r>
            <w:r w:rsidR="00BA4924">
              <w:rPr>
                <w:rStyle w:val="Istaknuto"/>
                <w:rFonts w:ascii="Arial" w:hAnsi="Arial" w:cs="Arial"/>
              </w:rPr>
              <w:t xml:space="preserve"> </w:t>
            </w:r>
            <w:proofErr w:type="spellStart"/>
            <w:r w:rsidR="00541CB9" w:rsidRPr="00324C3E">
              <w:rPr>
                <w:rStyle w:val="Istaknuto"/>
                <w:rFonts w:ascii="Arial" w:hAnsi="Arial" w:cs="Arial"/>
              </w:rPr>
              <w:t>20</w:t>
            </w:r>
            <w:r w:rsidRPr="00324C3E">
              <w:rPr>
                <w:rStyle w:val="Istaknuto"/>
                <w:rFonts w:ascii="Arial" w:hAnsi="Arial" w:cs="Arial"/>
              </w:rPr>
              <w:t>2</w:t>
            </w:r>
            <w:r w:rsidR="00B96EA0">
              <w:rPr>
                <w:rStyle w:val="Istaknuto"/>
                <w:rFonts w:ascii="Arial" w:hAnsi="Arial" w:cs="Arial"/>
              </w:rPr>
              <w:t>6</w:t>
            </w:r>
            <w:proofErr w:type="spellEnd"/>
            <w:r w:rsidR="00541CB9" w:rsidRPr="00324C3E">
              <w:rPr>
                <w:rStyle w:val="Istaknuto"/>
                <w:rFonts w:ascii="Arial" w:hAnsi="Arial" w:cs="Arial"/>
              </w:rPr>
              <w:t>.</w:t>
            </w:r>
          </w:p>
          <w:p w:rsidR="001F1775" w:rsidRPr="00324C3E" w:rsidRDefault="001F1775" w:rsidP="009B02C2">
            <w:pPr>
              <w:pStyle w:val="xxmsonormal"/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</w:p>
          <w:p w:rsidR="00EA6CE6" w:rsidRPr="00324C3E" w:rsidRDefault="00EA6CE6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:rsidR="00EA6CE6" w:rsidRPr="00324C3E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:rsidR="00EA6CE6" w:rsidRDefault="00EA6CE6" w:rsidP="004D5AC6">
            <w:pPr>
              <w:rPr>
                <w:rFonts w:ascii="Arial" w:hAnsi="Arial" w:cs="Arial"/>
              </w:rPr>
            </w:pPr>
          </w:p>
          <w:p w:rsidR="00B96EA0" w:rsidRPr="00324C3E" w:rsidRDefault="00B96EA0" w:rsidP="004D5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javnog savjetovanja nije pristigao niti jedan prijedlog ni primjedba.</w:t>
            </w:r>
          </w:p>
        </w:tc>
      </w:tr>
      <w:tr w:rsidR="00EA6CE6" w:rsidRPr="00324C3E" w:rsidTr="002D59F1">
        <w:trPr>
          <w:trHeight w:val="1527"/>
        </w:trPr>
        <w:tc>
          <w:tcPr>
            <w:tcW w:w="2547" w:type="dxa"/>
          </w:tcPr>
          <w:p w:rsidR="00EA6CE6" w:rsidRPr="00324C3E" w:rsidRDefault="00EA6CE6" w:rsidP="00576DF1">
            <w:pPr>
              <w:rPr>
                <w:rFonts w:ascii="Arial" w:hAnsi="Arial" w:cs="Arial"/>
              </w:rPr>
            </w:pPr>
          </w:p>
          <w:p w:rsidR="00EA6CE6" w:rsidRPr="00324C3E" w:rsidRDefault="00EA6CE6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:rsidR="00EA6CE6" w:rsidRPr="00324C3E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  <w:gridSpan w:val="2"/>
          </w:tcPr>
          <w:p w:rsidR="002D59F1" w:rsidRPr="002D59F1" w:rsidRDefault="002D59F1" w:rsidP="009C4C5B">
            <w:pPr>
              <w:rPr>
                <w:rFonts w:ascii="Arial" w:hAnsi="Arial" w:cs="Arial"/>
              </w:rPr>
            </w:pP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6469" w:type="dxa"/>
            <w:gridSpan w:val="2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324C3E" w:rsidTr="00772461">
        <w:tc>
          <w:tcPr>
            <w:tcW w:w="2547" w:type="dxa"/>
          </w:tcPr>
          <w:p w:rsidR="001F1775" w:rsidRPr="00324C3E" w:rsidRDefault="001F1775" w:rsidP="00576DF1">
            <w:pPr>
              <w:rPr>
                <w:rFonts w:ascii="Arial" w:hAnsi="Arial" w:cs="Arial"/>
                <w:b/>
              </w:rPr>
            </w:pPr>
            <w:r w:rsidRPr="00324C3E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583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Ime i prezime:</w:t>
            </w:r>
          </w:p>
          <w:p w:rsidR="001F1775" w:rsidRPr="00324C3E" w:rsidRDefault="00B96EA0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 Dadić</w:t>
            </w:r>
          </w:p>
        </w:tc>
        <w:tc>
          <w:tcPr>
            <w:tcW w:w="2886" w:type="dxa"/>
          </w:tcPr>
          <w:p w:rsidR="001F1775" w:rsidRPr="00324C3E" w:rsidRDefault="001F1775" w:rsidP="00576DF1">
            <w:pPr>
              <w:rPr>
                <w:rFonts w:ascii="Arial" w:hAnsi="Arial" w:cs="Arial"/>
              </w:rPr>
            </w:pPr>
            <w:r w:rsidRPr="00324C3E">
              <w:rPr>
                <w:rFonts w:ascii="Arial" w:hAnsi="Arial" w:cs="Arial"/>
              </w:rPr>
              <w:t>Datum:</w:t>
            </w:r>
          </w:p>
          <w:p w:rsidR="001F1775" w:rsidRPr="00324C3E" w:rsidRDefault="00B96EA0" w:rsidP="0087055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25</w:t>
            </w:r>
            <w:proofErr w:type="spellEnd"/>
            <w:r>
              <w:rPr>
                <w:rFonts w:ascii="Arial" w:hAnsi="Arial" w:cs="Arial"/>
              </w:rPr>
              <w:t>. ožujka</w:t>
            </w:r>
            <w:r w:rsidR="00D225DF">
              <w:rPr>
                <w:rFonts w:ascii="Arial" w:hAnsi="Arial" w:cs="Arial"/>
              </w:rPr>
              <w:t xml:space="preserve"> </w:t>
            </w:r>
            <w:proofErr w:type="spellStart"/>
            <w:r w:rsidR="009B02C2" w:rsidRPr="00324C3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1F1775" w:rsidRPr="00324C3E" w:rsidRDefault="001F1775">
      <w:pPr>
        <w:rPr>
          <w:rFonts w:ascii="Arial" w:hAnsi="Arial" w:cs="Arial"/>
          <w:lang w:val="en-US"/>
        </w:rPr>
      </w:pPr>
    </w:p>
    <w:sectPr w:rsidR="001F1775" w:rsidRPr="0032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75"/>
    <w:rsid w:val="00073C95"/>
    <w:rsid w:val="00114418"/>
    <w:rsid w:val="001F1775"/>
    <w:rsid w:val="002D59F1"/>
    <w:rsid w:val="00324C3E"/>
    <w:rsid w:val="004D5AC6"/>
    <w:rsid w:val="00541CB9"/>
    <w:rsid w:val="0066505D"/>
    <w:rsid w:val="007403D4"/>
    <w:rsid w:val="00744F36"/>
    <w:rsid w:val="00772461"/>
    <w:rsid w:val="00787C31"/>
    <w:rsid w:val="007A5E21"/>
    <w:rsid w:val="007E0852"/>
    <w:rsid w:val="00854F50"/>
    <w:rsid w:val="0087055E"/>
    <w:rsid w:val="00896DCE"/>
    <w:rsid w:val="00975DA3"/>
    <w:rsid w:val="009B02C2"/>
    <w:rsid w:val="009C4C5B"/>
    <w:rsid w:val="00A350CC"/>
    <w:rsid w:val="00A64018"/>
    <w:rsid w:val="00A97D85"/>
    <w:rsid w:val="00B96EA0"/>
    <w:rsid w:val="00BA4924"/>
    <w:rsid w:val="00D225DF"/>
    <w:rsid w:val="00D346E0"/>
    <w:rsid w:val="00DB73FB"/>
    <w:rsid w:val="00E6086A"/>
    <w:rsid w:val="00EA6CE6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9B02C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24C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3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D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9B02C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24C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3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vijesti/javno-savjetovanje---program-potpore-od-opceg-gospodarskog-interesa-u-obliku-naknade-za-obavljanje-javne-usluge-javnog-obalnog-linijskog-pomorskog-prijevoza-za-razdoblje-od-3-godine-(2026-2029)-na-lokalnoj-brodskoj-liniji-dubrovnik-(luka-gruz)---otok-kolocep-(luka-gornje-celo)-203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cp:lastPrinted>2022-09-07T08:42:00Z</cp:lastPrinted>
  <dcterms:created xsi:type="dcterms:W3CDTF">2026-03-25T08:51:00Z</dcterms:created>
  <dcterms:modified xsi:type="dcterms:W3CDTF">2026-03-25T08:51:00Z</dcterms:modified>
</cp:coreProperties>
</file>