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48" w:rsidRPr="00DA01E3" w:rsidRDefault="005D57D0" w:rsidP="005D57D0">
      <w:pPr>
        <w:jc w:val="right"/>
        <w:rPr>
          <w:rFonts w:ascii="Arial" w:hAnsi="Arial" w:cs="Arial"/>
          <w:b/>
          <w:sz w:val="22"/>
          <w:szCs w:val="22"/>
        </w:rPr>
      </w:pPr>
      <w:r w:rsidRPr="00DA01E3">
        <w:rPr>
          <w:rFonts w:ascii="Arial" w:hAnsi="Arial" w:cs="Arial"/>
          <w:b/>
          <w:sz w:val="22"/>
          <w:szCs w:val="22"/>
        </w:rPr>
        <w:t>Prijedlog</w:t>
      </w:r>
    </w:p>
    <w:p w:rsidR="00455448" w:rsidRPr="00DA01E3" w:rsidRDefault="00455448" w:rsidP="005D57D0">
      <w:pPr>
        <w:jc w:val="right"/>
        <w:rPr>
          <w:rFonts w:ascii="Arial" w:hAnsi="Arial" w:cs="Arial"/>
          <w:sz w:val="22"/>
          <w:szCs w:val="22"/>
        </w:rPr>
      </w:pPr>
    </w:p>
    <w:p w:rsidR="00455448" w:rsidRPr="00DA01E3" w:rsidRDefault="00455448" w:rsidP="00455448">
      <w:pPr>
        <w:rPr>
          <w:rFonts w:ascii="Arial" w:hAnsi="Arial" w:cs="Arial"/>
          <w:sz w:val="22"/>
          <w:szCs w:val="22"/>
        </w:rPr>
      </w:pPr>
    </w:p>
    <w:p w:rsidR="00455448" w:rsidRPr="00DA01E3" w:rsidRDefault="009424AE" w:rsidP="00455448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 xml:space="preserve">Na temelju članka </w:t>
      </w:r>
      <w:proofErr w:type="spellStart"/>
      <w:r w:rsidRPr="00DA01E3">
        <w:rPr>
          <w:rFonts w:ascii="Arial" w:hAnsi="Arial" w:cs="Arial"/>
          <w:sz w:val="22"/>
          <w:szCs w:val="22"/>
        </w:rPr>
        <w:t>22</w:t>
      </w:r>
      <w:proofErr w:type="spellEnd"/>
      <w:r w:rsidR="00455448" w:rsidRPr="00DA01E3">
        <w:rPr>
          <w:rFonts w:ascii="Arial" w:hAnsi="Arial" w:cs="Arial"/>
          <w:sz w:val="22"/>
          <w:szCs w:val="22"/>
        </w:rPr>
        <w:t>. Zakona o prijevozu u linijskom i povremenom obalnom pomorskom prometu („Narodne novine“, broj</w:t>
      </w:r>
      <w:r w:rsidRPr="00DA01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4B10">
        <w:rPr>
          <w:rFonts w:ascii="Arial" w:hAnsi="Arial" w:cs="Arial"/>
          <w:sz w:val="22"/>
          <w:szCs w:val="22"/>
        </w:rPr>
        <w:t>19</w:t>
      </w:r>
      <w:proofErr w:type="spellEnd"/>
      <w:r w:rsidR="00BB4B10">
        <w:rPr>
          <w:rFonts w:ascii="Arial" w:hAnsi="Arial" w:cs="Arial"/>
          <w:sz w:val="22"/>
          <w:szCs w:val="22"/>
        </w:rPr>
        <w:t>/</w:t>
      </w:r>
      <w:proofErr w:type="spellStart"/>
      <w:r w:rsidR="00BB4B10">
        <w:rPr>
          <w:rFonts w:ascii="Arial" w:hAnsi="Arial" w:cs="Arial"/>
          <w:sz w:val="22"/>
          <w:szCs w:val="22"/>
        </w:rPr>
        <w:t>22</w:t>
      </w:r>
      <w:proofErr w:type="spellEnd"/>
      <w:r w:rsidR="00BB4B10">
        <w:rPr>
          <w:rFonts w:ascii="Arial" w:hAnsi="Arial" w:cs="Arial"/>
          <w:sz w:val="22"/>
          <w:szCs w:val="22"/>
        </w:rPr>
        <w:t>.),</w:t>
      </w:r>
      <w:r w:rsidRPr="00DA01E3">
        <w:rPr>
          <w:rFonts w:ascii="Arial" w:hAnsi="Arial" w:cs="Arial"/>
          <w:sz w:val="22"/>
          <w:szCs w:val="22"/>
        </w:rPr>
        <w:t>suglasnosti Agencije za obalni linijski pomorski promet</w:t>
      </w:r>
      <w:r w:rsidR="00455448" w:rsidRPr="00DA01E3">
        <w:rPr>
          <w:rFonts w:ascii="Arial" w:hAnsi="Arial" w:cs="Arial"/>
          <w:sz w:val="22"/>
          <w:szCs w:val="22"/>
        </w:rPr>
        <w:t xml:space="preserve"> i </w:t>
      </w:r>
      <w:r w:rsidRPr="00DA01E3">
        <w:rPr>
          <w:rFonts w:ascii="Arial" w:hAnsi="Arial" w:cs="Arial"/>
          <w:sz w:val="22"/>
          <w:szCs w:val="22"/>
        </w:rPr>
        <w:t xml:space="preserve">članka </w:t>
      </w:r>
      <w:proofErr w:type="spellStart"/>
      <w:r w:rsidRPr="00DA01E3">
        <w:rPr>
          <w:rFonts w:ascii="Arial" w:hAnsi="Arial" w:cs="Arial"/>
          <w:sz w:val="22"/>
          <w:szCs w:val="22"/>
        </w:rPr>
        <w:t>39</w:t>
      </w:r>
      <w:proofErr w:type="spellEnd"/>
      <w:r w:rsidR="00455448" w:rsidRPr="00DA01E3">
        <w:rPr>
          <w:rFonts w:ascii="Arial" w:hAnsi="Arial" w:cs="Arial"/>
          <w:sz w:val="22"/>
          <w:szCs w:val="22"/>
        </w:rPr>
        <w:t>. Statuta Grada Dubrovnika („Službeni glasnik“, b</w:t>
      </w:r>
      <w:r w:rsidRPr="00DA01E3">
        <w:rPr>
          <w:rFonts w:ascii="Arial" w:hAnsi="Arial" w:cs="Arial"/>
          <w:sz w:val="22"/>
          <w:szCs w:val="22"/>
        </w:rPr>
        <w:t>roj 2/</w:t>
      </w:r>
      <w:proofErr w:type="spellStart"/>
      <w:r w:rsidRPr="00DA01E3">
        <w:rPr>
          <w:rFonts w:ascii="Arial" w:hAnsi="Arial" w:cs="Arial"/>
          <w:sz w:val="22"/>
          <w:szCs w:val="22"/>
        </w:rPr>
        <w:t>21</w:t>
      </w:r>
      <w:proofErr w:type="spellEnd"/>
      <w:r w:rsidR="00455448" w:rsidRPr="00DA01E3">
        <w:rPr>
          <w:rFonts w:ascii="Arial" w:hAnsi="Arial" w:cs="Arial"/>
          <w:sz w:val="22"/>
          <w:szCs w:val="22"/>
        </w:rPr>
        <w:t>), Gradsko vijeće Gr</w:t>
      </w:r>
      <w:r w:rsidR="00BA4C43" w:rsidRPr="00DA01E3">
        <w:rPr>
          <w:rFonts w:ascii="Arial" w:hAnsi="Arial" w:cs="Arial"/>
          <w:sz w:val="22"/>
          <w:szCs w:val="22"/>
        </w:rPr>
        <w:t>ada Dubrovnika, na</w:t>
      </w:r>
      <w:r w:rsidR="007B5C21" w:rsidRPr="00DA01E3">
        <w:rPr>
          <w:rFonts w:ascii="Arial" w:hAnsi="Arial" w:cs="Arial"/>
          <w:sz w:val="22"/>
          <w:szCs w:val="22"/>
        </w:rPr>
        <w:t>-------</w:t>
      </w:r>
      <w:r w:rsidR="00BA4C43" w:rsidRPr="00DA01E3">
        <w:rPr>
          <w:rFonts w:ascii="Arial" w:hAnsi="Arial" w:cs="Arial"/>
          <w:sz w:val="22"/>
          <w:szCs w:val="22"/>
        </w:rPr>
        <w:t xml:space="preserve"> sjednici, održanoj </w:t>
      </w:r>
      <w:r w:rsidR="007B5C21" w:rsidRPr="00DA01E3">
        <w:rPr>
          <w:rFonts w:ascii="Arial" w:hAnsi="Arial" w:cs="Arial"/>
          <w:sz w:val="22"/>
          <w:szCs w:val="22"/>
        </w:rPr>
        <w:t>-----------</w:t>
      </w:r>
      <w:r w:rsidR="00BA4C43" w:rsidRPr="00DA01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C43" w:rsidRPr="00DA01E3">
        <w:rPr>
          <w:rFonts w:ascii="Arial" w:hAnsi="Arial" w:cs="Arial"/>
          <w:sz w:val="22"/>
          <w:szCs w:val="22"/>
        </w:rPr>
        <w:t>2026</w:t>
      </w:r>
      <w:proofErr w:type="spellEnd"/>
      <w:r w:rsidRPr="00DA01E3">
        <w:rPr>
          <w:rFonts w:ascii="Arial" w:hAnsi="Arial" w:cs="Arial"/>
          <w:sz w:val="22"/>
          <w:szCs w:val="22"/>
        </w:rPr>
        <w:t>. godine, donijelo je</w:t>
      </w:r>
    </w:p>
    <w:p w:rsidR="00602828" w:rsidRPr="00DA01E3" w:rsidRDefault="00602828" w:rsidP="00455448">
      <w:pPr>
        <w:jc w:val="both"/>
        <w:rPr>
          <w:rFonts w:ascii="Arial" w:hAnsi="Arial" w:cs="Arial"/>
          <w:sz w:val="22"/>
          <w:szCs w:val="22"/>
        </w:rPr>
      </w:pPr>
    </w:p>
    <w:p w:rsidR="00602828" w:rsidRPr="00DA01E3" w:rsidRDefault="00602828" w:rsidP="00455448">
      <w:pPr>
        <w:jc w:val="both"/>
        <w:rPr>
          <w:rFonts w:ascii="Arial" w:hAnsi="Arial" w:cs="Arial"/>
          <w:sz w:val="22"/>
          <w:szCs w:val="22"/>
        </w:rPr>
      </w:pPr>
    </w:p>
    <w:p w:rsidR="00455448" w:rsidRPr="00DA01E3" w:rsidRDefault="00455448" w:rsidP="0045544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55448" w:rsidRPr="00DA01E3" w:rsidRDefault="00455448" w:rsidP="00BA4C43">
      <w:pPr>
        <w:jc w:val="center"/>
        <w:rPr>
          <w:rFonts w:ascii="Arial" w:hAnsi="Arial" w:cs="Arial"/>
          <w:b/>
          <w:sz w:val="22"/>
          <w:szCs w:val="22"/>
        </w:rPr>
      </w:pPr>
      <w:r w:rsidRPr="00DA01E3">
        <w:rPr>
          <w:rFonts w:ascii="Arial" w:hAnsi="Arial" w:cs="Arial"/>
          <w:b/>
          <w:sz w:val="22"/>
          <w:szCs w:val="22"/>
        </w:rPr>
        <w:t>O D L U K U</w:t>
      </w:r>
    </w:p>
    <w:p w:rsidR="00455448" w:rsidRPr="00DA01E3" w:rsidRDefault="00455448" w:rsidP="00BA4C43">
      <w:pPr>
        <w:jc w:val="center"/>
        <w:rPr>
          <w:rFonts w:ascii="Arial" w:hAnsi="Arial" w:cs="Arial"/>
          <w:b/>
          <w:sz w:val="22"/>
          <w:szCs w:val="22"/>
        </w:rPr>
      </w:pPr>
      <w:r w:rsidRPr="00DA01E3">
        <w:rPr>
          <w:rFonts w:ascii="Arial" w:hAnsi="Arial" w:cs="Arial"/>
          <w:b/>
          <w:sz w:val="22"/>
          <w:szCs w:val="22"/>
        </w:rPr>
        <w:t>o utvrđivanju lokalne brodske linije na relaciji</w:t>
      </w:r>
    </w:p>
    <w:p w:rsidR="00455448" w:rsidRPr="00DA01E3" w:rsidRDefault="00455448" w:rsidP="00BA4C43">
      <w:pPr>
        <w:jc w:val="center"/>
        <w:rPr>
          <w:rFonts w:ascii="Arial" w:hAnsi="Arial" w:cs="Arial"/>
          <w:b/>
          <w:sz w:val="22"/>
          <w:szCs w:val="22"/>
        </w:rPr>
      </w:pPr>
      <w:r w:rsidRPr="00DA01E3">
        <w:rPr>
          <w:rFonts w:ascii="Arial" w:hAnsi="Arial" w:cs="Arial"/>
          <w:b/>
          <w:sz w:val="22"/>
          <w:szCs w:val="22"/>
        </w:rPr>
        <w:t>Grad Dubrovnik (Luka Gruž) – otok Koločep</w:t>
      </w:r>
      <w:r w:rsidR="007B5C21" w:rsidRPr="00DA01E3">
        <w:rPr>
          <w:rFonts w:ascii="Arial" w:hAnsi="Arial" w:cs="Arial"/>
          <w:b/>
          <w:sz w:val="22"/>
          <w:szCs w:val="22"/>
        </w:rPr>
        <w:t>(Gornje čelo)</w:t>
      </w:r>
    </w:p>
    <w:p w:rsidR="006F290E" w:rsidRPr="00DA01E3" w:rsidRDefault="006F290E" w:rsidP="006F290E">
      <w:pPr>
        <w:rPr>
          <w:rFonts w:ascii="Arial" w:hAnsi="Arial" w:cs="Arial"/>
          <w:sz w:val="22"/>
          <w:szCs w:val="22"/>
        </w:rPr>
      </w:pPr>
    </w:p>
    <w:p w:rsidR="00BA4C43" w:rsidRPr="00DA01E3" w:rsidRDefault="00BA4C43" w:rsidP="006F290E">
      <w:pPr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:rsidR="006F290E" w:rsidRPr="00DA01E3" w:rsidRDefault="00BA4C43" w:rsidP="006F290E">
      <w:pPr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 xml:space="preserve">                                     </w:t>
      </w:r>
      <w:r w:rsidR="00DA01E3">
        <w:rPr>
          <w:rFonts w:ascii="Arial" w:hAnsi="Arial" w:cs="Arial"/>
          <w:sz w:val="22"/>
          <w:szCs w:val="22"/>
        </w:rPr>
        <w:t xml:space="preserve">                         </w:t>
      </w:r>
      <w:r w:rsidRPr="00DA01E3">
        <w:rPr>
          <w:rFonts w:ascii="Arial" w:hAnsi="Arial" w:cs="Arial"/>
          <w:sz w:val="22"/>
          <w:szCs w:val="22"/>
        </w:rPr>
        <w:t xml:space="preserve">    </w:t>
      </w:r>
      <w:r w:rsidR="006F290E" w:rsidRPr="00DA01E3">
        <w:rPr>
          <w:rFonts w:ascii="Arial" w:hAnsi="Arial" w:cs="Arial"/>
          <w:sz w:val="22"/>
          <w:szCs w:val="22"/>
        </w:rPr>
        <w:t>Članak  1.</w:t>
      </w:r>
    </w:p>
    <w:p w:rsidR="00455448" w:rsidRPr="00DA01E3" w:rsidRDefault="00455448" w:rsidP="0045544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55448" w:rsidRPr="00DA01E3" w:rsidRDefault="00455448" w:rsidP="00455448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>U cilju povezivanja Grada Dubrovnika (Luka Gruž) i otoka Koločepa</w:t>
      </w:r>
      <w:r w:rsidR="00B676D6" w:rsidRPr="00DA01E3">
        <w:rPr>
          <w:rFonts w:ascii="Arial" w:hAnsi="Arial" w:cs="Arial"/>
          <w:sz w:val="22"/>
          <w:szCs w:val="22"/>
        </w:rPr>
        <w:t xml:space="preserve"> (Gornje čelo)</w:t>
      </w:r>
      <w:r w:rsidRPr="00DA01E3">
        <w:rPr>
          <w:rFonts w:ascii="Arial" w:hAnsi="Arial" w:cs="Arial"/>
          <w:sz w:val="22"/>
          <w:szCs w:val="22"/>
        </w:rPr>
        <w:t xml:space="preserve"> koji su udaljeni  3,3 NM  i obavljanja javnoga prijevoza putnika u linijskom obalnom pomorskom prometu, utvr</w:t>
      </w:r>
      <w:r w:rsidR="00BA4C43" w:rsidRPr="00DA01E3">
        <w:rPr>
          <w:rFonts w:ascii="Arial" w:hAnsi="Arial" w:cs="Arial"/>
          <w:sz w:val="22"/>
          <w:szCs w:val="22"/>
        </w:rPr>
        <w:t>đuje se cjelogodišnja lokalna</w:t>
      </w:r>
      <w:r w:rsidRPr="00DA01E3">
        <w:rPr>
          <w:rFonts w:ascii="Arial" w:hAnsi="Arial" w:cs="Arial"/>
          <w:sz w:val="22"/>
          <w:szCs w:val="22"/>
        </w:rPr>
        <w:t xml:space="preserve"> putnička brodska linija na relaciji Grad Dubrovnik (Luka Gruž) – otok Koločep</w:t>
      </w:r>
      <w:r w:rsidR="007B5C21" w:rsidRPr="00DA01E3">
        <w:rPr>
          <w:rFonts w:ascii="Arial" w:hAnsi="Arial" w:cs="Arial"/>
          <w:sz w:val="22"/>
          <w:szCs w:val="22"/>
        </w:rPr>
        <w:t xml:space="preserve"> (Gornje čelo)</w:t>
      </w:r>
      <w:r w:rsidRPr="00DA01E3">
        <w:rPr>
          <w:rFonts w:ascii="Arial" w:hAnsi="Arial" w:cs="Arial"/>
          <w:sz w:val="22"/>
          <w:szCs w:val="22"/>
        </w:rPr>
        <w:t xml:space="preserve"> (u daljnjem tekstu: brodska linija).</w:t>
      </w:r>
    </w:p>
    <w:p w:rsidR="00455448" w:rsidRPr="00DA01E3" w:rsidRDefault="00455448" w:rsidP="0045544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55448" w:rsidRPr="00DA01E3" w:rsidRDefault="00455448" w:rsidP="00455448">
      <w:pPr>
        <w:jc w:val="center"/>
        <w:rPr>
          <w:rFonts w:ascii="Arial" w:hAnsi="Arial" w:cs="Arial"/>
          <w:b/>
          <w:sz w:val="22"/>
          <w:szCs w:val="22"/>
        </w:rPr>
      </w:pPr>
    </w:p>
    <w:p w:rsidR="00455448" w:rsidRPr="00DA01E3" w:rsidRDefault="00BA4C43" w:rsidP="00455448">
      <w:pPr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 xml:space="preserve">                                      </w:t>
      </w:r>
      <w:r w:rsidR="00DA01E3">
        <w:rPr>
          <w:rFonts w:ascii="Arial" w:hAnsi="Arial" w:cs="Arial"/>
          <w:sz w:val="22"/>
          <w:szCs w:val="22"/>
        </w:rPr>
        <w:t xml:space="preserve">                           </w:t>
      </w:r>
      <w:r w:rsidRPr="00DA01E3">
        <w:rPr>
          <w:rFonts w:ascii="Arial" w:hAnsi="Arial" w:cs="Arial"/>
          <w:sz w:val="22"/>
          <w:szCs w:val="22"/>
        </w:rPr>
        <w:t xml:space="preserve">  </w:t>
      </w:r>
      <w:r w:rsidR="00455448" w:rsidRPr="00DA01E3">
        <w:rPr>
          <w:rFonts w:ascii="Arial" w:hAnsi="Arial" w:cs="Arial"/>
          <w:sz w:val="22"/>
          <w:szCs w:val="22"/>
        </w:rPr>
        <w:t>Članak  2.</w:t>
      </w:r>
    </w:p>
    <w:p w:rsidR="00455448" w:rsidRPr="00DA01E3" w:rsidRDefault="00455448" w:rsidP="00455448">
      <w:pPr>
        <w:jc w:val="both"/>
        <w:rPr>
          <w:rFonts w:ascii="Arial" w:hAnsi="Arial" w:cs="Arial"/>
          <w:sz w:val="22"/>
          <w:szCs w:val="22"/>
        </w:rPr>
      </w:pPr>
    </w:p>
    <w:p w:rsidR="00455448" w:rsidRPr="00DA01E3" w:rsidRDefault="00455448" w:rsidP="00455448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>Brodska linija je cjelogodišnjega karaktera.</w:t>
      </w:r>
    </w:p>
    <w:p w:rsidR="00455448" w:rsidRPr="00DA01E3" w:rsidRDefault="00455448" w:rsidP="00455448">
      <w:pPr>
        <w:jc w:val="both"/>
        <w:rPr>
          <w:rFonts w:ascii="Arial" w:hAnsi="Arial" w:cs="Arial"/>
          <w:sz w:val="22"/>
          <w:szCs w:val="22"/>
        </w:rPr>
      </w:pPr>
    </w:p>
    <w:p w:rsidR="00455448" w:rsidRDefault="00455448" w:rsidP="00455448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>Obavljanje javnoga prijevoza na brodskoj liniji započinje danom sklapanja Ugovora.</w:t>
      </w:r>
    </w:p>
    <w:p w:rsidR="00DA01E3" w:rsidRPr="00DA01E3" w:rsidRDefault="00DA01E3" w:rsidP="00455448">
      <w:pPr>
        <w:jc w:val="both"/>
        <w:rPr>
          <w:rFonts w:ascii="Arial" w:hAnsi="Arial" w:cs="Arial"/>
          <w:sz w:val="22"/>
          <w:szCs w:val="22"/>
        </w:rPr>
      </w:pPr>
    </w:p>
    <w:p w:rsidR="00455448" w:rsidRPr="00DA01E3" w:rsidRDefault="00455448" w:rsidP="0045544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55448" w:rsidRPr="00DA01E3" w:rsidRDefault="00BA4C43" w:rsidP="00455448">
      <w:pPr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 xml:space="preserve">                                        </w:t>
      </w:r>
      <w:r w:rsidR="00DA01E3">
        <w:rPr>
          <w:rFonts w:ascii="Arial" w:hAnsi="Arial" w:cs="Arial"/>
          <w:sz w:val="22"/>
          <w:szCs w:val="22"/>
        </w:rPr>
        <w:t xml:space="preserve">                           </w:t>
      </w:r>
      <w:r w:rsidR="00455448" w:rsidRPr="00DA01E3">
        <w:rPr>
          <w:rFonts w:ascii="Arial" w:hAnsi="Arial" w:cs="Arial"/>
          <w:sz w:val="22"/>
          <w:szCs w:val="22"/>
        </w:rPr>
        <w:t>Članak  3.</w:t>
      </w:r>
    </w:p>
    <w:p w:rsidR="00455448" w:rsidRPr="00DA01E3" w:rsidRDefault="00455448" w:rsidP="00455448">
      <w:pPr>
        <w:jc w:val="both"/>
        <w:rPr>
          <w:rFonts w:ascii="Arial" w:hAnsi="Arial" w:cs="Arial"/>
          <w:sz w:val="22"/>
          <w:szCs w:val="22"/>
        </w:rPr>
      </w:pPr>
    </w:p>
    <w:p w:rsidR="00455448" w:rsidRPr="00DA01E3" w:rsidRDefault="00455448" w:rsidP="00455448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>Javni prijevoz na brodskoj liniji obavljat će se jednim (1) putničkim brodom minimalnoga kapaciteta</w:t>
      </w:r>
      <w:r w:rsidR="00BA4C43" w:rsidRPr="00DA01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C43" w:rsidRPr="00DA01E3">
        <w:rPr>
          <w:rFonts w:ascii="Arial" w:hAnsi="Arial" w:cs="Arial"/>
          <w:sz w:val="22"/>
          <w:szCs w:val="22"/>
        </w:rPr>
        <w:t>2</w:t>
      </w:r>
      <w:r w:rsidRPr="00DA01E3">
        <w:rPr>
          <w:rFonts w:ascii="Arial" w:hAnsi="Arial" w:cs="Arial"/>
          <w:sz w:val="22"/>
          <w:szCs w:val="22"/>
        </w:rPr>
        <w:t>0</w:t>
      </w:r>
      <w:proofErr w:type="spellEnd"/>
      <w:r w:rsidRPr="00DA01E3">
        <w:rPr>
          <w:rFonts w:ascii="Arial" w:hAnsi="Arial" w:cs="Arial"/>
          <w:sz w:val="22"/>
          <w:szCs w:val="22"/>
        </w:rPr>
        <w:t xml:space="preserve"> putnika i minimalnom brzinom krstarenja od 10 čvorova, prema utvrđenom redu plovidbe i to s dvije (2) povratne veze dnevno, a u vremenu od 1. listopada do 31. svibnja prijevoz će se subotom, nedjeljom i praznikom obavljati jednom (1) povratnom vezom dnevno.</w:t>
      </w:r>
    </w:p>
    <w:p w:rsidR="00455448" w:rsidRDefault="00455448" w:rsidP="00455448">
      <w:pPr>
        <w:jc w:val="both"/>
        <w:rPr>
          <w:rFonts w:ascii="Arial" w:hAnsi="Arial" w:cs="Arial"/>
          <w:sz w:val="22"/>
          <w:szCs w:val="22"/>
        </w:rPr>
      </w:pPr>
    </w:p>
    <w:p w:rsidR="009424AE" w:rsidRPr="00DA01E3" w:rsidRDefault="005D57D0" w:rsidP="00455448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 xml:space="preserve">                                       </w:t>
      </w:r>
      <w:r w:rsidR="00DA01E3">
        <w:rPr>
          <w:rFonts w:ascii="Arial" w:hAnsi="Arial" w:cs="Arial"/>
          <w:sz w:val="22"/>
          <w:szCs w:val="22"/>
        </w:rPr>
        <w:t xml:space="preserve">                             </w:t>
      </w:r>
      <w:r w:rsidR="00BB4B10">
        <w:rPr>
          <w:rFonts w:ascii="Arial" w:hAnsi="Arial" w:cs="Arial"/>
          <w:sz w:val="22"/>
          <w:szCs w:val="22"/>
        </w:rPr>
        <w:t>Članak 4</w:t>
      </w:r>
      <w:r w:rsidR="009424AE" w:rsidRPr="00DA01E3">
        <w:rPr>
          <w:rFonts w:ascii="Arial" w:hAnsi="Arial" w:cs="Arial"/>
          <w:sz w:val="22"/>
          <w:szCs w:val="22"/>
        </w:rPr>
        <w:t>.</w:t>
      </w:r>
    </w:p>
    <w:p w:rsidR="005D57D0" w:rsidRPr="00DA01E3" w:rsidRDefault="005D57D0" w:rsidP="00455448">
      <w:pPr>
        <w:jc w:val="both"/>
        <w:rPr>
          <w:rFonts w:ascii="Arial" w:hAnsi="Arial" w:cs="Arial"/>
          <w:sz w:val="22"/>
          <w:szCs w:val="22"/>
        </w:rPr>
      </w:pPr>
    </w:p>
    <w:p w:rsidR="009424AE" w:rsidRDefault="009424AE" w:rsidP="00455448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>Stupanjem na snagu ove Odluke prestaje važiti Odluka o utvrđivanju lokalne brodske linije na relaciji Grad Dubrovnik(Luka Gruž)-otok Koločep</w:t>
      </w:r>
      <w:r w:rsidR="00DA01E3" w:rsidRPr="00DA01E3">
        <w:rPr>
          <w:rFonts w:ascii="Arial" w:hAnsi="Arial" w:cs="Arial"/>
          <w:sz w:val="22"/>
          <w:szCs w:val="22"/>
        </w:rPr>
        <w:t xml:space="preserve"> („Službeni glasnik“,broj 5/</w:t>
      </w:r>
      <w:proofErr w:type="spellStart"/>
      <w:r w:rsidR="00DA01E3" w:rsidRPr="00DA01E3">
        <w:rPr>
          <w:rFonts w:ascii="Arial" w:hAnsi="Arial" w:cs="Arial"/>
          <w:sz w:val="22"/>
          <w:szCs w:val="22"/>
        </w:rPr>
        <w:t>13</w:t>
      </w:r>
      <w:proofErr w:type="spellEnd"/>
      <w:r w:rsidR="00133FA3">
        <w:rPr>
          <w:rFonts w:ascii="Arial" w:hAnsi="Arial" w:cs="Arial"/>
          <w:sz w:val="22"/>
          <w:szCs w:val="22"/>
        </w:rPr>
        <w:t>.</w:t>
      </w:r>
      <w:r w:rsidR="00DA01E3" w:rsidRPr="00DA01E3">
        <w:rPr>
          <w:rFonts w:ascii="Arial" w:hAnsi="Arial" w:cs="Arial"/>
          <w:sz w:val="22"/>
          <w:szCs w:val="22"/>
        </w:rPr>
        <w:t>,</w:t>
      </w:r>
      <w:r w:rsidR="005D57D0" w:rsidRPr="00DA01E3">
        <w:rPr>
          <w:rFonts w:ascii="Arial" w:hAnsi="Arial" w:cs="Arial"/>
          <w:sz w:val="22"/>
          <w:szCs w:val="22"/>
        </w:rPr>
        <w:t>7/</w:t>
      </w:r>
      <w:proofErr w:type="spellStart"/>
      <w:r w:rsidR="005D57D0" w:rsidRPr="00DA01E3">
        <w:rPr>
          <w:rFonts w:ascii="Arial" w:hAnsi="Arial" w:cs="Arial"/>
          <w:sz w:val="22"/>
          <w:szCs w:val="22"/>
        </w:rPr>
        <w:t>18</w:t>
      </w:r>
      <w:proofErr w:type="spellEnd"/>
      <w:r w:rsidR="00133FA3">
        <w:rPr>
          <w:rFonts w:ascii="Arial" w:hAnsi="Arial" w:cs="Arial"/>
          <w:sz w:val="22"/>
          <w:szCs w:val="22"/>
        </w:rPr>
        <w:t>.</w:t>
      </w:r>
      <w:r w:rsidR="005D57D0" w:rsidRPr="00DA01E3">
        <w:rPr>
          <w:rFonts w:ascii="Arial" w:hAnsi="Arial" w:cs="Arial"/>
          <w:sz w:val="22"/>
          <w:szCs w:val="22"/>
        </w:rPr>
        <w:t>)</w:t>
      </w:r>
      <w:r w:rsidR="00133FA3">
        <w:rPr>
          <w:rFonts w:ascii="Arial" w:hAnsi="Arial" w:cs="Arial"/>
          <w:sz w:val="22"/>
          <w:szCs w:val="22"/>
        </w:rPr>
        <w:t>.</w:t>
      </w:r>
    </w:p>
    <w:p w:rsidR="00BB4B10" w:rsidRPr="00DA01E3" w:rsidRDefault="00BB4B10" w:rsidP="00455448">
      <w:pPr>
        <w:jc w:val="both"/>
        <w:rPr>
          <w:rFonts w:ascii="Arial" w:hAnsi="Arial" w:cs="Arial"/>
          <w:sz w:val="22"/>
          <w:szCs w:val="22"/>
        </w:rPr>
      </w:pPr>
    </w:p>
    <w:p w:rsidR="00455448" w:rsidRDefault="00455448" w:rsidP="00455448">
      <w:pPr>
        <w:rPr>
          <w:rFonts w:ascii="Arial" w:hAnsi="Arial" w:cs="Arial"/>
          <w:sz w:val="22"/>
          <w:szCs w:val="22"/>
        </w:rPr>
      </w:pPr>
    </w:p>
    <w:p w:rsidR="00BB4B10" w:rsidRPr="00DA01E3" w:rsidRDefault="00BB4B10" w:rsidP="00BB4B10">
      <w:pPr>
        <w:jc w:val="both"/>
        <w:rPr>
          <w:rFonts w:ascii="Arial" w:hAnsi="Arial" w:cs="Arial"/>
          <w:sz w:val="22"/>
          <w:szCs w:val="22"/>
        </w:rPr>
      </w:pPr>
    </w:p>
    <w:p w:rsidR="00BB4B10" w:rsidRPr="00DA01E3" w:rsidRDefault="00BB4B10" w:rsidP="00BB4B10">
      <w:pPr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DA01E3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anak 5</w:t>
      </w:r>
      <w:r w:rsidRPr="00DA01E3">
        <w:rPr>
          <w:rFonts w:ascii="Arial" w:hAnsi="Arial" w:cs="Arial"/>
          <w:sz w:val="22"/>
          <w:szCs w:val="22"/>
        </w:rPr>
        <w:t>.</w:t>
      </w:r>
    </w:p>
    <w:p w:rsidR="00BB4B10" w:rsidRPr="00DA01E3" w:rsidRDefault="00BB4B10" w:rsidP="00BB4B10">
      <w:pPr>
        <w:jc w:val="both"/>
        <w:rPr>
          <w:rFonts w:ascii="Arial" w:hAnsi="Arial" w:cs="Arial"/>
          <w:sz w:val="22"/>
          <w:szCs w:val="22"/>
        </w:rPr>
      </w:pPr>
    </w:p>
    <w:p w:rsidR="00BB4B10" w:rsidRPr="00DA01E3" w:rsidRDefault="00BB4B10" w:rsidP="00BB4B10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>Ova odluka stupa na snagu osmoga dana od dana objave u „Službenom glasniku Grada Dubrovnika“.</w:t>
      </w:r>
    </w:p>
    <w:p w:rsidR="00BB4B10" w:rsidRPr="00DA01E3" w:rsidRDefault="00BB4B10" w:rsidP="00BB4B10">
      <w:pPr>
        <w:jc w:val="both"/>
        <w:rPr>
          <w:rFonts w:ascii="Arial" w:hAnsi="Arial" w:cs="Arial"/>
          <w:sz w:val="22"/>
          <w:szCs w:val="22"/>
        </w:rPr>
      </w:pPr>
    </w:p>
    <w:p w:rsidR="00DA01E3" w:rsidRDefault="00DA01E3" w:rsidP="0045544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A01E3" w:rsidRPr="00DA01E3" w:rsidRDefault="00DA01E3" w:rsidP="00455448">
      <w:pPr>
        <w:rPr>
          <w:rFonts w:ascii="Arial" w:hAnsi="Arial" w:cs="Arial"/>
          <w:sz w:val="22"/>
          <w:szCs w:val="22"/>
        </w:rPr>
      </w:pPr>
    </w:p>
    <w:p w:rsidR="00455448" w:rsidRPr="00DA01E3" w:rsidRDefault="00AF0229" w:rsidP="00455448">
      <w:pPr>
        <w:jc w:val="both"/>
        <w:rPr>
          <w:rFonts w:ascii="Arial" w:hAnsi="Arial" w:cs="Arial"/>
          <w:sz w:val="22"/>
          <w:szCs w:val="22"/>
        </w:rPr>
      </w:pPr>
      <w:r w:rsidRPr="00DA01E3">
        <w:rPr>
          <w:rFonts w:ascii="Arial" w:hAnsi="Arial" w:cs="Arial"/>
          <w:sz w:val="22"/>
          <w:szCs w:val="22"/>
        </w:rPr>
        <w:t xml:space="preserve">KLASA: </w:t>
      </w:r>
    </w:p>
    <w:p w:rsidR="00455448" w:rsidRPr="00DA01E3" w:rsidRDefault="00602828" w:rsidP="00455448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A01E3">
        <w:rPr>
          <w:rFonts w:ascii="Arial" w:hAnsi="Arial" w:cs="Arial"/>
          <w:sz w:val="22"/>
          <w:szCs w:val="22"/>
        </w:rPr>
        <w:t>URBROJ</w:t>
      </w:r>
      <w:proofErr w:type="spellEnd"/>
      <w:r w:rsidRPr="00DA01E3">
        <w:rPr>
          <w:rFonts w:ascii="Arial" w:hAnsi="Arial" w:cs="Arial"/>
          <w:sz w:val="22"/>
          <w:szCs w:val="22"/>
        </w:rPr>
        <w:t>:</w:t>
      </w:r>
    </w:p>
    <w:sectPr w:rsidR="00455448" w:rsidRPr="00DA0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48"/>
    <w:rsid w:val="00133FA3"/>
    <w:rsid w:val="00455448"/>
    <w:rsid w:val="005D57D0"/>
    <w:rsid w:val="00602828"/>
    <w:rsid w:val="006F290E"/>
    <w:rsid w:val="0071517B"/>
    <w:rsid w:val="007B5C21"/>
    <w:rsid w:val="008660EC"/>
    <w:rsid w:val="009424AE"/>
    <w:rsid w:val="00AF0229"/>
    <w:rsid w:val="00B676D6"/>
    <w:rsid w:val="00BA4C43"/>
    <w:rsid w:val="00BB4B10"/>
    <w:rsid w:val="00C307E7"/>
    <w:rsid w:val="00D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29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90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29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9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aburic</dc:creator>
  <cp:lastModifiedBy>Jelena Dadić</cp:lastModifiedBy>
  <cp:revision>2</cp:revision>
  <cp:lastPrinted>2026-03-03T13:27:00Z</cp:lastPrinted>
  <dcterms:created xsi:type="dcterms:W3CDTF">2026-03-04T09:34:00Z</dcterms:created>
  <dcterms:modified xsi:type="dcterms:W3CDTF">2026-03-04T09:34:00Z</dcterms:modified>
</cp:coreProperties>
</file>