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36A6" w:rsidRDefault="00641BD5" w:rsidP="005E3A1C">
      <w:pPr>
        <w:pStyle w:val="StandardWeb"/>
        <w:shd w:val="clear" w:color="auto" w:fill="FFFFFF"/>
        <w:spacing w:line="300" w:lineRule="atLeast"/>
        <w:rPr>
          <w:rFonts w:ascii="Arial" w:hAnsi="Arial" w:cs="Arial"/>
          <w:b/>
          <w:sz w:val="20"/>
          <w:szCs w:val="20"/>
        </w:rPr>
      </w:pPr>
      <w:r w:rsidRPr="005E3A1C">
        <w:rPr>
          <w:rFonts w:asciiTheme="minorHAnsi" w:hAnsiTheme="minorHAnsi" w:cstheme="minorHAnsi"/>
          <w:b/>
          <w:sz w:val="18"/>
          <w:szCs w:val="18"/>
        </w:rPr>
        <w:t xml:space="preserve"> </w:t>
      </w:r>
      <w:r w:rsidR="005E3A1C" w:rsidRPr="008B36A6">
        <w:rPr>
          <w:rFonts w:ascii="Arial" w:hAnsi="Arial" w:cs="Arial"/>
          <w:color w:val="000000"/>
          <w:spacing w:val="9"/>
          <w:sz w:val="18"/>
          <w:szCs w:val="18"/>
        </w:rPr>
        <w:t xml:space="preserve">U skladu s odredbama Uredbe (EEZ) broj </w:t>
      </w:r>
      <w:proofErr w:type="spellStart"/>
      <w:r w:rsidR="005E3A1C" w:rsidRPr="008B36A6">
        <w:rPr>
          <w:rFonts w:ascii="Arial" w:hAnsi="Arial" w:cs="Arial"/>
          <w:color w:val="000000"/>
          <w:spacing w:val="9"/>
          <w:sz w:val="18"/>
          <w:szCs w:val="18"/>
        </w:rPr>
        <w:t>3577</w:t>
      </w:r>
      <w:proofErr w:type="spellEnd"/>
      <w:r w:rsidR="005E3A1C" w:rsidRPr="008B36A6">
        <w:rPr>
          <w:rFonts w:ascii="Arial" w:hAnsi="Arial" w:cs="Arial"/>
          <w:color w:val="000000"/>
          <w:spacing w:val="9"/>
          <w:sz w:val="18"/>
          <w:szCs w:val="18"/>
        </w:rPr>
        <w:t>/</w:t>
      </w:r>
      <w:proofErr w:type="spellStart"/>
      <w:r w:rsidR="005E3A1C" w:rsidRPr="008B36A6">
        <w:rPr>
          <w:rFonts w:ascii="Arial" w:hAnsi="Arial" w:cs="Arial"/>
          <w:color w:val="000000"/>
          <w:spacing w:val="9"/>
          <w:sz w:val="18"/>
          <w:szCs w:val="18"/>
        </w:rPr>
        <w:t>92</w:t>
      </w:r>
      <w:proofErr w:type="spellEnd"/>
      <w:r w:rsidR="005E3A1C" w:rsidRPr="008B36A6">
        <w:rPr>
          <w:rFonts w:ascii="Arial" w:hAnsi="Arial" w:cs="Arial"/>
          <w:color w:val="000000"/>
          <w:spacing w:val="9"/>
          <w:sz w:val="18"/>
          <w:szCs w:val="18"/>
        </w:rPr>
        <w:t xml:space="preserve"> i Presudi Općeg suda od 1. ožujka </w:t>
      </w:r>
      <w:proofErr w:type="spellStart"/>
      <w:r w:rsidR="005E3A1C" w:rsidRPr="008B36A6">
        <w:rPr>
          <w:rFonts w:ascii="Arial" w:hAnsi="Arial" w:cs="Arial"/>
          <w:color w:val="000000"/>
          <w:spacing w:val="9"/>
          <w:sz w:val="18"/>
          <w:szCs w:val="18"/>
        </w:rPr>
        <w:t>2017</w:t>
      </w:r>
      <w:proofErr w:type="spellEnd"/>
      <w:r w:rsidR="005E3A1C" w:rsidRPr="008B36A6">
        <w:rPr>
          <w:rFonts w:ascii="Arial" w:hAnsi="Arial" w:cs="Arial"/>
          <w:color w:val="000000"/>
          <w:spacing w:val="9"/>
          <w:sz w:val="18"/>
          <w:szCs w:val="18"/>
        </w:rPr>
        <w:t xml:space="preserve">. godine </w:t>
      </w:r>
      <w:proofErr w:type="spellStart"/>
      <w:r w:rsidR="005E3A1C" w:rsidRPr="008B36A6">
        <w:rPr>
          <w:rFonts w:ascii="Arial" w:hAnsi="Arial" w:cs="Arial"/>
          <w:color w:val="000000"/>
          <w:spacing w:val="9"/>
          <w:sz w:val="18"/>
          <w:szCs w:val="18"/>
        </w:rPr>
        <w:t>SNCM</w:t>
      </w:r>
      <w:proofErr w:type="spellEnd"/>
      <w:r w:rsidR="005E3A1C" w:rsidRPr="008B36A6">
        <w:rPr>
          <w:rFonts w:ascii="Arial" w:hAnsi="Arial" w:cs="Arial"/>
          <w:color w:val="000000"/>
          <w:spacing w:val="9"/>
          <w:sz w:val="18"/>
          <w:szCs w:val="18"/>
        </w:rPr>
        <w:t xml:space="preserve"> protiv Europske komisije (Predmet T-</w:t>
      </w:r>
      <w:proofErr w:type="spellStart"/>
      <w:r w:rsidR="005E3A1C" w:rsidRPr="008B36A6">
        <w:rPr>
          <w:rFonts w:ascii="Arial" w:hAnsi="Arial" w:cs="Arial"/>
          <w:color w:val="000000"/>
          <w:spacing w:val="9"/>
          <w:sz w:val="18"/>
          <w:szCs w:val="18"/>
        </w:rPr>
        <w:t>454</w:t>
      </w:r>
      <w:proofErr w:type="spellEnd"/>
      <w:r w:rsidR="005E3A1C" w:rsidRPr="008B36A6">
        <w:rPr>
          <w:rFonts w:ascii="Arial" w:hAnsi="Arial" w:cs="Arial"/>
          <w:color w:val="000000"/>
          <w:spacing w:val="9"/>
          <w:sz w:val="18"/>
          <w:szCs w:val="18"/>
        </w:rPr>
        <w:t>/</w:t>
      </w:r>
      <w:proofErr w:type="spellStart"/>
      <w:r w:rsidR="005E3A1C" w:rsidRPr="008B36A6">
        <w:rPr>
          <w:rFonts w:ascii="Arial" w:hAnsi="Arial" w:cs="Arial"/>
          <w:color w:val="000000"/>
          <w:spacing w:val="9"/>
          <w:sz w:val="18"/>
          <w:szCs w:val="18"/>
        </w:rPr>
        <w:t>13</w:t>
      </w:r>
      <w:proofErr w:type="spellEnd"/>
      <w:r w:rsidR="005E3A1C" w:rsidRPr="008B36A6">
        <w:rPr>
          <w:rFonts w:ascii="Arial" w:hAnsi="Arial" w:cs="Arial"/>
          <w:color w:val="000000"/>
          <w:spacing w:val="9"/>
          <w:sz w:val="18"/>
          <w:szCs w:val="18"/>
        </w:rPr>
        <w:t xml:space="preserve"> EU:T:</w:t>
      </w:r>
      <w:proofErr w:type="spellStart"/>
      <w:r w:rsidR="005E3A1C" w:rsidRPr="008B36A6">
        <w:rPr>
          <w:rFonts w:ascii="Arial" w:hAnsi="Arial" w:cs="Arial"/>
          <w:color w:val="000000"/>
          <w:spacing w:val="9"/>
          <w:sz w:val="18"/>
          <w:szCs w:val="18"/>
        </w:rPr>
        <w:t>2017</w:t>
      </w:r>
      <w:proofErr w:type="spellEnd"/>
      <w:r w:rsidR="005E3A1C" w:rsidRPr="008B36A6">
        <w:rPr>
          <w:rFonts w:ascii="Arial" w:hAnsi="Arial" w:cs="Arial"/>
          <w:color w:val="000000"/>
          <w:spacing w:val="9"/>
          <w:sz w:val="18"/>
          <w:szCs w:val="18"/>
        </w:rPr>
        <w:t>:</w:t>
      </w:r>
      <w:proofErr w:type="spellStart"/>
      <w:r w:rsidR="005E3A1C" w:rsidRPr="008B36A6">
        <w:rPr>
          <w:rFonts w:ascii="Arial" w:hAnsi="Arial" w:cs="Arial"/>
          <w:color w:val="000000"/>
          <w:spacing w:val="9"/>
          <w:sz w:val="18"/>
          <w:szCs w:val="18"/>
        </w:rPr>
        <w:t>134</w:t>
      </w:r>
      <w:proofErr w:type="spellEnd"/>
      <w:r w:rsidR="005E3A1C" w:rsidRPr="008B36A6">
        <w:rPr>
          <w:rFonts w:ascii="Arial" w:hAnsi="Arial" w:cs="Arial"/>
          <w:color w:val="000000"/>
          <w:spacing w:val="9"/>
          <w:sz w:val="18"/>
          <w:szCs w:val="18"/>
        </w:rPr>
        <w:t>) Grad Dubrovnik provodi analizu tržišta sa stajališta ponude, a kojom analizom se moraju utvrditi trenutačna i potencijalna ponuda bez intervencije države</w:t>
      </w:r>
      <w:r w:rsidR="008B36A6" w:rsidRPr="008B36A6">
        <w:rPr>
          <w:rFonts w:ascii="Arial" w:hAnsi="Arial" w:cs="Arial"/>
          <w:color w:val="000000"/>
          <w:spacing w:val="9"/>
          <w:sz w:val="18"/>
          <w:szCs w:val="18"/>
        </w:rPr>
        <w:t xml:space="preserve"> i bez dodjele javne potpore</w:t>
      </w:r>
      <w:r w:rsidR="005E3A1C" w:rsidRPr="008B36A6">
        <w:rPr>
          <w:rFonts w:ascii="Arial" w:hAnsi="Arial" w:cs="Arial"/>
          <w:color w:val="000000"/>
          <w:spacing w:val="9"/>
          <w:sz w:val="18"/>
          <w:szCs w:val="18"/>
        </w:rPr>
        <w:t xml:space="preserve"> u koju svrhu objavljuje sljedeći javni</w:t>
      </w:r>
      <w:r w:rsidRPr="008B36A6">
        <w:rPr>
          <w:rFonts w:ascii="Arial" w:hAnsi="Arial" w:cs="Arial"/>
          <w:b/>
          <w:sz w:val="20"/>
          <w:szCs w:val="20"/>
        </w:rPr>
        <w:t xml:space="preserve">      </w:t>
      </w:r>
    </w:p>
    <w:p w:rsidR="005E3A1C" w:rsidRPr="008B36A6" w:rsidRDefault="00641BD5" w:rsidP="005E3A1C">
      <w:pPr>
        <w:pStyle w:val="StandardWeb"/>
        <w:shd w:val="clear" w:color="auto" w:fill="FFFFFF"/>
        <w:spacing w:line="300" w:lineRule="atLeast"/>
        <w:rPr>
          <w:rFonts w:ascii="Arial" w:hAnsi="Arial" w:cs="Arial"/>
          <w:b/>
          <w:sz w:val="20"/>
          <w:szCs w:val="20"/>
        </w:rPr>
      </w:pPr>
      <w:r w:rsidRPr="008B36A6">
        <w:rPr>
          <w:rFonts w:ascii="Arial" w:hAnsi="Arial" w:cs="Arial"/>
          <w:b/>
          <w:sz w:val="20"/>
          <w:szCs w:val="20"/>
        </w:rPr>
        <w:t xml:space="preserve">                          </w:t>
      </w:r>
      <w:r w:rsidR="00BD637F" w:rsidRPr="008B36A6">
        <w:rPr>
          <w:rFonts w:ascii="Arial" w:hAnsi="Arial" w:cs="Arial"/>
          <w:b/>
          <w:sz w:val="20"/>
          <w:szCs w:val="20"/>
        </w:rPr>
        <w:t xml:space="preserve">                 </w:t>
      </w:r>
      <w:r w:rsidRPr="008B36A6">
        <w:rPr>
          <w:rFonts w:ascii="Arial" w:hAnsi="Arial" w:cs="Arial"/>
          <w:b/>
          <w:sz w:val="20"/>
          <w:szCs w:val="20"/>
        </w:rPr>
        <w:t xml:space="preserve"> </w:t>
      </w:r>
    </w:p>
    <w:p w:rsidR="003A33F6" w:rsidRPr="008B36A6" w:rsidRDefault="005E3A1C">
      <w:pPr>
        <w:rPr>
          <w:rFonts w:ascii="Arial" w:hAnsi="Arial" w:cs="Arial"/>
          <w:b/>
          <w:sz w:val="20"/>
          <w:szCs w:val="20"/>
        </w:rPr>
      </w:pPr>
      <w:r w:rsidRPr="008B36A6">
        <w:rPr>
          <w:rFonts w:ascii="Arial" w:hAnsi="Arial" w:cs="Arial"/>
          <w:b/>
          <w:sz w:val="20"/>
          <w:szCs w:val="20"/>
        </w:rPr>
        <w:t xml:space="preserve">                                              </w:t>
      </w:r>
      <w:r w:rsidR="008B36A6">
        <w:rPr>
          <w:rFonts w:ascii="Arial" w:hAnsi="Arial" w:cs="Arial"/>
          <w:b/>
          <w:sz w:val="20"/>
          <w:szCs w:val="20"/>
        </w:rPr>
        <w:t xml:space="preserve">          </w:t>
      </w:r>
      <w:r w:rsidR="00BD637F" w:rsidRPr="008B36A6">
        <w:rPr>
          <w:rFonts w:ascii="Arial" w:hAnsi="Arial" w:cs="Arial"/>
          <w:b/>
          <w:sz w:val="20"/>
          <w:szCs w:val="20"/>
        </w:rPr>
        <w:t xml:space="preserve">POZIV ZA ISKAZIVANJE INTERESA </w:t>
      </w:r>
    </w:p>
    <w:p w:rsidR="00FC578D" w:rsidRDefault="00FC578D" w:rsidP="00A54AE8">
      <w:pPr>
        <w:jc w:val="center"/>
        <w:rPr>
          <w:rFonts w:ascii="Arial" w:hAnsi="Arial" w:cs="Arial"/>
          <w:sz w:val="20"/>
          <w:szCs w:val="20"/>
        </w:rPr>
      </w:pPr>
      <w:r w:rsidRPr="008B36A6">
        <w:rPr>
          <w:rFonts w:ascii="Arial" w:hAnsi="Arial" w:cs="Arial"/>
          <w:sz w:val="20"/>
          <w:szCs w:val="20"/>
        </w:rPr>
        <w:t xml:space="preserve">za obavljanje redovitog javnog pomorskog prijevoza na relaciji Dubrovnik(Luka Gruž)-Otok </w:t>
      </w:r>
      <w:r w:rsidR="00A54AE8" w:rsidRPr="008B36A6">
        <w:rPr>
          <w:rFonts w:ascii="Arial" w:hAnsi="Arial" w:cs="Arial"/>
          <w:sz w:val="20"/>
          <w:szCs w:val="20"/>
        </w:rPr>
        <w:t xml:space="preserve"> </w:t>
      </w:r>
      <w:r w:rsidRPr="008B36A6">
        <w:rPr>
          <w:rFonts w:ascii="Arial" w:hAnsi="Arial" w:cs="Arial"/>
          <w:sz w:val="20"/>
          <w:szCs w:val="20"/>
        </w:rPr>
        <w:t>Koločep(Luka Gornje čelo)</w:t>
      </w:r>
    </w:p>
    <w:p w:rsidR="008B36A6" w:rsidRPr="008B36A6" w:rsidRDefault="008B36A6" w:rsidP="00A54AE8">
      <w:pPr>
        <w:jc w:val="center"/>
        <w:rPr>
          <w:rFonts w:ascii="Arial" w:hAnsi="Arial" w:cs="Arial"/>
          <w:sz w:val="20"/>
          <w:szCs w:val="20"/>
        </w:rPr>
      </w:pPr>
    </w:p>
    <w:p w:rsidR="00FC578D" w:rsidRPr="008B36A6" w:rsidRDefault="00FC578D" w:rsidP="002C652F">
      <w:pPr>
        <w:pStyle w:val="Odlomakpopisa"/>
        <w:numPr>
          <w:ilvl w:val="0"/>
          <w:numId w:val="2"/>
        </w:numPr>
        <w:jc w:val="both"/>
        <w:rPr>
          <w:rFonts w:ascii="Arial" w:hAnsi="Arial" w:cs="Arial"/>
          <w:sz w:val="20"/>
          <w:szCs w:val="20"/>
        </w:rPr>
      </w:pPr>
      <w:r w:rsidRPr="008B36A6">
        <w:rPr>
          <w:rFonts w:ascii="Arial" w:hAnsi="Arial" w:cs="Arial"/>
          <w:sz w:val="20"/>
          <w:szCs w:val="20"/>
        </w:rPr>
        <w:t>Pozivaju se pravne osobe i fizičke osobe obrtnici registrirani za obavljanje djelatnosti pomorskog prijevoza putnika/brodari odnosno kompanije koje su kao pravne osobe preuzele odgovornost za upravljanje brodom od vlasnika broda i koje su preuzimanjem takve odgovornosti preuzele ovlasti i</w:t>
      </w:r>
      <w:r w:rsidR="00381246" w:rsidRPr="008B36A6">
        <w:rPr>
          <w:rFonts w:ascii="Arial" w:hAnsi="Arial" w:cs="Arial"/>
          <w:sz w:val="20"/>
          <w:szCs w:val="20"/>
        </w:rPr>
        <w:t xml:space="preserve"> odgovornosti sukladno Međunarod</w:t>
      </w:r>
      <w:r w:rsidRPr="008B36A6">
        <w:rPr>
          <w:rFonts w:ascii="Arial" w:hAnsi="Arial" w:cs="Arial"/>
          <w:sz w:val="20"/>
          <w:szCs w:val="20"/>
        </w:rPr>
        <w:t>nom pravilniku o upravljanju sigurnošću da iskažu interes za obavljanje javne usluge javnog obalnog linijskog pomorskog  prijevoza:</w:t>
      </w:r>
    </w:p>
    <w:p w:rsidR="00FC578D" w:rsidRPr="008B36A6" w:rsidRDefault="00381246" w:rsidP="002C652F">
      <w:pPr>
        <w:pStyle w:val="Odlomakpopisa"/>
        <w:jc w:val="both"/>
        <w:rPr>
          <w:rFonts w:ascii="Arial" w:hAnsi="Arial" w:cs="Arial"/>
          <w:sz w:val="20"/>
          <w:szCs w:val="20"/>
        </w:rPr>
      </w:pPr>
      <w:r w:rsidRPr="008B36A6">
        <w:rPr>
          <w:rFonts w:ascii="Arial" w:hAnsi="Arial" w:cs="Arial"/>
          <w:sz w:val="20"/>
          <w:szCs w:val="20"/>
        </w:rPr>
        <w:t>-između L</w:t>
      </w:r>
      <w:r w:rsidR="00FC578D" w:rsidRPr="008B36A6">
        <w:rPr>
          <w:rFonts w:ascii="Arial" w:hAnsi="Arial" w:cs="Arial"/>
          <w:sz w:val="20"/>
          <w:szCs w:val="20"/>
        </w:rPr>
        <w:t>uke Gruž</w:t>
      </w:r>
      <w:r w:rsidRPr="008B36A6">
        <w:rPr>
          <w:rFonts w:ascii="Arial" w:hAnsi="Arial" w:cs="Arial"/>
          <w:sz w:val="20"/>
          <w:szCs w:val="20"/>
        </w:rPr>
        <w:t xml:space="preserve"> u Dubrovniku i Luke Gornje čelo na otoku Koločepu</w:t>
      </w:r>
    </w:p>
    <w:p w:rsidR="00381246" w:rsidRPr="008B36A6" w:rsidRDefault="00026452" w:rsidP="002C652F">
      <w:pPr>
        <w:pStyle w:val="Odlomakpopisa"/>
        <w:jc w:val="both"/>
        <w:rPr>
          <w:rFonts w:ascii="Arial" w:hAnsi="Arial" w:cs="Arial"/>
          <w:sz w:val="20"/>
          <w:szCs w:val="20"/>
        </w:rPr>
      </w:pPr>
      <w:r w:rsidRPr="008B36A6">
        <w:rPr>
          <w:rFonts w:ascii="Arial" w:hAnsi="Arial" w:cs="Arial"/>
          <w:sz w:val="20"/>
          <w:szCs w:val="20"/>
        </w:rPr>
        <w:t>-</w:t>
      </w:r>
      <w:r w:rsidR="00740794">
        <w:rPr>
          <w:rFonts w:ascii="Arial" w:hAnsi="Arial" w:cs="Arial"/>
          <w:sz w:val="20"/>
          <w:szCs w:val="20"/>
        </w:rPr>
        <w:t>putničkim brodom</w:t>
      </w:r>
      <w:r w:rsidR="00381246" w:rsidRPr="008B36A6">
        <w:rPr>
          <w:rFonts w:ascii="Arial" w:hAnsi="Arial" w:cs="Arial"/>
          <w:sz w:val="20"/>
          <w:szCs w:val="20"/>
        </w:rPr>
        <w:t xml:space="preserve"> sposobnim za plovidbu prema Pomorskom zakoniku („Narodne novine“,br. </w:t>
      </w:r>
      <w:proofErr w:type="spellStart"/>
      <w:r w:rsidR="00381246" w:rsidRPr="008B36A6">
        <w:rPr>
          <w:rFonts w:ascii="Arial" w:hAnsi="Arial" w:cs="Arial"/>
          <w:sz w:val="20"/>
          <w:szCs w:val="20"/>
        </w:rPr>
        <w:t>181</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04</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76</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07</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146</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08</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61</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11</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56</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13</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26</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15</w:t>
      </w:r>
      <w:proofErr w:type="spellEnd"/>
      <w:r w:rsidR="00381246" w:rsidRPr="008B36A6">
        <w:rPr>
          <w:rFonts w:ascii="Arial" w:hAnsi="Arial" w:cs="Arial"/>
          <w:sz w:val="20"/>
          <w:szCs w:val="20"/>
        </w:rPr>
        <w:t xml:space="preserve"> i </w:t>
      </w:r>
      <w:proofErr w:type="spellStart"/>
      <w:r w:rsidR="00381246" w:rsidRPr="008B36A6">
        <w:rPr>
          <w:rFonts w:ascii="Arial" w:hAnsi="Arial" w:cs="Arial"/>
          <w:sz w:val="20"/>
          <w:szCs w:val="20"/>
        </w:rPr>
        <w:t>17</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19</w:t>
      </w:r>
      <w:proofErr w:type="spellEnd"/>
      <w:r w:rsidR="00381246" w:rsidRPr="008B36A6">
        <w:rPr>
          <w:rFonts w:ascii="Arial" w:hAnsi="Arial" w:cs="Arial"/>
          <w:sz w:val="20"/>
          <w:szCs w:val="20"/>
        </w:rPr>
        <w:t>) i Zakonu o prijevo</w:t>
      </w:r>
      <w:r w:rsidR="00641BD5" w:rsidRPr="008B36A6">
        <w:rPr>
          <w:rFonts w:ascii="Arial" w:hAnsi="Arial" w:cs="Arial"/>
          <w:sz w:val="20"/>
          <w:szCs w:val="20"/>
        </w:rPr>
        <w:t>z</w:t>
      </w:r>
      <w:r w:rsidR="00381246" w:rsidRPr="008B36A6">
        <w:rPr>
          <w:rFonts w:ascii="Arial" w:hAnsi="Arial" w:cs="Arial"/>
          <w:sz w:val="20"/>
          <w:szCs w:val="20"/>
        </w:rPr>
        <w:t>u u linijskom i povremenom obalnom pomorskom prometu(„Narodne novine“,</w:t>
      </w:r>
      <w:proofErr w:type="spellStart"/>
      <w:r w:rsidR="00381246" w:rsidRPr="008B36A6">
        <w:rPr>
          <w:rFonts w:ascii="Arial" w:hAnsi="Arial" w:cs="Arial"/>
          <w:sz w:val="20"/>
          <w:szCs w:val="20"/>
        </w:rPr>
        <w:t>br.19</w:t>
      </w:r>
      <w:proofErr w:type="spellEnd"/>
      <w:r w:rsidR="00381246" w:rsidRPr="008B36A6">
        <w:rPr>
          <w:rFonts w:ascii="Arial" w:hAnsi="Arial" w:cs="Arial"/>
          <w:sz w:val="20"/>
          <w:szCs w:val="20"/>
        </w:rPr>
        <w:t>/</w:t>
      </w:r>
      <w:proofErr w:type="spellStart"/>
      <w:r w:rsidR="00381246" w:rsidRPr="008B36A6">
        <w:rPr>
          <w:rFonts w:ascii="Arial" w:hAnsi="Arial" w:cs="Arial"/>
          <w:sz w:val="20"/>
          <w:szCs w:val="20"/>
        </w:rPr>
        <w:t>22</w:t>
      </w:r>
      <w:proofErr w:type="spellEnd"/>
      <w:r w:rsidR="00381246" w:rsidRPr="008B36A6">
        <w:rPr>
          <w:rFonts w:ascii="Arial" w:hAnsi="Arial" w:cs="Arial"/>
          <w:sz w:val="20"/>
          <w:szCs w:val="20"/>
        </w:rPr>
        <w:t xml:space="preserve">)minimalnog kapaciteta </w:t>
      </w:r>
      <w:proofErr w:type="spellStart"/>
      <w:r w:rsidR="00381246" w:rsidRPr="008B36A6">
        <w:rPr>
          <w:rFonts w:ascii="Arial" w:hAnsi="Arial" w:cs="Arial"/>
          <w:sz w:val="20"/>
          <w:szCs w:val="20"/>
        </w:rPr>
        <w:t>20</w:t>
      </w:r>
      <w:proofErr w:type="spellEnd"/>
      <w:r w:rsidR="00381246" w:rsidRPr="008B36A6">
        <w:rPr>
          <w:rFonts w:ascii="Arial" w:hAnsi="Arial" w:cs="Arial"/>
          <w:sz w:val="20"/>
          <w:szCs w:val="20"/>
        </w:rPr>
        <w:t xml:space="preserve"> putnika,</w:t>
      </w:r>
    </w:p>
    <w:p w:rsidR="00492B93" w:rsidRDefault="00381246" w:rsidP="002C652F">
      <w:pPr>
        <w:pStyle w:val="Odlomakpopisa"/>
        <w:jc w:val="both"/>
        <w:rPr>
          <w:rFonts w:ascii="Arial" w:hAnsi="Arial" w:cs="Arial"/>
          <w:sz w:val="20"/>
          <w:szCs w:val="20"/>
        </w:rPr>
      </w:pPr>
      <w:r w:rsidRPr="008B36A6">
        <w:rPr>
          <w:rFonts w:ascii="Arial" w:hAnsi="Arial" w:cs="Arial"/>
          <w:sz w:val="20"/>
          <w:szCs w:val="20"/>
        </w:rPr>
        <w:t>-uz uvjet da ima na raspolaganju zamjenski brod</w:t>
      </w:r>
      <w:r w:rsidR="00740794">
        <w:rPr>
          <w:rFonts w:ascii="Arial" w:hAnsi="Arial" w:cs="Arial"/>
          <w:sz w:val="20"/>
          <w:szCs w:val="20"/>
        </w:rPr>
        <w:t>,u zimskom periodu prilagođen zimskim uvjetima</w:t>
      </w:r>
    </w:p>
    <w:p w:rsidR="002C652F" w:rsidRPr="008B36A6" w:rsidRDefault="00205F42" w:rsidP="002C652F">
      <w:pPr>
        <w:pStyle w:val="Odlomakpopisa"/>
        <w:jc w:val="both"/>
        <w:rPr>
          <w:rFonts w:ascii="Arial" w:hAnsi="Arial" w:cs="Arial"/>
          <w:sz w:val="20"/>
          <w:szCs w:val="20"/>
        </w:rPr>
      </w:pPr>
      <w:r w:rsidRPr="008B36A6">
        <w:rPr>
          <w:rFonts w:ascii="Arial" w:hAnsi="Arial" w:cs="Arial"/>
          <w:sz w:val="20"/>
          <w:szCs w:val="20"/>
        </w:rPr>
        <w:t xml:space="preserve">-učestalosti </w:t>
      </w:r>
      <w:r w:rsidR="002C652F" w:rsidRPr="008B36A6">
        <w:rPr>
          <w:rFonts w:ascii="Arial" w:hAnsi="Arial" w:cs="Arial"/>
          <w:sz w:val="20"/>
          <w:szCs w:val="20"/>
        </w:rPr>
        <w:t>dvije (</w:t>
      </w:r>
      <w:r w:rsidRPr="008B36A6">
        <w:rPr>
          <w:rFonts w:ascii="Arial" w:hAnsi="Arial" w:cs="Arial"/>
          <w:sz w:val="20"/>
          <w:szCs w:val="20"/>
        </w:rPr>
        <w:t>2</w:t>
      </w:r>
      <w:r w:rsidR="002C652F" w:rsidRPr="008B36A6">
        <w:rPr>
          <w:rFonts w:ascii="Arial" w:hAnsi="Arial" w:cs="Arial"/>
          <w:sz w:val="20"/>
          <w:szCs w:val="20"/>
        </w:rPr>
        <w:t>)</w:t>
      </w:r>
      <w:r w:rsidRPr="008B36A6">
        <w:rPr>
          <w:rFonts w:ascii="Arial" w:hAnsi="Arial" w:cs="Arial"/>
          <w:sz w:val="20"/>
          <w:szCs w:val="20"/>
        </w:rPr>
        <w:t xml:space="preserve"> povratne veze dnevno</w:t>
      </w:r>
      <w:r w:rsidR="002C652F" w:rsidRPr="008B36A6">
        <w:rPr>
          <w:rFonts w:ascii="Arial" w:hAnsi="Arial" w:cs="Arial"/>
          <w:sz w:val="20"/>
          <w:szCs w:val="20"/>
        </w:rPr>
        <w:t xml:space="preserve">, a u vremenu od 1. listopada do </w:t>
      </w:r>
      <w:proofErr w:type="spellStart"/>
      <w:r w:rsidR="002C652F" w:rsidRPr="008B36A6">
        <w:rPr>
          <w:rFonts w:ascii="Arial" w:hAnsi="Arial" w:cs="Arial"/>
          <w:sz w:val="20"/>
          <w:szCs w:val="20"/>
        </w:rPr>
        <w:t>31</w:t>
      </w:r>
      <w:proofErr w:type="spellEnd"/>
      <w:r w:rsidR="002C652F" w:rsidRPr="008B36A6">
        <w:rPr>
          <w:rFonts w:ascii="Arial" w:hAnsi="Arial" w:cs="Arial"/>
          <w:sz w:val="20"/>
          <w:szCs w:val="20"/>
        </w:rPr>
        <w:t>. svibnja prijevoz će se subotom, nedjeljom i praznikom obavljati jednom (1) povratnom vezom dnevno.</w:t>
      </w:r>
    </w:p>
    <w:p w:rsidR="002C652F" w:rsidRPr="008B36A6" w:rsidRDefault="002C652F" w:rsidP="002C652F">
      <w:pPr>
        <w:pStyle w:val="Odlomakpopisa"/>
        <w:jc w:val="both"/>
        <w:rPr>
          <w:rFonts w:ascii="Arial" w:hAnsi="Arial" w:cs="Arial"/>
          <w:sz w:val="20"/>
          <w:szCs w:val="20"/>
        </w:rPr>
      </w:pPr>
      <w:r w:rsidRPr="008B36A6">
        <w:rPr>
          <w:rFonts w:ascii="Arial" w:hAnsi="Arial" w:cs="Arial"/>
          <w:sz w:val="20"/>
          <w:szCs w:val="20"/>
        </w:rPr>
        <w:t>-maksimalne visine cijene naplate usluge za prijevoz putnika:</w:t>
      </w:r>
    </w:p>
    <w:p w:rsidR="00205F42" w:rsidRDefault="00205F42" w:rsidP="00381246">
      <w:pPr>
        <w:pStyle w:val="Odlomakpopisa"/>
        <w:rPr>
          <w:rFonts w:cstheme="minorHAnsi"/>
          <w:sz w:val="20"/>
          <w:szCs w:val="20"/>
        </w:rPr>
      </w:pPr>
    </w:p>
    <w:p w:rsidR="002C652F" w:rsidRPr="00875C02" w:rsidRDefault="002C652F" w:rsidP="002C652F">
      <w:pPr>
        <w:pStyle w:val="Bezproreda"/>
        <w:rPr>
          <w:rStyle w:val="Naslov2Char"/>
          <w:rFonts w:ascii="Arial" w:hAnsi="Arial" w:cs="Arial"/>
          <w:b w:val="0"/>
          <w:sz w:val="18"/>
          <w:szCs w:val="18"/>
        </w:rPr>
      </w:pPr>
      <w:r>
        <w:rPr>
          <w:rStyle w:val="Naslov2Char"/>
          <w:rFonts w:ascii="Arial" w:hAnsi="Arial" w:cs="Arial"/>
        </w:rPr>
        <w:t xml:space="preserve">                                            </w:t>
      </w:r>
      <w:r w:rsidR="00875C02">
        <w:rPr>
          <w:rStyle w:val="Naslov2Char"/>
          <w:rFonts w:ascii="Arial" w:hAnsi="Arial" w:cs="Arial"/>
        </w:rPr>
        <w:t xml:space="preserve">            </w:t>
      </w:r>
      <w:r w:rsidR="00875C02">
        <w:rPr>
          <w:rStyle w:val="Naslov2Char"/>
          <w:rFonts w:ascii="Arial" w:hAnsi="Arial" w:cs="Arial"/>
          <w:sz w:val="18"/>
          <w:szCs w:val="18"/>
        </w:rPr>
        <w:t>Izvansezonski cjenik                           Sezonski cjenik</w:t>
      </w:r>
    </w:p>
    <w:p w:rsidR="00BD637F" w:rsidRPr="00BD637F" w:rsidRDefault="00E84789" w:rsidP="00BD637F">
      <w:pPr>
        <w:pStyle w:val="Bezproreda"/>
        <w:rPr>
          <w:rFonts w:ascii="Arial" w:eastAsia="Times New Roman" w:hAnsi="Arial" w:cs="Arial"/>
          <w:color w:val="000000"/>
          <w:sz w:val="16"/>
          <w:szCs w:val="16"/>
          <w:lang w:val="es-ES"/>
        </w:rPr>
      </w:pPr>
      <w:r w:rsidRPr="00BD637F">
        <w:rPr>
          <w:rStyle w:val="Naslov2Char"/>
          <w:rFonts w:ascii="Times" w:hAnsi="Times"/>
          <w:sz w:val="16"/>
          <w:szCs w:val="16"/>
        </w:rPr>
        <w:t xml:space="preserve">         </w:t>
      </w:r>
    </w:p>
    <w:tbl>
      <w:tblPr>
        <w:tblStyle w:val="Reetkatablice"/>
        <w:tblW w:w="0" w:type="auto"/>
        <w:tblInd w:w="137" w:type="dxa"/>
        <w:tblLook w:val="04A0" w:firstRow="1" w:lastRow="0" w:firstColumn="1" w:lastColumn="0" w:noHBand="0" w:noVBand="1"/>
      </w:tblPr>
      <w:tblGrid>
        <w:gridCol w:w="3454"/>
        <w:gridCol w:w="3029"/>
        <w:gridCol w:w="2622"/>
      </w:tblGrid>
      <w:tr w:rsidR="00BD637F" w:rsidRPr="00BD637F" w:rsidTr="00C13E36">
        <w:tc>
          <w:tcPr>
            <w:tcW w:w="3544" w:type="dxa"/>
            <w:tcBorders>
              <w:top w:val="single" w:sz="12" w:space="0" w:color="auto"/>
              <w:left w:val="single" w:sz="12" w:space="0" w:color="auto"/>
              <w:bottom w:val="single" w:sz="4" w:space="0" w:color="auto"/>
            </w:tcBorders>
          </w:tcPr>
          <w:p w:rsidR="00BD637F" w:rsidRPr="00BD637F" w:rsidRDefault="00BD637F" w:rsidP="00C13E36">
            <w:pPr>
              <w:autoSpaceDE w:val="0"/>
              <w:autoSpaceDN w:val="0"/>
              <w:adjustRightInd w:val="0"/>
              <w:spacing w:before="40" w:afterLines="40" w:after="96"/>
              <w:jc w:val="both"/>
              <w:rPr>
                <w:i/>
                <w:color w:val="000000"/>
                <w:sz w:val="16"/>
                <w:szCs w:val="16"/>
                <w:u w:val="single"/>
                <w:lang w:val="es-ES"/>
              </w:rPr>
            </w:pPr>
            <w:r w:rsidRPr="00BD637F">
              <w:rPr>
                <w:rFonts w:ascii="Arial" w:hAnsi="Arial" w:cs="Arial"/>
                <w:sz w:val="16"/>
                <w:szCs w:val="16"/>
              </w:rPr>
              <w:t>PO OSOBI - za putnike</w:t>
            </w:r>
            <w:r w:rsidRPr="00BD637F">
              <w:rPr>
                <w:sz w:val="16"/>
                <w:szCs w:val="16"/>
              </w:rPr>
              <w:br/>
            </w:r>
            <w:r w:rsidRPr="00BD637F">
              <w:rPr>
                <w:rFonts w:ascii="Arial" w:hAnsi="Arial" w:cs="Arial"/>
                <w:sz w:val="16"/>
                <w:szCs w:val="16"/>
              </w:rPr>
              <w:t>(jedan smjer)</w:t>
            </w:r>
          </w:p>
        </w:tc>
        <w:tc>
          <w:tcPr>
            <w:tcW w:w="3118" w:type="dxa"/>
            <w:tcBorders>
              <w:top w:val="single" w:sz="12" w:space="0" w:color="auto"/>
              <w:bottom w:val="single" w:sz="4"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2,65</w:t>
            </w:r>
          </w:p>
        </w:tc>
        <w:tc>
          <w:tcPr>
            <w:tcW w:w="2694" w:type="dxa"/>
            <w:tcBorders>
              <w:top w:val="single" w:sz="12" w:space="0" w:color="auto"/>
              <w:bottom w:val="single" w:sz="4" w:space="0" w:color="auto"/>
              <w:right w:val="single" w:sz="12"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5,31</w:t>
            </w:r>
          </w:p>
        </w:tc>
      </w:tr>
      <w:tr w:rsidR="00BD637F" w:rsidRPr="00BD637F" w:rsidTr="00C13E36">
        <w:tc>
          <w:tcPr>
            <w:tcW w:w="3544" w:type="dxa"/>
            <w:tcBorders>
              <w:left w:val="single" w:sz="12" w:space="0" w:color="auto"/>
              <w:bottom w:val="single" w:sz="12" w:space="0" w:color="auto"/>
            </w:tcBorders>
          </w:tcPr>
          <w:p w:rsidR="00BD637F" w:rsidRPr="00BD637F" w:rsidRDefault="00BD637F" w:rsidP="00C13E36">
            <w:pPr>
              <w:autoSpaceDE w:val="0"/>
              <w:autoSpaceDN w:val="0"/>
              <w:adjustRightInd w:val="0"/>
              <w:spacing w:before="40" w:afterLines="40" w:after="96"/>
              <w:jc w:val="both"/>
              <w:rPr>
                <w:i/>
                <w:color w:val="000000"/>
                <w:sz w:val="16"/>
                <w:szCs w:val="16"/>
                <w:u w:val="single"/>
                <w:lang w:val="es-ES"/>
              </w:rPr>
            </w:pPr>
            <w:r w:rsidRPr="00BD637F">
              <w:rPr>
                <w:rFonts w:ascii="Arial" w:hAnsi="Arial" w:cs="Arial"/>
                <w:sz w:val="16"/>
                <w:szCs w:val="16"/>
              </w:rPr>
              <w:t>PO OSOBI - za putnike</w:t>
            </w:r>
            <w:r w:rsidRPr="00BD637F">
              <w:rPr>
                <w:sz w:val="16"/>
                <w:szCs w:val="16"/>
              </w:rPr>
              <w:br/>
            </w:r>
            <w:r w:rsidRPr="00BD637F">
              <w:rPr>
                <w:rFonts w:ascii="Arial" w:hAnsi="Arial" w:cs="Arial"/>
                <w:sz w:val="16"/>
                <w:szCs w:val="16"/>
              </w:rPr>
              <w:t>(povratna)</w:t>
            </w:r>
          </w:p>
        </w:tc>
        <w:tc>
          <w:tcPr>
            <w:tcW w:w="3118" w:type="dxa"/>
            <w:tcBorders>
              <w:bottom w:val="single" w:sz="12"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5,31</w:t>
            </w:r>
          </w:p>
        </w:tc>
        <w:tc>
          <w:tcPr>
            <w:tcW w:w="2694" w:type="dxa"/>
            <w:tcBorders>
              <w:bottom w:val="single" w:sz="12" w:space="0" w:color="auto"/>
              <w:right w:val="single" w:sz="12"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10,62</w:t>
            </w:r>
          </w:p>
        </w:tc>
      </w:tr>
    </w:tbl>
    <w:p w:rsidR="00BD637F" w:rsidRPr="00BD637F" w:rsidRDefault="00BD637F" w:rsidP="00BD637F">
      <w:pPr>
        <w:autoSpaceDE w:val="0"/>
        <w:autoSpaceDN w:val="0"/>
        <w:adjustRightInd w:val="0"/>
        <w:spacing w:before="40" w:afterLines="40" w:after="96"/>
        <w:ind w:left="720" w:firstLine="720"/>
        <w:jc w:val="both"/>
        <w:rPr>
          <w:rFonts w:eastAsia="Times New Roman"/>
          <w:i/>
          <w:color w:val="000000"/>
          <w:sz w:val="16"/>
          <w:szCs w:val="16"/>
          <w:u w:val="single"/>
          <w:lang w:val="es-ES"/>
        </w:rPr>
      </w:pPr>
    </w:p>
    <w:tbl>
      <w:tblPr>
        <w:tblStyle w:val="Reetkatablice"/>
        <w:tblW w:w="0" w:type="auto"/>
        <w:tblInd w:w="137" w:type="dxa"/>
        <w:tblLook w:val="04A0" w:firstRow="1" w:lastRow="0" w:firstColumn="1" w:lastColumn="0" w:noHBand="0" w:noVBand="1"/>
      </w:tblPr>
      <w:tblGrid>
        <w:gridCol w:w="3455"/>
        <w:gridCol w:w="3030"/>
        <w:gridCol w:w="2620"/>
      </w:tblGrid>
      <w:tr w:rsidR="00BD637F" w:rsidRPr="00BD637F" w:rsidTr="00C13E36">
        <w:tc>
          <w:tcPr>
            <w:tcW w:w="3544" w:type="dxa"/>
            <w:tcBorders>
              <w:top w:val="single" w:sz="12" w:space="0" w:color="auto"/>
              <w:left w:val="single" w:sz="12" w:space="0" w:color="auto"/>
              <w:bottom w:val="single" w:sz="4" w:space="0" w:color="auto"/>
            </w:tcBorders>
          </w:tcPr>
          <w:p w:rsidR="00BD637F" w:rsidRPr="00BD637F" w:rsidRDefault="00BD637F" w:rsidP="00C13E36">
            <w:pPr>
              <w:autoSpaceDE w:val="0"/>
              <w:autoSpaceDN w:val="0"/>
              <w:adjustRightInd w:val="0"/>
              <w:spacing w:before="40" w:afterLines="40" w:after="96"/>
              <w:jc w:val="both"/>
              <w:rPr>
                <w:i/>
                <w:color w:val="000000"/>
                <w:sz w:val="16"/>
                <w:szCs w:val="16"/>
                <w:u w:val="single"/>
                <w:lang w:val="es-ES"/>
              </w:rPr>
            </w:pPr>
            <w:r w:rsidRPr="00BD637F">
              <w:rPr>
                <w:rFonts w:ascii="Arial" w:hAnsi="Arial" w:cs="Arial"/>
                <w:sz w:val="16"/>
                <w:szCs w:val="16"/>
              </w:rPr>
              <w:t>PO OSOBI - za otočane</w:t>
            </w:r>
            <w:r w:rsidRPr="00BD637F">
              <w:rPr>
                <w:sz w:val="16"/>
                <w:szCs w:val="16"/>
              </w:rPr>
              <w:br/>
            </w:r>
            <w:r w:rsidRPr="00BD637F">
              <w:rPr>
                <w:rFonts w:ascii="Arial" w:hAnsi="Arial" w:cs="Arial"/>
                <w:sz w:val="16"/>
                <w:szCs w:val="16"/>
              </w:rPr>
              <w:t>(jedan smjer)</w:t>
            </w:r>
          </w:p>
        </w:tc>
        <w:tc>
          <w:tcPr>
            <w:tcW w:w="3118" w:type="dxa"/>
            <w:tcBorders>
              <w:top w:val="single" w:sz="12" w:space="0" w:color="auto"/>
              <w:bottom w:val="single" w:sz="4"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1,33</w:t>
            </w:r>
          </w:p>
        </w:tc>
        <w:tc>
          <w:tcPr>
            <w:tcW w:w="2694" w:type="dxa"/>
            <w:tcBorders>
              <w:top w:val="single" w:sz="12" w:space="0" w:color="auto"/>
              <w:bottom w:val="single" w:sz="4" w:space="0" w:color="auto"/>
              <w:right w:val="single" w:sz="12" w:space="0" w:color="auto"/>
            </w:tcBorders>
          </w:tcPr>
          <w:p w:rsidR="00BD637F" w:rsidRPr="00BD637F" w:rsidRDefault="00875C02"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1,33</w:t>
            </w:r>
          </w:p>
        </w:tc>
      </w:tr>
      <w:tr w:rsidR="00BD637F" w:rsidRPr="00BD637F" w:rsidTr="00C13E36">
        <w:tc>
          <w:tcPr>
            <w:tcW w:w="3544" w:type="dxa"/>
            <w:tcBorders>
              <w:left w:val="single" w:sz="12" w:space="0" w:color="auto"/>
              <w:bottom w:val="single" w:sz="12" w:space="0" w:color="auto"/>
            </w:tcBorders>
          </w:tcPr>
          <w:p w:rsidR="00BD637F" w:rsidRPr="00BD637F" w:rsidRDefault="00BD637F" w:rsidP="00C13E36">
            <w:pPr>
              <w:autoSpaceDE w:val="0"/>
              <w:autoSpaceDN w:val="0"/>
              <w:adjustRightInd w:val="0"/>
              <w:spacing w:before="40" w:afterLines="40" w:after="96"/>
              <w:jc w:val="both"/>
              <w:rPr>
                <w:i/>
                <w:color w:val="000000"/>
                <w:sz w:val="16"/>
                <w:szCs w:val="16"/>
                <w:u w:val="single"/>
                <w:lang w:val="es-ES"/>
              </w:rPr>
            </w:pPr>
            <w:r w:rsidRPr="00BD637F">
              <w:rPr>
                <w:rFonts w:ascii="Arial" w:hAnsi="Arial" w:cs="Arial"/>
                <w:sz w:val="16"/>
                <w:szCs w:val="16"/>
              </w:rPr>
              <w:t>PO OSOBI - za otočane</w:t>
            </w:r>
            <w:r w:rsidRPr="00BD637F">
              <w:rPr>
                <w:sz w:val="16"/>
                <w:szCs w:val="16"/>
              </w:rPr>
              <w:br/>
            </w:r>
            <w:r w:rsidRPr="00BD637F">
              <w:rPr>
                <w:rFonts w:ascii="Arial" w:hAnsi="Arial" w:cs="Arial"/>
                <w:sz w:val="16"/>
                <w:szCs w:val="16"/>
              </w:rPr>
              <w:t>(povratna)</w:t>
            </w:r>
          </w:p>
        </w:tc>
        <w:tc>
          <w:tcPr>
            <w:tcW w:w="3118" w:type="dxa"/>
            <w:tcBorders>
              <w:bottom w:val="single" w:sz="12" w:space="0" w:color="auto"/>
            </w:tcBorders>
          </w:tcPr>
          <w:p w:rsidR="00BD637F" w:rsidRPr="00BD637F" w:rsidRDefault="00A54AE8"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2,65</w:t>
            </w:r>
          </w:p>
        </w:tc>
        <w:tc>
          <w:tcPr>
            <w:tcW w:w="2694" w:type="dxa"/>
            <w:tcBorders>
              <w:bottom w:val="single" w:sz="12" w:space="0" w:color="auto"/>
              <w:right w:val="single" w:sz="12" w:space="0" w:color="auto"/>
            </w:tcBorders>
          </w:tcPr>
          <w:p w:rsidR="00BD637F" w:rsidRPr="00BD637F" w:rsidRDefault="00A54AE8" w:rsidP="00C13E36">
            <w:pPr>
              <w:autoSpaceDE w:val="0"/>
              <w:autoSpaceDN w:val="0"/>
              <w:adjustRightInd w:val="0"/>
              <w:spacing w:before="40" w:afterLines="40" w:after="96"/>
              <w:jc w:val="center"/>
              <w:rPr>
                <w:rFonts w:ascii="Arial" w:hAnsi="Arial" w:cs="Arial"/>
                <w:color w:val="000000"/>
                <w:sz w:val="16"/>
                <w:szCs w:val="16"/>
                <w:lang w:val="es-ES"/>
              </w:rPr>
            </w:pPr>
            <w:r>
              <w:rPr>
                <w:rFonts w:ascii="Arial" w:hAnsi="Arial" w:cs="Arial"/>
                <w:color w:val="000000"/>
                <w:sz w:val="16"/>
                <w:szCs w:val="16"/>
                <w:lang w:val="es-ES"/>
              </w:rPr>
              <w:t>2,65</w:t>
            </w:r>
          </w:p>
        </w:tc>
      </w:tr>
    </w:tbl>
    <w:p w:rsidR="00BD637F" w:rsidRDefault="00BD637F" w:rsidP="00026452">
      <w:pPr>
        <w:autoSpaceDE w:val="0"/>
        <w:autoSpaceDN w:val="0"/>
        <w:adjustRightInd w:val="0"/>
        <w:spacing w:before="40" w:afterLines="40" w:after="96"/>
        <w:ind w:left="2880" w:firstLine="720"/>
        <w:jc w:val="both"/>
        <w:rPr>
          <w:rFonts w:ascii="Times New Roman" w:eastAsia="Times New Roman" w:hAnsi="Times New Roman" w:cs="Times New Roman"/>
          <w:i/>
          <w:color w:val="000000"/>
          <w:sz w:val="24"/>
          <w:szCs w:val="24"/>
          <w:u w:val="single"/>
          <w:lang w:val="es-ES"/>
        </w:rPr>
      </w:pPr>
      <w:r w:rsidRPr="00BD637F">
        <w:rPr>
          <w:rFonts w:ascii="Arial" w:hAnsi="Arial" w:cs="Arial"/>
          <w:sz w:val="16"/>
          <w:szCs w:val="16"/>
        </w:rPr>
        <w:t xml:space="preserve">                 U cijenu karte uključena je lučka pristojba i PDV.</w:t>
      </w:r>
    </w:p>
    <w:p w:rsidR="002C652F" w:rsidRPr="008B36A6" w:rsidRDefault="002C652F" w:rsidP="002C652F">
      <w:pPr>
        <w:pStyle w:val="Bezproreda"/>
        <w:rPr>
          <w:rFonts w:ascii="Arial" w:hAnsi="Arial" w:cs="Arial"/>
          <w:sz w:val="20"/>
          <w:szCs w:val="20"/>
        </w:rPr>
      </w:pPr>
      <w:r w:rsidRPr="004D21E5">
        <w:rPr>
          <w:rFonts w:ascii="Arial" w:hAnsi="Arial" w:cs="Arial"/>
        </w:rPr>
        <w:br/>
      </w:r>
      <w:r w:rsidRPr="004D21E5">
        <w:rPr>
          <w:rFonts w:ascii="Arial" w:hAnsi="Arial" w:cs="Arial"/>
        </w:rPr>
        <w:tab/>
      </w:r>
    </w:p>
    <w:p w:rsidR="00026452" w:rsidRPr="008B36A6" w:rsidRDefault="00BD637F" w:rsidP="005E3A1C">
      <w:pPr>
        <w:pStyle w:val="Bezproreda"/>
        <w:numPr>
          <w:ilvl w:val="0"/>
          <w:numId w:val="4"/>
        </w:numPr>
        <w:jc w:val="both"/>
        <w:rPr>
          <w:rFonts w:ascii="Arial" w:hAnsi="Arial" w:cs="Arial"/>
          <w:sz w:val="20"/>
          <w:szCs w:val="20"/>
        </w:rPr>
      </w:pPr>
      <w:r w:rsidRPr="008B36A6">
        <w:rPr>
          <w:rFonts w:ascii="Arial" w:hAnsi="Arial" w:cs="Arial"/>
          <w:sz w:val="20"/>
          <w:szCs w:val="20"/>
          <w:shd w:val="clear" w:color="auto" w:fill="FFFFFF"/>
        </w:rPr>
        <w:t>s pravom na povlašteni i besplatni prijevoz kojeg korisnici ostvaruju u skladu s</w:t>
      </w:r>
      <w:r w:rsidRPr="008B36A6">
        <w:rPr>
          <w:rFonts w:ascii="Arial" w:hAnsi="Arial" w:cs="Arial"/>
          <w:sz w:val="20"/>
          <w:szCs w:val="20"/>
        </w:rPr>
        <w:br/>
      </w:r>
      <w:r w:rsidRPr="008B36A6">
        <w:rPr>
          <w:rFonts w:ascii="Arial" w:hAnsi="Arial" w:cs="Arial"/>
          <w:sz w:val="20"/>
          <w:szCs w:val="20"/>
          <w:shd w:val="clear" w:color="auto" w:fill="FFFFFF"/>
        </w:rPr>
        <w:t xml:space="preserve">člankom </w:t>
      </w:r>
      <w:proofErr w:type="spellStart"/>
      <w:r w:rsidRPr="008B36A6">
        <w:rPr>
          <w:rFonts w:ascii="Arial" w:hAnsi="Arial" w:cs="Arial"/>
          <w:sz w:val="20"/>
          <w:szCs w:val="20"/>
          <w:shd w:val="clear" w:color="auto" w:fill="FFFFFF"/>
        </w:rPr>
        <w:t>32</w:t>
      </w:r>
      <w:proofErr w:type="spellEnd"/>
      <w:r w:rsidRPr="008B36A6">
        <w:rPr>
          <w:rFonts w:ascii="Arial" w:hAnsi="Arial" w:cs="Arial"/>
          <w:sz w:val="20"/>
          <w:szCs w:val="20"/>
          <w:shd w:val="clear" w:color="auto" w:fill="FFFFFF"/>
        </w:rPr>
        <w:t>. Zakona o prijevozu u linijskom i povremenom obalnom linijskom po-</w:t>
      </w:r>
      <w:r w:rsidRPr="008B36A6">
        <w:rPr>
          <w:rFonts w:ascii="Arial" w:hAnsi="Arial" w:cs="Arial"/>
          <w:sz w:val="20"/>
          <w:szCs w:val="20"/>
        </w:rPr>
        <w:br/>
      </w:r>
      <w:r w:rsidRPr="008B36A6">
        <w:rPr>
          <w:rFonts w:ascii="Arial" w:hAnsi="Arial" w:cs="Arial"/>
          <w:sz w:val="20"/>
          <w:szCs w:val="20"/>
          <w:shd w:val="clear" w:color="auto" w:fill="FFFFFF"/>
        </w:rPr>
        <w:t xml:space="preserve">morskom prometu („Narodne novine“, br. </w:t>
      </w:r>
      <w:proofErr w:type="spellStart"/>
      <w:r w:rsidRPr="008B36A6">
        <w:rPr>
          <w:rFonts w:ascii="Arial" w:hAnsi="Arial" w:cs="Arial"/>
          <w:sz w:val="20"/>
          <w:szCs w:val="20"/>
          <w:shd w:val="clear" w:color="auto" w:fill="FFFFFF"/>
        </w:rPr>
        <w:t>19</w:t>
      </w:r>
      <w:proofErr w:type="spellEnd"/>
      <w:r w:rsidRPr="008B36A6">
        <w:rPr>
          <w:rFonts w:ascii="Arial" w:hAnsi="Arial" w:cs="Arial"/>
          <w:sz w:val="20"/>
          <w:szCs w:val="20"/>
          <w:shd w:val="clear" w:color="auto" w:fill="FFFFFF"/>
        </w:rPr>
        <w:t>/</w:t>
      </w:r>
      <w:proofErr w:type="spellStart"/>
      <w:r w:rsidRPr="008B36A6">
        <w:rPr>
          <w:rFonts w:ascii="Arial" w:hAnsi="Arial" w:cs="Arial"/>
          <w:sz w:val="20"/>
          <w:szCs w:val="20"/>
          <w:shd w:val="clear" w:color="auto" w:fill="FFFFFF"/>
        </w:rPr>
        <w:t>22</w:t>
      </w:r>
      <w:proofErr w:type="spellEnd"/>
      <w:r w:rsidRPr="008B36A6">
        <w:rPr>
          <w:rFonts w:ascii="Arial" w:hAnsi="Arial" w:cs="Arial"/>
          <w:sz w:val="20"/>
          <w:szCs w:val="20"/>
          <w:shd w:val="clear" w:color="auto" w:fill="FFFFFF"/>
        </w:rPr>
        <w:t>),</w:t>
      </w:r>
    </w:p>
    <w:p w:rsidR="00A54AE8" w:rsidRPr="006F64ED" w:rsidRDefault="00BD637F" w:rsidP="005E3A1C">
      <w:pPr>
        <w:pStyle w:val="Bezproreda"/>
        <w:numPr>
          <w:ilvl w:val="0"/>
          <w:numId w:val="4"/>
        </w:numPr>
        <w:jc w:val="both"/>
        <w:rPr>
          <w:rFonts w:ascii="Arial" w:hAnsi="Arial" w:cs="Arial"/>
          <w:sz w:val="20"/>
          <w:szCs w:val="20"/>
        </w:rPr>
      </w:pPr>
      <w:r w:rsidRPr="008B36A6">
        <w:rPr>
          <w:rFonts w:ascii="Arial" w:hAnsi="Arial" w:cs="Arial"/>
          <w:sz w:val="20"/>
          <w:szCs w:val="20"/>
          <w:shd w:val="clear" w:color="auto" w:fill="FFFFFF"/>
        </w:rPr>
        <w:t xml:space="preserve"> s posadom broda koja treba udovoljavati uvjetima propisanima Pravilnikom o</w:t>
      </w:r>
      <w:r w:rsidRPr="008B36A6">
        <w:rPr>
          <w:rFonts w:ascii="Arial" w:hAnsi="Arial" w:cs="Arial"/>
          <w:sz w:val="20"/>
          <w:szCs w:val="20"/>
        </w:rPr>
        <w:br/>
      </w:r>
      <w:r w:rsidRPr="008B36A6">
        <w:rPr>
          <w:rFonts w:ascii="Arial" w:hAnsi="Arial" w:cs="Arial"/>
          <w:sz w:val="20"/>
          <w:szCs w:val="20"/>
          <w:shd w:val="clear" w:color="auto" w:fill="FFFFFF"/>
        </w:rPr>
        <w:t>uvjetima za obavljanje pomorske kabotaže u Republici Hrvatskoj („Narodne novine“,</w:t>
      </w:r>
      <w:r w:rsidRPr="008B36A6">
        <w:rPr>
          <w:rFonts w:ascii="Arial" w:hAnsi="Arial" w:cs="Arial"/>
          <w:sz w:val="20"/>
          <w:szCs w:val="20"/>
        </w:rPr>
        <w:br/>
      </w:r>
      <w:r w:rsidRPr="008B36A6">
        <w:rPr>
          <w:rFonts w:ascii="Arial" w:hAnsi="Arial" w:cs="Arial"/>
          <w:sz w:val="20"/>
          <w:szCs w:val="20"/>
          <w:shd w:val="clear" w:color="auto" w:fill="FFFFFF"/>
        </w:rPr>
        <w:t xml:space="preserve">br. </w:t>
      </w:r>
      <w:proofErr w:type="spellStart"/>
      <w:r w:rsidRPr="008B36A6">
        <w:rPr>
          <w:rFonts w:ascii="Arial" w:hAnsi="Arial" w:cs="Arial"/>
          <w:sz w:val="20"/>
          <w:szCs w:val="20"/>
          <w:shd w:val="clear" w:color="auto" w:fill="FFFFFF"/>
        </w:rPr>
        <w:t>109</w:t>
      </w:r>
      <w:proofErr w:type="spellEnd"/>
      <w:r w:rsidRPr="008B36A6">
        <w:rPr>
          <w:rFonts w:ascii="Arial" w:hAnsi="Arial" w:cs="Arial"/>
          <w:sz w:val="20"/>
          <w:szCs w:val="20"/>
          <w:shd w:val="clear" w:color="auto" w:fill="FFFFFF"/>
        </w:rPr>
        <w:t>/</w:t>
      </w:r>
      <w:proofErr w:type="spellStart"/>
      <w:r w:rsidRPr="008B36A6">
        <w:rPr>
          <w:rFonts w:ascii="Arial" w:hAnsi="Arial" w:cs="Arial"/>
          <w:sz w:val="20"/>
          <w:szCs w:val="20"/>
          <w:shd w:val="clear" w:color="auto" w:fill="FFFFFF"/>
        </w:rPr>
        <w:t>19</w:t>
      </w:r>
      <w:proofErr w:type="spellEnd"/>
      <w:r w:rsidRPr="008B36A6">
        <w:rPr>
          <w:rFonts w:ascii="Arial" w:hAnsi="Arial" w:cs="Arial"/>
          <w:sz w:val="20"/>
          <w:szCs w:val="20"/>
          <w:shd w:val="clear" w:color="auto" w:fill="FFFFFF"/>
        </w:rPr>
        <w:t>).</w:t>
      </w:r>
    </w:p>
    <w:p w:rsidR="006F64ED" w:rsidRPr="008B36A6" w:rsidRDefault="006F64ED" w:rsidP="005E3A1C">
      <w:pPr>
        <w:pStyle w:val="Bezproreda"/>
        <w:numPr>
          <w:ilvl w:val="0"/>
          <w:numId w:val="4"/>
        </w:numPr>
        <w:jc w:val="both"/>
        <w:rPr>
          <w:rFonts w:ascii="Arial" w:hAnsi="Arial" w:cs="Arial"/>
          <w:sz w:val="20"/>
          <w:szCs w:val="20"/>
        </w:rPr>
      </w:pPr>
      <w:r>
        <w:rPr>
          <w:rFonts w:ascii="Arial" w:hAnsi="Arial" w:cs="Arial"/>
          <w:sz w:val="20"/>
          <w:szCs w:val="20"/>
          <w:shd w:val="clear" w:color="auto" w:fill="FFFFFF"/>
        </w:rPr>
        <w:t>projicirani broj putnika koji bi se proveo na godišnjoj razini je 9457.</w:t>
      </w:r>
    </w:p>
    <w:p w:rsidR="00A54AE8" w:rsidRPr="008B36A6" w:rsidRDefault="00A54AE8" w:rsidP="00A54AE8">
      <w:pPr>
        <w:pStyle w:val="Bezproreda"/>
        <w:ind w:left="360"/>
        <w:rPr>
          <w:rFonts w:ascii="Arial" w:hAnsi="Arial" w:cs="Arial"/>
          <w:sz w:val="20"/>
          <w:szCs w:val="20"/>
          <w:shd w:val="clear" w:color="auto" w:fill="FFFFFF"/>
        </w:rPr>
      </w:pPr>
    </w:p>
    <w:p w:rsidR="00492B93" w:rsidRDefault="00A54AE8" w:rsidP="00492B93">
      <w:pPr>
        <w:pStyle w:val="Bezproreda"/>
        <w:rPr>
          <w:rFonts w:ascii="Arial" w:eastAsia="Times New Roman" w:hAnsi="Arial" w:cs="Arial"/>
          <w:color w:val="000000"/>
          <w:spacing w:val="9"/>
          <w:sz w:val="18"/>
          <w:szCs w:val="18"/>
          <w:lang w:eastAsia="hr-HR"/>
        </w:rPr>
      </w:pPr>
      <w:r w:rsidRPr="008B36A6">
        <w:rPr>
          <w:rFonts w:ascii="Arial" w:eastAsia="Times New Roman" w:hAnsi="Arial" w:cs="Arial"/>
          <w:color w:val="000000"/>
          <w:spacing w:val="9"/>
          <w:sz w:val="20"/>
          <w:szCs w:val="20"/>
          <w:lang w:eastAsia="hr-HR"/>
        </w:rPr>
        <w:t>Pozivaju se gospodarski subjekti koji su zainteresirani za obavljanje prijevoza iz točke I. da dostave pismo namjere iz kojeg će biti razvidno da će prijevoz iz točke 1. obavljati bez naknade za javnu uslugu ili da prijevoz iz točke I. ne mogu obavljati bez naknade za javnu uslugu uz navođenje iznosa godišnjeg iznosa naknade (EUR) i uvjeta</w:t>
      </w:r>
      <w:r w:rsidRPr="008B36A6">
        <w:rPr>
          <w:rFonts w:ascii="Arial" w:eastAsia="Times New Roman" w:hAnsi="Arial" w:cs="Arial"/>
          <w:color w:val="000000"/>
          <w:spacing w:val="9"/>
          <w:sz w:val="18"/>
          <w:szCs w:val="18"/>
          <w:lang w:eastAsia="hr-HR"/>
        </w:rPr>
        <w:t>.</w:t>
      </w:r>
    </w:p>
    <w:p w:rsidR="00492B93" w:rsidRDefault="00492B93" w:rsidP="00492B93">
      <w:pPr>
        <w:pStyle w:val="Bezproreda"/>
        <w:rPr>
          <w:rFonts w:ascii="Arial" w:eastAsia="Times New Roman" w:hAnsi="Arial" w:cs="Arial"/>
          <w:color w:val="000000"/>
          <w:spacing w:val="9"/>
          <w:sz w:val="18"/>
          <w:szCs w:val="18"/>
          <w:lang w:eastAsia="hr-HR"/>
        </w:rPr>
      </w:pPr>
    </w:p>
    <w:p w:rsidR="00A54AE8" w:rsidRDefault="00A54AE8" w:rsidP="00492B93">
      <w:pPr>
        <w:pStyle w:val="Bezproreda"/>
        <w:rPr>
          <w:rFonts w:ascii="Arial" w:eastAsia="Times New Roman" w:hAnsi="Arial" w:cs="Arial"/>
          <w:color w:val="000000"/>
          <w:spacing w:val="9"/>
          <w:sz w:val="20"/>
          <w:szCs w:val="20"/>
          <w:lang w:eastAsia="hr-HR"/>
        </w:rPr>
      </w:pPr>
      <w:r w:rsidRPr="00A54AE8">
        <w:rPr>
          <w:rFonts w:ascii="Arial" w:eastAsia="Times New Roman" w:hAnsi="Arial" w:cs="Arial"/>
          <w:color w:val="000000"/>
          <w:spacing w:val="9"/>
          <w:sz w:val="20"/>
          <w:szCs w:val="20"/>
          <w:lang w:eastAsia="hr-HR"/>
        </w:rPr>
        <w:t>Pismo namjere dostaviti na adresu </w:t>
      </w:r>
      <w:r w:rsidR="005E3A1C" w:rsidRPr="00492B93">
        <w:rPr>
          <w:rFonts w:ascii="Arial" w:eastAsia="Times New Roman" w:hAnsi="Arial" w:cs="Arial"/>
          <w:color w:val="000000"/>
          <w:spacing w:val="9"/>
          <w:sz w:val="20"/>
          <w:szCs w:val="20"/>
          <w:lang w:eastAsia="hr-HR"/>
        </w:rPr>
        <w:t>komunalno</w:t>
      </w:r>
      <w:r w:rsidR="00312457">
        <w:rPr>
          <w:rFonts w:ascii="Arial" w:eastAsia="Times New Roman" w:hAnsi="Arial" w:cs="Arial"/>
          <w:color w:val="000000"/>
          <w:spacing w:val="9"/>
          <w:sz w:val="20"/>
          <w:szCs w:val="20"/>
          <w:lang w:eastAsia="hr-HR"/>
        </w:rPr>
        <w:t>@</w:t>
      </w:r>
      <w:proofErr w:type="spellStart"/>
      <w:r w:rsidR="00312457">
        <w:rPr>
          <w:rFonts w:ascii="Arial" w:eastAsia="Times New Roman" w:hAnsi="Arial" w:cs="Arial"/>
          <w:color w:val="000000"/>
          <w:spacing w:val="9"/>
          <w:sz w:val="20"/>
          <w:szCs w:val="20"/>
          <w:lang w:eastAsia="hr-HR"/>
        </w:rPr>
        <w:t>dubrovnik.hr</w:t>
      </w:r>
      <w:proofErr w:type="spellEnd"/>
      <w:r w:rsidR="00312457">
        <w:rPr>
          <w:rFonts w:ascii="Arial" w:eastAsia="Times New Roman" w:hAnsi="Arial" w:cs="Arial"/>
          <w:color w:val="000000"/>
          <w:spacing w:val="9"/>
          <w:sz w:val="20"/>
          <w:szCs w:val="20"/>
          <w:lang w:eastAsia="hr-HR"/>
        </w:rPr>
        <w:t xml:space="preserve">  u roku od </w:t>
      </w:r>
      <w:proofErr w:type="spellStart"/>
      <w:r w:rsidR="00312457">
        <w:rPr>
          <w:rFonts w:ascii="Arial" w:eastAsia="Times New Roman" w:hAnsi="Arial" w:cs="Arial"/>
          <w:color w:val="000000"/>
          <w:spacing w:val="9"/>
          <w:sz w:val="20"/>
          <w:szCs w:val="20"/>
          <w:lang w:eastAsia="hr-HR"/>
        </w:rPr>
        <w:t>15</w:t>
      </w:r>
      <w:proofErr w:type="spellEnd"/>
      <w:r w:rsidRPr="00A54AE8">
        <w:rPr>
          <w:rFonts w:ascii="Arial" w:eastAsia="Times New Roman" w:hAnsi="Arial" w:cs="Arial"/>
          <w:color w:val="000000"/>
          <w:spacing w:val="9"/>
          <w:sz w:val="20"/>
          <w:szCs w:val="20"/>
          <w:lang w:eastAsia="hr-HR"/>
        </w:rPr>
        <w:t xml:space="preserve"> dana od dana objave ovog Poziva na s</w:t>
      </w:r>
      <w:r w:rsidR="005E3A1C" w:rsidRPr="00492B93">
        <w:rPr>
          <w:rFonts w:ascii="Arial" w:eastAsia="Times New Roman" w:hAnsi="Arial" w:cs="Arial"/>
          <w:color w:val="000000"/>
          <w:spacing w:val="9"/>
          <w:sz w:val="20"/>
          <w:szCs w:val="20"/>
          <w:lang w:eastAsia="hr-HR"/>
        </w:rPr>
        <w:t>lužbenim stranicama Grada Dubrovnika.</w:t>
      </w:r>
    </w:p>
    <w:p w:rsidR="00BF1C30" w:rsidRDefault="00BF1C30" w:rsidP="00492B93">
      <w:pPr>
        <w:pStyle w:val="Bezproreda"/>
        <w:rPr>
          <w:rFonts w:ascii="Arial" w:eastAsia="Times New Roman" w:hAnsi="Arial" w:cs="Arial"/>
          <w:color w:val="000000"/>
          <w:spacing w:val="9"/>
          <w:sz w:val="20"/>
          <w:szCs w:val="20"/>
          <w:lang w:eastAsia="hr-HR"/>
        </w:rPr>
      </w:pPr>
    </w:p>
    <w:p w:rsidR="00BF1C30" w:rsidRDefault="00BF1C30" w:rsidP="00492B93">
      <w:pPr>
        <w:pStyle w:val="Bezproreda"/>
        <w:rPr>
          <w:rFonts w:ascii="Arial" w:eastAsia="Times New Roman" w:hAnsi="Arial" w:cs="Arial"/>
          <w:color w:val="000000"/>
          <w:spacing w:val="9"/>
          <w:sz w:val="20"/>
          <w:szCs w:val="20"/>
          <w:lang w:eastAsia="hr-HR"/>
        </w:rPr>
      </w:pPr>
    </w:p>
    <w:p w:rsidR="00BF1C30" w:rsidRDefault="00BF1C30" w:rsidP="00492B93">
      <w:pPr>
        <w:pStyle w:val="Bezproreda"/>
        <w:rPr>
          <w:rFonts w:ascii="Arial" w:eastAsia="Times New Roman" w:hAnsi="Arial" w:cs="Arial"/>
          <w:color w:val="000000"/>
          <w:spacing w:val="9"/>
          <w:sz w:val="20"/>
          <w:szCs w:val="20"/>
          <w:lang w:eastAsia="hr-HR"/>
        </w:rPr>
      </w:pPr>
    </w:p>
    <w:p w:rsidR="00BF1C30" w:rsidRDefault="00BF1C30" w:rsidP="00492B93">
      <w:pPr>
        <w:pStyle w:val="Bezproreda"/>
        <w:rPr>
          <w:rFonts w:ascii="Arial" w:eastAsia="Times New Roman" w:hAnsi="Arial" w:cs="Arial"/>
          <w:color w:val="000000"/>
          <w:spacing w:val="9"/>
          <w:sz w:val="20"/>
          <w:szCs w:val="20"/>
          <w:lang w:eastAsia="hr-HR"/>
        </w:rPr>
      </w:pPr>
    </w:p>
    <w:p w:rsidR="00BF1C30" w:rsidRDefault="00BF1C30" w:rsidP="00492B93">
      <w:pPr>
        <w:pStyle w:val="Bezproreda"/>
        <w:rPr>
          <w:rFonts w:ascii="Arial" w:eastAsia="Times New Roman" w:hAnsi="Arial" w:cs="Arial"/>
          <w:color w:val="000000"/>
          <w:spacing w:val="9"/>
          <w:sz w:val="20"/>
          <w:szCs w:val="20"/>
          <w:lang w:eastAsia="hr-HR"/>
        </w:rPr>
      </w:pPr>
    </w:p>
    <w:p w:rsidR="00BF1C30" w:rsidRDefault="00BF1C30" w:rsidP="00492B93">
      <w:pPr>
        <w:pStyle w:val="Bezproreda"/>
        <w:rPr>
          <w:rFonts w:ascii="Arial" w:eastAsia="Times New Roman" w:hAnsi="Arial" w:cs="Arial"/>
          <w:color w:val="000000"/>
          <w:spacing w:val="9"/>
          <w:sz w:val="20"/>
          <w:szCs w:val="20"/>
          <w:lang w:eastAsia="hr-HR"/>
        </w:rPr>
      </w:pPr>
      <w:r>
        <w:rPr>
          <w:rFonts w:ascii="Arial" w:eastAsia="Times New Roman" w:hAnsi="Arial" w:cs="Arial"/>
          <w:color w:val="000000"/>
          <w:spacing w:val="9"/>
          <w:sz w:val="20"/>
          <w:szCs w:val="20"/>
          <w:lang w:eastAsia="hr-HR"/>
        </w:rPr>
        <w:t>KLASA:</w:t>
      </w:r>
      <w:proofErr w:type="spellStart"/>
      <w:r w:rsidR="00057D32">
        <w:rPr>
          <w:rFonts w:ascii="Arial" w:eastAsia="Times New Roman" w:hAnsi="Arial" w:cs="Arial"/>
          <w:color w:val="000000"/>
          <w:spacing w:val="9"/>
          <w:sz w:val="20"/>
          <w:szCs w:val="20"/>
          <w:lang w:eastAsia="hr-HR"/>
        </w:rPr>
        <w:t>342</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01</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26</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01</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03</w:t>
      </w:r>
      <w:proofErr w:type="spellEnd"/>
    </w:p>
    <w:p w:rsidR="00BF1C30" w:rsidRDefault="00BF1C30" w:rsidP="00492B93">
      <w:pPr>
        <w:pStyle w:val="Bezproreda"/>
        <w:rPr>
          <w:rFonts w:ascii="Arial" w:eastAsia="Times New Roman" w:hAnsi="Arial" w:cs="Arial"/>
          <w:color w:val="000000"/>
          <w:spacing w:val="9"/>
          <w:sz w:val="20"/>
          <w:szCs w:val="20"/>
          <w:lang w:eastAsia="hr-HR"/>
        </w:rPr>
      </w:pPr>
      <w:proofErr w:type="spellStart"/>
      <w:r>
        <w:rPr>
          <w:rFonts w:ascii="Arial" w:eastAsia="Times New Roman" w:hAnsi="Arial" w:cs="Arial"/>
          <w:color w:val="000000"/>
          <w:spacing w:val="9"/>
          <w:sz w:val="20"/>
          <w:szCs w:val="20"/>
          <w:lang w:eastAsia="hr-HR"/>
        </w:rPr>
        <w:t>URBROJ</w:t>
      </w:r>
      <w:proofErr w:type="spellEnd"/>
      <w:r>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2117</w:t>
      </w:r>
      <w:proofErr w:type="spellEnd"/>
      <w:r w:rsidR="00057D32">
        <w:rPr>
          <w:rFonts w:ascii="Arial" w:eastAsia="Times New Roman" w:hAnsi="Arial" w:cs="Arial"/>
          <w:color w:val="000000"/>
          <w:spacing w:val="9"/>
          <w:sz w:val="20"/>
          <w:szCs w:val="20"/>
          <w:lang w:eastAsia="hr-HR"/>
        </w:rPr>
        <w:t>-1-</w:t>
      </w:r>
      <w:proofErr w:type="spellStart"/>
      <w:r w:rsidR="00057D32">
        <w:rPr>
          <w:rFonts w:ascii="Arial" w:eastAsia="Times New Roman" w:hAnsi="Arial" w:cs="Arial"/>
          <w:color w:val="000000"/>
          <w:spacing w:val="9"/>
          <w:sz w:val="20"/>
          <w:szCs w:val="20"/>
          <w:lang w:eastAsia="hr-HR"/>
        </w:rPr>
        <w:t>03</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16</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26</w:t>
      </w:r>
      <w:proofErr w:type="spellEnd"/>
      <w:r w:rsidR="00057D32">
        <w:rPr>
          <w:rFonts w:ascii="Arial" w:eastAsia="Times New Roman" w:hAnsi="Arial" w:cs="Arial"/>
          <w:color w:val="000000"/>
          <w:spacing w:val="9"/>
          <w:sz w:val="20"/>
          <w:szCs w:val="20"/>
          <w:lang w:eastAsia="hr-HR"/>
        </w:rPr>
        <w:t>-</w:t>
      </w:r>
      <w:proofErr w:type="spellStart"/>
      <w:r w:rsidR="00057D32">
        <w:rPr>
          <w:rFonts w:ascii="Arial" w:eastAsia="Times New Roman" w:hAnsi="Arial" w:cs="Arial"/>
          <w:color w:val="000000"/>
          <w:spacing w:val="9"/>
          <w:sz w:val="20"/>
          <w:szCs w:val="20"/>
          <w:lang w:eastAsia="hr-HR"/>
        </w:rPr>
        <w:t>02</w:t>
      </w:r>
      <w:bookmarkStart w:id="0" w:name="_GoBack"/>
      <w:bookmarkEnd w:id="0"/>
      <w:proofErr w:type="spellEnd"/>
    </w:p>
    <w:p w:rsidR="00BF1C30" w:rsidRPr="00A54AE8" w:rsidRDefault="00BF1C30" w:rsidP="00492B93">
      <w:pPr>
        <w:pStyle w:val="Bezproreda"/>
        <w:rPr>
          <w:rFonts w:ascii="Arial" w:eastAsia="Times New Roman" w:hAnsi="Arial" w:cs="Arial"/>
          <w:color w:val="000000"/>
          <w:spacing w:val="9"/>
          <w:sz w:val="20"/>
          <w:szCs w:val="20"/>
          <w:lang w:eastAsia="hr-HR"/>
        </w:rPr>
      </w:pPr>
      <w:r>
        <w:rPr>
          <w:rFonts w:ascii="Arial" w:eastAsia="Times New Roman" w:hAnsi="Arial" w:cs="Arial"/>
          <w:color w:val="000000"/>
          <w:spacing w:val="9"/>
          <w:sz w:val="20"/>
          <w:szCs w:val="20"/>
          <w:lang w:eastAsia="hr-HR"/>
        </w:rPr>
        <w:t>Dubrovnik,</w:t>
      </w:r>
      <w:proofErr w:type="spellStart"/>
      <w:r>
        <w:rPr>
          <w:rFonts w:ascii="Arial" w:eastAsia="Times New Roman" w:hAnsi="Arial" w:cs="Arial"/>
          <w:color w:val="000000"/>
          <w:spacing w:val="9"/>
          <w:sz w:val="20"/>
          <w:szCs w:val="20"/>
          <w:lang w:eastAsia="hr-HR"/>
        </w:rPr>
        <w:t>2.ožujka</w:t>
      </w:r>
      <w:proofErr w:type="spellEnd"/>
      <w:r>
        <w:rPr>
          <w:rFonts w:ascii="Arial" w:eastAsia="Times New Roman" w:hAnsi="Arial" w:cs="Arial"/>
          <w:color w:val="000000"/>
          <w:spacing w:val="9"/>
          <w:sz w:val="20"/>
          <w:szCs w:val="20"/>
          <w:lang w:eastAsia="hr-HR"/>
        </w:rPr>
        <w:t xml:space="preserve"> </w:t>
      </w:r>
      <w:proofErr w:type="spellStart"/>
      <w:r>
        <w:rPr>
          <w:rFonts w:ascii="Arial" w:eastAsia="Times New Roman" w:hAnsi="Arial" w:cs="Arial"/>
          <w:color w:val="000000"/>
          <w:spacing w:val="9"/>
          <w:sz w:val="20"/>
          <w:szCs w:val="20"/>
          <w:lang w:eastAsia="hr-HR"/>
        </w:rPr>
        <w:t>2026</w:t>
      </w:r>
      <w:proofErr w:type="spellEnd"/>
      <w:r>
        <w:rPr>
          <w:rFonts w:ascii="Arial" w:eastAsia="Times New Roman" w:hAnsi="Arial" w:cs="Arial"/>
          <w:color w:val="000000"/>
          <w:spacing w:val="9"/>
          <w:sz w:val="20"/>
          <w:szCs w:val="20"/>
          <w:lang w:eastAsia="hr-HR"/>
        </w:rPr>
        <w:t>.</w:t>
      </w:r>
    </w:p>
    <w:p w:rsidR="00A54AE8" w:rsidRPr="00A54AE8" w:rsidRDefault="00A54AE8" w:rsidP="00A54AE8">
      <w:pPr>
        <w:shd w:val="clear" w:color="auto" w:fill="FFFFFF"/>
        <w:spacing w:before="100" w:beforeAutospacing="1" w:after="100" w:afterAutospacing="1" w:line="300" w:lineRule="atLeast"/>
        <w:rPr>
          <w:rFonts w:eastAsia="Times New Roman" w:cstheme="minorHAnsi"/>
          <w:color w:val="000000"/>
          <w:spacing w:val="9"/>
          <w:sz w:val="21"/>
          <w:szCs w:val="21"/>
          <w:lang w:eastAsia="hr-HR"/>
        </w:rPr>
      </w:pPr>
      <w:r w:rsidRPr="00A54AE8">
        <w:rPr>
          <w:rFonts w:eastAsia="Times New Roman" w:cstheme="minorHAnsi"/>
          <w:color w:val="000000"/>
          <w:spacing w:val="9"/>
          <w:sz w:val="21"/>
          <w:szCs w:val="21"/>
          <w:lang w:eastAsia="hr-HR"/>
        </w:rPr>
        <w:t> </w:t>
      </w:r>
    </w:p>
    <w:p w:rsidR="00A54AE8" w:rsidRPr="00026452" w:rsidRDefault="00A54AE8" w:rsidP="00026452">
      <w:pPr>
        <w:pStyle w:val="Bezproreda"/>
        <w:numPr>
          <w:ilvl w:val="0"/>
          <w:numId w:val="4"/>
        </w:numPr>
        <w:rPr>
          <w:rFonts w:ascii="Arial" w:hAnsi="Arial" w:cs="Arial"/>
          <w:sz w:val="20"/>
          <w:szCs w:val="20"/>
        </w:rPr>
      </w:pPr>
    </w:p>
    <w:sectPr w:rsidR="00A54AE8" w:rsidRPr="000264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00000000" w:usb2="00000000"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62145F"/>
    <w:multiLevelType w:val="multilevel"/>
    <w:tmpl w:val="622809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B835063"/>
    <w:multiLevelType w:val="hybridMultilevel"/>
    <w:tmpl w:val="977AC5FA"/>
    <w:lvl w:ilvl="0" w:tplc="500ADEDE">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2A774841"/>
    <w:multiLevelType w:val="hybridMultilevel"/>
    <w:tmpl w:val="8FB4795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3A2607B3"/>
    <w:multiLevelType w:val="hybridMultilevel"/>
    <w:tmpl w:val="FECA2856"/>
    <w:lvl w:ilvl="0" w:tplc="9EC69440">
      <w:numFmt w:val="bullet"/>
      <w:lvlText w:val="-"/>
      <w:lvlJc w:val="left"/>
      <w:pPr>
        <w:ind w:left="1080" w:hanging="360"/>
      </w:pPr>
      <w:rPr>
        <w:rFonts w:ascii="Calibri" w:eastAsiaTheme="minorHAnsi" w:hAnsi="Calibri" w:cs="Calibri"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4">
    <w:nsid w:val="54A86737"/>
    <w:multiLevelType w:val="hybridMultilevel"/>
    <w:tmpl w:val="A2867AC8"/>
    <w:lvl w:ilvl="0" w:tplc="1D709AF2">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6C7A63BE"/>
    <w:multiLevelType w:val="hybridMultilevel"/>
    <w:tmpl w:val="A83234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5"/>
  </w:num>
  <w:num w:numId="2">
    <w:abstractNumId w:val="2"/>
  </w:num>
  <w:num w:numId="3">
    <w:abstractNumId w:val="3"/>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78D"/>
    <w:rsid w:val="00026452"/>
    <w:rsid w:val="00057D32"/>
    <w:rsid w:val="00205F42"/>
    <w:rsid w:val="002C652F"/>
    <w:rsid w:val="00312457"/>
    <w:rsid w:val="00381246"/>
    <w:rsid w:val="003A33F6"/>
    <w:rsid w:val="00492B93"/>
    <w:rsid w:val="005E3A1C"/>
    <w:rsid w:val="00641BD5"/>
    <w:rsid w:val="006F64ED"/>
    <w:rsid w:val="00740794"/>
    <w:rsid w:val="00875C02"/>
    <w:rsid w:val="008B36A6"/>
    <w:rsid w:val="00A54AE8"/>
    <w:rsid w:val="00AC4B09"/>
    <w:rsid w:val="00BD637F"/>
    <w:rsid w:val="00BF1C30"/>
    <w:rsid w:val="00E84789"/>
    <w:rsid w:val="00FC578D"/>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qFormat/>
    <w:rsid w:val="002C652F"/>
    <w:pPr>
      <w:keepNext/>
      <w:spacing w:after="0" w:line="240" w:lineRule="auto"/>
      <w:jc w:val="center"/>
      <w:outlineLvl w:val="1"/>
    </w:pPr>
    <w:rPr>
      <w:rFonts w:ascii="Times New Roman" w:eastAsia="Arial Unicode MS" w:hAnsi="Times New Roman" w:cs="Arial Unicode MS"/>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578D"/>
    <w:pPr>
      <w:ind w:left="720"/>
      <w:contextualSpacing/>
    </w:pPr>
  </w:style>
  <w:style w:type="character" w:customStyle="1" w:styleId="Naslov2Char">
    <w:name w:val="Naslov 2 Char"/>
    <w:basedOn w:val="Zadanifontodlomka"/>
    <w:link w:val="Naslov2"/>
    <w:rsid w:val="002C652F"/>
    <w:rPr>
      <w:rFonts w:ascii="Times New Roman" w:eastAsia="Arial Unicode MS" w:hAnsi="Times New Roman" w:cs="Arial Unicode MS"/>
      <w:b/>
      <w:bCs/>
      <w:sz w:val="24"/>
      <w:szCs w:val="24"/>
      <w:lang w:eastAsia="hr-HR"/>
    </w:rPr>
  </w:style>
  <w:style w:type="table" w:styleId="Reetkatablice">
    <w:name w:val="Table Grid"/>
    <w:basedOn w:val="Obinatablica"/>
    <w:uiPriority w:val="59"/>
    <w:rsid w:val="002C65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C652F"/>
    <w:pPr>
      <w:spacing w:after="0" w:line="240" w:lineRule="auto"/>
    </w:pPr>
  </w:style>
  <w:style w:type="paragraph" w:styleId="StandardWeb">
    <w:name w:val="Normal (Web)"/>
    <w:basedOn w:val="Normal"/>
    <w:uiPriority w:val="99"/>
    <w:unhideWhenUsed/>
    <w:rsid w:val="00A54AE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A54AE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2">
    <w:name w:val="heading 2"/>
    <w:basedOn w:val="Normal"/>
    <w:next w:val="Normal"/>
    <w:link w:val="Naslov2Char"/>
    <w:qFormat/>
    <w:rsid w:val="002C652F"/>
    <w:pPr>
      <w:keepNext/>
      <w:spacing w:after="0" w:line="240" w:lineRule="auto"/>
      <w:jc w:val="center"/>
      <w:outlineLvl w:val="1"/>
    </w:pPr>
    <w:rPr>
      <w:rFonts w:ascii="Times New Roman" w:eastAsia="Arial Unicode MS" w:hAnsi="Times New Roman" w:cs="Arial Unicode MS"/>
      <w:b/>
      <w:bCs/>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C578D"/>
    <w:pPr>
      <w:ind w:left="720"/>
      <w:contextualSpacing/>
    </w:pPr>
  </w:style>
  <w:style w:type="character" w:customStyle="1" w:styleId="Naslov2Char">
    <w:name w:val="Naslov 2 Char"/>
    <w:basedOn w:val="Zadanifontodlomka"/>
    <w:link w:val="Naslov2"/>
    <w:rsid w:val="002C652F"/>
    <w:rPr>
      <w:rFonts w:ascii="Times New Roman" w:eastAsia="Arial Unicode MS" w:hAnsi="Times New Roman" w:cs="Arial Unicode MS"/>
      <w:b/>
      <w:bCs/>
      <w:sz w:val="24"/>
      <w:szCs w:val="24"/>
      <w:lang w:eastAsia="hr-HR"/>
    </w:rPr>
  </w:style>
  <w:style w:type="table" w:styleId="Reetkatablice">
    <w:name w:val="Table Grid"/>
    <w:basedOn w:val="Obinatablica"/>
    <w:uiPriority w:val="59"/>
    <w:rsid w:val="002C652F"/>
    <w:pPr>
      <w:spacing w:after="0" w:line="240" w:lineRule="auto"/>
    </w:pPr>
    <w:rPr>
      <w:rFonts w:ascii="Times New Roman" w:eastAsia="Times New Roman" w:hAnsi="Times New Roman" w:cs="Times New Roman"/>
      <w:sz w:val="20"/>
      <w:szCs w:val="20"/>
      <w:lang w:eastAsia="hr-H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2C652F"/>
    <w:pPr>
      <w:spacing w:after="0" w:line="240" w:lineRule="auto"/>
    </w:pPr>
  </w:style>
  <w:style w:type="paragraph" w:styleId="StandardWeb">
    <w:name w:val="Normal (Web)"/>
    <w:basedOn w:val="Normal"/>
    <w:uiPriority w:val="99"/>
    <w:unhideWhenUsed/>
    <w:rsid w:val="00A54AE8"/>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Hiperveza">
    <w:name w:val="Hyperlink"/>
    <w:basedOn w:val="Zadanifontodlomka"/>
    <w:uiPriority w:val="99"/>
    <w:semiHidden/>
    <w:unhideWhenUsed/>
    <w:rsid w:val="00A54AE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5499439">
      <w:bodyDiv w:val="1"/>
      <w:marLeft w:val="0"/>
      <w:marRight w:val="0"/>
      <w:marTop w:val="0"/>
      <w:marBottom w:val="0"/>
      <w:divBdr>
        <w:top w:val="none" w:sz="0" w:space="0" w:color="auto"/>
        <w:left w:val="none" w:sz="0" w:space="0" w:color="auto"/>
        <w:bottom w:val="none" w:sz="0" w:space="0" w:color="auto"/>
        <w:right w:val="none" w:sz="0" w:space="0" w:color="auto"/>
      </w:divBdr>
    </w:div>
    <w:div w:id="204612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9E88A-C05D-4B01-9D62-A5A02A7ED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2690</Characters>
  <Application>Microsoft Office Word</Application>
  <DocSecurity>0</DocSecurity>
  <Lines>22</Lines>
  <Paragraphs>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Dadić</dc:creator>
  <cp:lastModifiedBy>Jelena Dadić</cp:lastModifiedBy>
  <cp:revision>2</cp:revision>
  <dcterms:created xsi:type="dcterms:W3CDTF">2026-03-02T13:04:00Z</dcterms:created>
  <dcterms:modified xsi:type="dcterms:W3CDTF">2026-03-02T13:04:00Z</dcterms:modified>
</cp:coreProperties>
</file>