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86A" w:rsidRPr="00EA6CE6" w:rsidRDefault="001F1775">
      <w:pPr>
        <w:rPr>
          <w:rFonts w:ascii="Arial" w:hAnsi="Arial" w:cs="Arial"/>
          <w:lang w:val="en-US"/>
        </w:rPr>
      </w:pPr>
      <w:r w:rsidRPr="00EA6CE6">
        <w:rPr>
          <w:rFonts w:ascii="Arial" w:hAnsi="Arial" w:cs="Arial"/>
          <w:lang w:val="en-US"/>
        </w:rPr>
        <w:t>OBRAZAC IZVJEŠĆA O PROVEDENOM SAVJETOVANJU</w:t>
      </w:r>
    </w:p>
    <w:p w:rsidR="001F1775" w:rsidRPr="00EA6CE6" w:rsidRDefault="001F1775">
      <w:pPr>
        <w:rPr>
          <w:rFonts w:ascii="Arial" w:hAnsi="Arial" w:cs="Arial"/>
          <w:lang w:val="en-US"/>
        </w:rPr>
      </w:pPr>
    </w:p>
    <w:tbl>
      <w:tblPr>
        <w:tblStyle w:val="TableGrid"/>
        <w:tblW w:w="0" w:type="auto"/>
        <w:tblLook w:val="04A0" w:firstRow="1" w:lastRow="0" w:firstColumn="1" w:lastColumn="0" w:noHBand="0" w:noVBand="1"/>
      </w:tblPr>
      <w:tblGrid>
        <w:gridCol w:w="3114"/>
        <w:gridCol w:w="3016"/>
        <w:gridCol w:w="2886"/>
      </w:tblGrid>
      <w:tr w:rsidR="001F1775" w:rsidRPr="00EA6CE6" w:rsidTr="00A97D85">
        <w:trPr>
          <w:trHeight w:val="983"/>
        </w:trPr>
        <w:tc>
          <w:tcPr>
            <w:tcW w:w="9016" w:type="dxa"/>
            <w:gridSpan w:val="3"/>
          </w:tcPr>
          <w:p w:rsidR="001F1775" w:rsidRPr="00EA6CE6" w:rsidRDefault="001F1775" w:rsidP="00576DF1">
            <w:pPr>
              <w:jc w:val="center"/>
              <w:rPr>
                <w:rFonts w:ascii="Arial" w:hAnsi="Arial" w:cs="Arial"/>
                <w:b/>
              </w:rPr>
            </w:pPr>
            <w:r w:rsidRPr="00EA6CE6">
              <w:rPr>
                <w:rFonts w:ascii="Arial" w:hAnsi="Arial" w:cs="Arial"/>
                <w:b/>
              </w:rPr>
              <w:t xml:space="preserve">  IZVJEŠĆE O PROVEDENOM SAVJETOVANJU</w:t>
            </w:r>
          </w:p>
          <w:p w:rsidR="001F1775" w:rsidRPr="00EA6CE6" w:rsidRDefault="001F1775" w:rsidP="00576DF1">
            <w:pPr>
              <w:jc w:val="center"/>
              <w:rPr>
                <w:rFonts w:ascii="Arial" w:hAnsi="Arial" w:cs="Arial"/>
                <w:b/>
              </w:rPr>
            </w:pPr>
            <w:r w:rsidRPr="00EA6CE6">
              <w:rPr>
                <w:rFonts w:ascii="Arial" w:hAnsi="Arial" w:cs="Arial"/>
                <w:b/>
              </w:rPr>
              <w:t xml:space="preserve"> SA ZAINTERESIRANOM JAVNOŠĆU</w:t>
            </w:r>
          </w:p>
          <w:p w:rsidR="001F1775" w:rsidRPr="00EA6CE6" w:rsidRDefault="001F1775" w:rsidP="00576DF1">
            <w:pPr>
              <w:rPr>
                <w:rFonts w:ascii="Arial" w:hAnsi="Arial" w:cs="Arial"/>
                <w:b/>
              </w:rPr>
            </w:pPr>
          </w:p>
        </w:tc>
      </w:tr>
      <w:tr w:rsidR="001F1775" w:rsidRPr="00EA6CE6" w:rsidTr="00A97D85">
        <w:tc>
          <w:tcPr>
            <w:tcW w:w="3114" w:type="dxa"/>
          </w:tcPr>
          <w:p w:rsidR="001F1775" w:rsidRPr="00EA6CE6" w:rsidRDefault="00854F50" w:rsidP="00576DF1">
            <w:pPr>
              <w:rPr>
                <w:rFonts w:ascii="Arial" w:hAnsi="Arial" w:cs="Arial"/>
              </w:rPr>
            </w:pPr>
            <w:r w:rsidRPr="00EA6CE6">
              <w:rPr>
                <w:rFonts w:ascii="Arial" w:hAnsi="Arial" w:cs="Arial"/>
                <w:b/>
              </w:rPr>
              <w:t>Naziv akta/dokumenta za koji je provedeno savjetovanje:</w:t>
            </w:r>
          </w:p>
        </w:tc>
        <w:tc>
          <w:tcPr>
            <w:tcW w:w="5902" w:type="dxa"/>
            <w:gridSpan w:val="2"/>
          </w:tcPr>
          <w:p w:rsidR="003461B2" w:rsidRDefault="003461B2" w:rsidP="003461B2">
            <w:pPr>
              <w:jc w:val="center"/>
              <w:rPr>
                <w:rFonts w:ascii="Arial" w:hAnsi="Arial" w:cs="Arial"/>
              </w:rPr>
            </w:pPr>
          </w:p>
          <w:p w:rsidR="003461B2" w:rsidRPr="003461B2" w:rsidRDefault="003461B2" w:rsidP="003461B2">
            <w:pPr>
              <w:jc w:val="center"/>
              <w:rPr>
                <w:rFonts w:ascii="Arial" w:hAnsi="Arial" w:cs="Arial"/>
                <w:b/>
              </w:rPr>
            </w:pPr>
            <w:r w:rsidRPr="003461B2">
              <w:rPr>
                <w:rFonts w:ascii="Arial" w:hAnsi="Arial" w:cs="Arial"/>
                <w:b/>
              </w:rPr>
              <w:t>STRATEGIJA RAZVOJA URBANOG PODRUČJA DUBROVNIK</w:t>
            </w:r>
          </w:p>
          <w:p w:rsidR="00854F50" w:rsidRPr="00EA6CE6" w:rsidRDefault="00854F50" w:rsidP="00854F50">
            <w:pPr>
              <w:jc w:val="center"/>
              <w:rPr>
                <w:rFonts w:ascii="Arial" w:hAnsi="Arial" w:cs="Arial"/>
                <w:b/>
              </w:rPr>
            </w:pPr>
          </w:p>
        </w:tc>
      </w:tr>
      <w:tr w:rsidR="001F1775" w:rsidRPr="00EA6CE6" w:rsidTr="00A97D85">
        <w:tc>
          <w:tcPr>
            <w:tcW w:w="3114" w:type="dxa"/>
          </w:tcPr>
          <w:p w:rsidR="001F1775" w:rsidRPr="00EA6CE6" w:rsidRDefault="00854F50" w:rsidP="00576DF1">
            <w:pPr>
              <w:rPr>
                <w:rFonts w:ascii="Arial" w:hAnsi="Arial" w:cs="Arial"/>
                <w:b/>
              </w:rPr>
            </w:pPr>
            <w:r w:rsidRPr="00EA6CE6">
              <w:rPr>
                <w:rFonts w:ascii="Arial" w:hAnsi="Arial" w:cs="Arial"/>
                <w:b/>
              </w:rPr>
              <w:t xml:space="preserve">Naziv </w:t>
            </w:r>
            <w:r w:rsidR="001F1775" w:rsidRPr="00EA6CE6">
              <w:rPr>
                <w:rFonts w:ascii="Arial" w:hAnsi="Arial" w:cs="Arial"/>
                <w:b/>
              </w:rPr>
              <w:t>tijel</w:t>
            </w:r>
            <w:r w:rsidRPr="00EA6CE6">
              <w:rPr>
                <w:rFonts w:ascii="Arial" w:hAnsi="Arial" w:cs="Arial"/>
                <w:b/>
              </w:rPr>
              <w:t>a nadležnog za izradu nacrta /</w:t>
            </w:r>
            <w:r w:rsidR="001F1775" w:rsidRPr="00EA6CE6">
              <w:rPr>
                <w:rFonts w:ascii="Arial" w:hAnsi="Arial" w:cs="Arial"/>
                <w:b/>
              </w:rPr>
              <w:t xml:space="preserve"> prov</w:t>
            </w:r>
            <w:r w:rsidRPr="00EA6CE6">
              <w:rPr>
                <w:rFonts w:ascii="Arial" w:hAnsi="Arial" w:cs="Arial"/>
                <w:b/>
              </w:rPr>
              <w:t>edbu</w:t>
            </w:r>
            <w:r w:rsidR="001F1775" w:rsidRPr="00EA6CE6">
              <w:rPr>
                <w:rFonts w:ascii="Arial" w:hAnsi="Arial" w:cs="Arial"/>
                <w:b/>
              </w:rPr>
              <w:t xml:space="preserve"> savjetovanj</w:t>
            </w:r>
            <w:r w:rsidRPr="00EA6CE6">
              <w:rPr>
                <w:rFonts w:ascii="Arial" w:hAnsi="Arial" w:cs="Arial"/>
                <w:b/>
              </w:rPr>
              <w:t>a</w:t>
            </w:r>
          </w:p>
          <w:p w:rsidR="00854F50" w:rsidRPr="00EA6CE6" w:rsidRDefault="00854F50" w:rsidP="00576DF1">
            <w:pPr>
              <w:rPr>
                <w:rFonts w:ascii="Arial" w:hAnsi="Arial" w:cs="Arial"/>
                <w:b/>
              </w:rPr>
            </w:pPr>
          </w:p>
        </w:tc>
        <w:tc>
          <w:tcPr>
            <w:tcW w:w="5902" w:type="dxa"/>
            <w:gridSpan w:val="2"/>
          </w:tcPr>
          <w:p w:rsidR="001F1775" w:rsidRPr="00EA6CE6" w:rsidRDefault="001F1775" w:rsidP="00576DF1">
            <w:pPr>
              <w:rPr>
                <w:rFonts w:ascii="Arial" w:hAnsi="Arial" w:cs="Arial"/>
              </w:rPr>
            </w:pPr>
            <w:r w:rsidRPr="00EA6CE6">
              <w:rPr>
                <w:rFonts w:ascii="Arial" w:hAnsi="Arial" w:cs="Arial"/>
              </w:rPr>
              <w:t xml:space="preserve">Grad </w:t>
            </w:r>
            <w:r w:rsidR="00854F50" w:rsidRPr="00EA6CE6">
              <w:rPr>
                <w:rFonts w:ascii="Arial" w:hAnsi="Arial" w:cs="Arial"/>
              </w:rPr>
              <w:t>Dubrovnik</w:t>
            </w:r>
          </w:p>
          <w:p w:rsidR="001F1775" w:rsidRPr="00EA6CE6" w:rsidRDefault="003461B2" w:rsidP="00576DF1">
            <w:pPr>
              <w:rPr>
                <w:rFonts w:ascii="Arial" w:hAnsi="Arial" w:cs="Arial"/>
              </w:rPr>
            </w:pPr>
            <w:r>
              <w:rPr>
                <w:rFonts w:ascii="Arial" w:hAnsi="Arial" w:cs="Arial"/>
              </w:rPr>
              <w:t>Upravni odjel za europske fondove, regionalnu i međunarodnu suradnju</w:t>
            </w:r>
          </w:p>
          <w:p w:rsidR="001F1775" w:rsidRPr="00EA6CE6" w:rsidRDefault="001F1775" w:rsidP="00576DF1">
            <w:pPr>
              <w:rPr>
                <w:rFonts w:ascii="Arial" w:hAnsi="Arial" w:cs="Arial"/>
              </w:rPr>
            </w:pPr>
          </w:p>
        </w:tc>
      </w:tr>
      <w:tr w:rsidR="001F1775" w:rsidRPr="00EA6CE6" w:rsidTr="00A97D85">
        <w:tc>
          <w:tcPr>
            <w:tcW w:w="3114" w:type="dxa"/>
          </w:tcPr>
          <w:p w:rsidR="001F1775" w:rsidRPr="00EA6CE6" w:rsidRDefault="001F1775" w:rsidP="00576DF1">
            <w:pPr>
              <w:rPr>
                <w:rFonts w:ascii="Arial" w:hAnsi="Arial" w:cs="Arial"/>
                <w:b/>
              </w:rPr>
            </w:pPr>
            <w:r w:rsidRPr="00EA6CE6">
              <w:rPr>
                <w:rFonts w:ascii="Arial" w:hAnsi="Arial" w:cs="Arial"/>
                <w:b/>
              </w:rPr>
              <w:t>Cilj i glavne teme savjetovanja</w:t>
            </w:r>
          </w:p>
        </w:tc>
        <w:tc>
          <w:tcPr>
            <w:tcW w:w="5902" w:type="dxa"/>
            <w:gridSpan w:val="2"/>
          </w:tcPr>
          <w:p w:rsidR="001F1775" w:rsidRPr="00EA6CE6" w:rsidRDefault="001F1775" w:rsidP="00576DF1">
            <w:pPr>
              <w:pStyle w:val="xxmsonormal"/>
              <w:rPr>
                <w:rFonts w:ascii="Arial" w:hAnsi="Arial" w:cs="Arial"/>
                <w:i/>
              </w:rPr>
            </w:pPr>
          </w:p>
          <w:p w:rsidR="003461B2" w:rsidRPr="003461B2" w:rsidRDefault="003461B2" w:rsidP="003461B2">
            <w:pPr>
              <w:pStyle w:val="NormalWeb"/>
              <w:shd w:val="clear" w:color="auto" w:fill="F2F2F2"/>
              <w:spacing w:before="0" w:beforeAutospacing="0" w:after="0" w:afterAutospacing="0"/>
              <w:jc w:val="both"/>
              <w:rPr>
                <w:rFonts w:ascii="Arial" w:hAnsi="Arial" w:cs="Arial"/>
                <w:iCs/>
                <w:color w:val="000000"/>
                <w:sz w:val="21"/>
                <w:szCs w:val="21"/>
              </w:rPr>
            </w:pPr>
            <w:r w:rsidRPr="003461B2">
              <w:rPr>
                <w:rFonts w:ascii="Arial" w:hAnsi="Arial" w:cs="Arial"/>
                <w:iCs/>
                <w:color w:val="000000"/>
                <w:sz w:val="21"/>
                <w:szCs w:val="21"/>
              </w:rPr>
              <w:t>Strategija predstavlja preduvjet za korištenje ITU mehanizma, tj. mehanizma integriranih teritorijalnih ulaganja. ITU mehanizam ima za cilj razvijati funkcije, infrastrukturu, usluge i sadržaje potrebne za stvaranje kvalitetnije poveznice gradskih i prigradskih prostora u urbanu cjelinu. Pritom se naglasak stavlja na integriranje razvoja funkcionalno povezanih administrativnih jedinica, integriranje razvoja projekata iz različitih sektora unutar urbanih područja, integriranje istih ili sličnih projekata na različitim lokacijama unutar urbanog područja i integriranje projekata iz više različitih fondova (tzv. blending).</w:t>
            </w:r>
          </w:p>
          <w:p w:rsidR="003461B2" w:rsidRPr="003461B2" w:rsidRDefault="003461B2" w:rsidP="003461B2">
            <w:pPr>
              <w:pStyle w:val="NormalWeb"/>
              <w:shd w:val="clear" w:color="auto" w:fill="F2F2F2"/>
              <w:spacing w:before="0" w:beforeAutospacing="0" w:after="0" w:afterAutospacing="0"/>
              <w:jc w:val="both"/>
              <w:rPr>
                <w:rFonts w:ascii="Arial" w:hAnsi="Arial" w:cs="Arial"/>
                <w:iCs/>
                <w:color w:val="000000"/>
                <w:sz w:val="21"/>
                <w:szCs w:val="21"/>
              </w:rPr>
            </w:pPr>
            <w:r w:rsidRPr="003461B2">
              <w:rPr>
                <w:rFonts w:ascii="Arial" w:hAnsi="Arial" w:cs="Arial"/>
                <w:iCs/>
                <w:color w:val="000000"/>
                <w:sz w:val="21"/>
                <w:szCs w:val="21"/>
              </w:rPr>
              <w:t> </w:t>
            </w:r>
          </w:p>
          <w:p w:rsidR="003461B2" w:rsidRPr="003461B2" w:rsidRDefault="003461B2" w:rsidP="003461B2">
            <w:pPr>
              <w:pStyle w:val="NormalWeb"/>
              <w:shd w:val="clear" w:color="auto" w:fill="F2F2F2"/>
              <w:spacing w:before="0" w:beforeAutospacing="0" w:after="0" w:afterAutospacing="0"/>
              <w:jc w:val="both"/>
              <w:rPr>
                <w:rFonts w:ascii="Arial" w:hAnsi="Arial" w:cs="Arial"/>
                <w:iCs/>
                <w:color w:val="000000"/>
                <w:sz w:val="21"/>
                <w:szCs w:val="21"/>
              </w:rPr>
            </w:pPr>
            <w:r w:rsidRPr="003461B2">
              <w:rPr>
                <w:rFonts w:ascii="Arial" w:hAnsi="Arial" w:cs="Arial"/>
                <w:iCs/>
                <w:color w:val="000000"/>
                <w:sz w:val="21"/>
                <w:szCs w:val="21"/>
              </w:rPr>
              <w:t>Cilj Strategije je utvrđivanje zajedničkih smjerova razvoja UP Dubrovnik, predlaganje zajedničkih pravaca djelovanja te olakšavanje provedbe zajedničkih projekata UP-a. Sukladno Zakonu o regionalnom razvoju Republike Hrvatske, Ministarstvo regionalnoga razvoja i fondova Europske unije donijelo je Smjernice za uspostavu urbanih područja i izradu strategija razvoja urbanih područja za financijsko razdoblje 2021.-2027., a čija je svrha pružiti upute urbanim područjima tijekom definiranja i uspostave urbanih područja, tijekom izrade strategija razvoja urbanih područja te njezinog praćenja, provedbe i vrednovanja.</w:t>
            </w:r>
          </w:p>
          <w:p w:rsidR="00114418" w:rsidRPr="00EA6CE6" w:rsidRDefault="00114418" w:rsidP="00576DF1">
            <w:pPr>
              <w:pStyle w:val="xxmsonormal"/>
              <w:rPr>
                <w:rFonts w:ascii="Arial" w:hAnsi="Arial" w:cs="Arial"/>
              </w:rPr>
            </w:pPr>
          </w:p>
          <w:p w:rsidR="001F1775" w:rsidRPr="00EA6CE6" w:rsidRDefault="001F1775" w:rsidP="00576DF1">
            <w:pPr>
              <w:autoSpaceDE w:val="0"/>
              <w:autoSpaceDN w:val="0"/>
              <w:adjustRightInd w:val="0"/>
              <w:ind w:firstLine="708"/>
              <w:jc w:val="both"/>
              <w:rPr>
                <w:rFonts w:ascii="Arial" w:hAnsi="Arial" w:cs="Arial"/>
              </w:rPr>
            </w:pPr>
          </w:p>
          <w:p w:rsidR="001F1775" w:rsidRPr="00EA6CE6" w:rsidRDefault="001F1775" w:rsidP="00576DF1">
            <w:pPr>
              <w:rPr>
                <w:rFonts w:ascii="Arial" w:eastAsia="Times New Roman" w:hAnsi="Arial" w:cs="Arial"/>
              </w:rPr>
            </w:pPr>
          </w:p>
        </w:tc>
      </w:tr>
      <w:tr w:rsidR="001F1775" w:rsidRPr="00EA6CE6" w:rsidTr="00A97D85">
        <w:tc>
          <w:tcPr>
            <w:tcW w:w="3114" w:type="dxa"/>
          </w:tcPr>
          <w:p w:rsidR="001F1775" w:rsidRPr="00EA6CE6" w:rsidRDefault="00114418" w:rsidP="00576DF1">
            <w:pPr>
              <w:rPr>
                <w:rFonts w:ascii="Arial" w:hAnsi="Arial" w:cs="Arial"/>
                <w:b/>
              </w:rPr>
            </w:pPr>
            <w:r w:rsidRPr="00EA6CE6">
              <w:rPr>
                <w:rFonts w:ascii="Arial" w:hAnsi="Arial" w:cs="Arial"/>
                <w:b/>
              </w:rPr>
              <w:t xml:space="preserve">Objava </w:t>
            </w:r>
            <w:r w:rsidR="001F1775" w:rsidRPr="00EA6CE6">
              <w:rPr>
                <w:rFonts w:ascii="Arial" w:hAnsi="Arial" w:cs="Arial"/>
                <w:b/>
              </w:rPr>
              <w:t>dokumenta</w:t>
            </w:r>
            <w:r w:rsidRPr="00EA6CE6">
              <w:rPr>
                <w:rFonts w:ascii="Arial" w:hAnsi="Arial" w:cs="Arial"/>
                <w:b/>
              </w:rPr>
              <w:t xml:space="preserve"> za savjetovanje</w:t>
            </w:r>
          </w:p>
          <w:p w:rsidR="00114418" w:rsidRPr="00EA6CE6" w:rsidRDefault="00114418" w:rsidP="00576DF1">
            <w:pPr>
              <w:rPr>
                <w:rFonts w:ascii="Arial" w:hAnsi="Arial" w:cs="Arial"/>
              </w:rPr>
            </w:pPr>
          </w:p>
        </w:tc>
        <w:tc>
          <w:tcPr>
            <w:tcW w:w="5902" w:type="dxa"/>
            <w:gridSpan w:val="2"/>
          </w:tcPr>
          <w:p w:rsidR="001F1775" w:rsidRPr="001A1269" w:rsidRDefault="001F1775" w:rsidP="001A1269">
            <w:pPr>
              <w:jc w:val="both"/>
              <w:rPr>
                <w:rFonts w:ascii="Arial" w:hAnsi="Arial" w:cs="Arial"/>
              </w:rPr>
            </w:pPr>
            <w:r w:rsidRPr="001A1269">
              <w:rPr>
                <w:rFonts w:ascii="Arial" w:hAnsi="Arial" w:cs="Arial"/>
              </w:rPr>
              <w:t>P</w:t>
            </w:r>
            <w:r w:rsidR="00114418" w:rsidRPr="001A1269">
              <w:rPr>
                <w:rFonts w:ascii="Arial" w:hAnsi="Arial" w:cs="Arial"/>
              </w:rPr>
              <w:t>oveznica na objavljeno savjetovanje</w:t>
            </w:r>
          </w:p>
          <w:p w:rsidR="00114418" w:rsidRPr="001A1269" w:rsidRDefault="00000000" w:rsidP="001A1269">
            <w:pPr>
              <w:jc w:val="both"/>
              <w:rPr>
                <w:rFonts w:ascii="Arial" w:hAnsi="Arial" w:cs="Arial"/>
              </w:rPr>
            </w:pPr>
            <w:hyperlink r:id="rId5" w:history="1">
              <w:r w:rsidR="001A1269" w:rsidRPr="001A1269">
                <w:rPr>
                  <w:rStyle w:val="Hyperlink"/>
                  <w:rFonts w:ascii="Arial" w:hAnsi="Arial" w:cs="Arial"/>
                </w:rPr>
                <w:t>https://www.dubrovnik.hr/vijesti/javno-savjetovanje---strategija-razvoja-urbanog-podrucja-dubrovnik-16438</w:t>
              </w:r>
            </w:hyperlink>
          </w:p>
        </w:tc>
      </w:tr>
      <w:tr w:rsidR="001F1775" w:rsidRPr="00EA6CE6" w:rsidTr="00A97D85">
        <w:tc>
          <w:tcPr>
            <w:tcW w:w="3114" w:type="dxa"/>
          </w:tcPr>
          <w:p w:rsidR="001F1775" w:rsidRPr="00EA6CE6" w:rsidRDefault="001F1775" w:rsidP="00576DF1">
            <w:pPr>
              <w:rPr>
                <w:rFonts w:ascii="Arial" w:hAnsi="Arial" w:cs="Arial"/>
              </w:rPr>
            </w:pPr>
          </w:p>
          <w:p w:rsidR="00114418" w:rsidRPr="00EA6CE6" w:rsidRDefault="00114418" w:rsidP="00576DF1">
            <w:pPr>
              <w:rPr>
                <w:rFonts w:ascii="Arial" w:hAnsi="Arial" w:cs="Arial"/>
                <w:b/>
              </w:rPr>
            </w:pPr>
            <w:r w:rsidRPr="00EA6CE6">
              <w:rPr>
                <w:rFonts w:ascii="Arial" w:hAnsi="Arial" w:cs="Arial"/>
                <w:b/>
              </w:rPr>
              <w:t>Razdoblje provedbe savjetovanja</w:t>
            </w:r>
          </w:p>
        </w:tc>
        <w:tc>
          <w:tcPr>
            <w:tcW w:w="5902" w:type="dxa"/>
            <w:gridSpan w:val="2"/>
          </w:tcPr>
          <w:p w:rsidR="00CF1FB0" w:rsidRDefault="00CF1FB0" w:rsidP="001A1269">
            <w:pPr>
              <w:jc w:val="both"/>
              <w:rPr>
                <w:rStyle w:val="Emphasis"/>
                <w:rFonts w:ascii="Arial" w:hAnsi="Arial" w:cs="Arial"/>
                <w:i w:val="0"/>
              </w:rPr>
            </w:pPr>
          </w:p>
          <w:p w:rsidR="00541CB9" w:rsidRPr="001A1269" w:rsidRDefault="00EA6CE6" w:rsidP="001A1269">
            <w:pPr>
              <w:jc w:val="both"/>
              <w:rPr>
                <w:rStyle w:val="Emphasis"/>
                <w:rFonts w:ascii="Arial" w:hAnsi="Arial" w:cs="Arial"/>
                <w:i w:val="0"/>
              </w:rPr>
            </w:pPr>
            <w:r w:rsidRPr="001A1269">
              <w:rPr>
                <w:rStyle w:val="Emphasis"/>
                <w:rFonts w:ascii="Arial" w:hAnsi="Arial" w:cs="Arial"/>
                <w:i w:val="0"/>
              </w:rPr>
              <w:t>I</w:t>
            </w:r>
            <w:r w:rsidR="00541CB9" w:rsidRPr="001A1269">
              <w:rPr>
                <w:rStyle w:val="Emphasis"/>
                <w:rFonts w:ascii="Arial" w:hAnsi="Arial" w:cs="Arial"/>
                <w:i w:val="0"/>
              </w:rPr>
              <w:t>nternetsko savjetovanje sa zainteresiranom javnošć</w:t>
            </w:r>
            <w:r w:rsidR="001A1269" w:rsidRPr="001A1269">
              <w:rPr>
                <w:rStyle w:val="Emphasis"/>
                <w:rFonts w:ascii="Arial" w:hAnsi="Arial" w:cs="Arial"/>
                <w:i w:val="0"/>
              </w:rPr>
              <w:t xml:space="preserve">u provedeno je u razdoblju od 23. prosinca 2022.g. do </w:t>
            </w:r>
            <w:r w:rsidR="00541CB9" w:rsidRPr="001A1269">
              <w:rPr>
                <w:rStyle w:val="Emphasis"/>
                <w:rFonts w:ascii="Arial" w:hAnsi="Arial" w:cs="Arial"/>
                <w:i w:val="0"/>
              </w:rPr>
              <w:t xml:space="preserve"> </w:t>
            </w:r>
            <w:r w:rsidR="001A1269" w:rsidRPr="001A1269">
              <w:rPr>
                <w:rStyle w:val="Emphasis"/>
                <w:rFonts w:ascii="Arial" w:hAnsi="Arial" w:cs="Arial"/>
                <w:i w:val="0"/>
              </w:rPr>
              <w:t>22. siječnja 2023.g.</w:t>
            </w:r>
            <w:r w:rsidR="001A1269">
              <w:rPr>
                <w:rStyle w:val="Emphasis"/>
                <w:rFonts w:ascii="Arial" w:hAnsi="Arial" w:cs="Arial"/>
                <w:i w:val="0"/>
              </w:rPr>
              <w:t xml:space="preserve"> do 12:00 sati.</w:t>
            </w:r>
          </w:p>
          <w:p w:rsidR="001F1775" w:rsidRPr="001A1269" w:rsidRDefault="001F1775" w:rsidP="001A1269">
            <w:pPr>
              <w:pStyle w:val="xxmsonormal"/>
              <w:jc w:val="both"/>
              <w:rPr>
                <w:rFonts w:ascii="Arial" w:hAnsi="Arial" w:cs="Arial"/>
              </w:rPr>
            </w:pPr>
          </w:p>
        </w:tc>
      </w:tr>
      <w:tr w:rsidR="001F1775" w:rsidRPr="00EA6CE6" w:rsidTr="00A97D85">
        <w:tc>
          <w:tcPr>
            <w:tcW w:w="3114" w:type="dxa"/>
          </w:tcPr>
          <w:p w:rsidR="001F1775" w:rsidRPr="00EA6CE6" w:rsidRDefault="001F1775" w:rsidP="00576DF1">
            <w:pPr>
              <w:rPr>
                <w:rFonts w:ascii="Arial" w:hAnsi="Arial" w:cs="Arial"/>
              </w:rPr>
            </w:pPr>
          </w:p>
          <w:p w:rsidR="00EA6CE6" w:rsidRPr="00EA6CE6" w:rsidRDefault="00EA6CE6" w:rsidP="00576DF1">
            <w:pPr>
              <w:rPr>
                <w:rFonts w:ascii="Arial" w:hAnsi="Arial" w:cs="Arial"/>
                <w:b/>
              </w:rPr>
            </w:pPr>
            <w:r w:rsidRPr="00EA6CE6">
              <w:rPr>
                <w:rFonts w:ascii="Arial" w:hAnsi="Arial" w:cs="Arial"/>
                <w:b/>
              </w:rPr>
              <w:t>Pregled osnovnih pokazatelja uključenosti savjetovanja s javnošću</w:t>
            </w:r>
          </w:p>
          <w:p w:rsidR="00EA6CE6" w:rsidRPr="00EA6CE6" w:rsidRDefault="00EA6CE6" w:rsidP="00576DF1">
            <w:pPr>
              <w:rPr>
                <w:rFonts w:ascii="Arial" w:hAnsi="Arial" w:cs="Arial"/>
              </w:rPr>
            </w:pPr>
          </w:p>
        </w:tc>
        <w:tc>
          <w:tcPr>
            <w:tcW w:w="5902" w:type="dxa"/>
            <w:gridSpan w:val="2"/>
          </w:tcPr>
          <w:p w:rsidR="001F1775" w:rsidRPr="001A1269" w:rsidRDefault="001F1775" w:rsidP="001A1269">
            <w:pPr>
              <w:jc w:val="both"/>
              <w:rPr>
                <w:rFonts w:ascii="Arial" w:hAnsi="Arial" w:cs="Arial"/>
              </w:rPr>
            </w:pPr>
          </w:p>
          <w:p w:rsidR="00EA6CE6" w:rsidRDefault="001A1269" w:rsidP="001A1269">
            <w:pPr>
              <w:jc w:val="both"/>
              <w:rPr>
                <w:rFonts w:ascii="Arial" w:hAnsi="Arial" w:cs="Arial"/>
              </w:rPr>
            </w:pPr>
            <w:r>
              <w:rPr>
                <w:rFonts w:ascii="Arial" w:hAnsi="Arial" w:cs="Arial"/>
              </w:rPr>
              <w:t>Tijekom gore navedenog perioda tj. unutar ostavljenog roka za dostavu prijedloga i mišljenja na nact dokumenta nije pristigao niti jedan prijedlog/mišljenje.</w:t>
            </w:r>
          </w:p>
          <w:p w:rsidR="001A1269" w:rsidRDefault="001A1269" w:rsidP="001A1269">
            <w:pPr>
              <w:jc w:val="both"/>
              <w:rPr>
                <w:rFonts w:ascii="Arial" w:hAnsi="Arial" w:cs="Arial"/>
              </w:rPr>
            </w:pPr>
          </w:p>
          <w:p w:rsidR="001A1269" w:rsidRPr="001A1269" w:rsidRDefault="001A1269" w:rsidP="001A1269">
            <w:pPr>
              <w:jc w:val="both"/>
              <w:rPr>
                <w:rFonts w:ascii="Arial" w:hAnsi="Arial" w:cs="Arial"/>
              </w:rPr>
            </w:pPr>
            <w:r>
              <w:rPr>
                <w:rFonts w:ascii="Arial" w:hAnsi="Arial" w:cs="Arial"/>
              </w:rPr>
              <w:lastRenderedPageBreak/>
              <w:t xml:space="preserve">Izvan perioda savjetovanja pristiglo je jedno mišljenje </w:t>
            </w:r>
            <w:r w:rsidR="006309B2">
              <w:rPr>
                <w:rFonts w:ascii="Arial" w:hAnsi="Arial" w:cs="Arial"/>
              </w:rPr>
              <w:t>na ko</w:t>
            </w:r>
            <w:r>
              <w:rPr>
                <w:rFonts w:ascii="Arial" w:hAnsi="Arial" w:cs="Arial"/>
              </w:rPr>
              <w:t xml:space="preserve">je tijelo za provedbu savjetovanja </w:t>
            </w:r>
            <w:r w:rsidR="006309B2">
              <w:rPr>
                <w:rFonts w:ascii="Arial" w:hAnsi="Arial" w:cs="Arial"/>
              </w:rPr>
              <w:t>daje u nastavku odgovor.</w:t>
            </w:r>
          </w:p>
          <w:p w:rsidR="00EA6CE6" w:rsidRPr="001A1269" w:rsidRDefault="00EA6CE6" w:rsidP="001A1269">
            <w:pPr>
              <w:jc w:val="both"/>
              <w:rPr>
                <w:rFonts w:ascii="Arial" w:hAnsi="Arial" w:cs="Arial"/>
              </w:rPr>
            </w:pPr>
          </w:p>
        </w:tc>
      </w:tr>
      <w:tr w:rsidR="00EA6CE6" w:rsidRPr="00EA6CE6" w:rsidTr="00A97D85">
        <w:tc>
          <w:tcPr>
            <w:tcW w:w="3114" w:type="dxa"/>
          </w:tcPr>
          <w:p w:rsidR="00EA6CE6" w:rsidRDefault="00EA6CE6" w:rsidP="00576DF1">
            <w:pPr>
              <w:rPr>
                <w:rFonts w:ascii="Arial" w:hAnsi="Arial" w:cs="Arial"/>
              </w:rPr>
            </w:pPr>
          </w:p>
          <w:p w:rsidR="00EA6CE6" w:rsidRPr="00EA6CE6" w:rsidRDefault="00EA6CE6" w:rsidP="00576DF1">
            <w:pPr>
              <w:rPr>
                <w:rFonts w:ascii="Arial" w:hAnsi="Arial" w:cs="Arial"/>
                <w:b/>
              </w:rPr>
            </w:pPr>
            <w:r w:rsidRPr="00EA6CE6">
              <w:rPr>
                <w:rFonts w:ascii="Arial" w:hAnsi="Arial" w:cs="Arial"/>
                <w:b/>
              </w:rPr>
              <w:t>Pregled prihvaćenih i neprihvaćenih mišljenja i prijedloga s obrazloženjem razloga za neprihvaćanje</w:t>
            </w:r>
          </w:p>
          <w:p w:rsidR="00EA6CE6" w:rsidRPr="00EA6CE6" w:rsidRDefault="00EA6CE6" w:rsidP="00576DF1">
            <w:pPr>
              <w:rPr>
                <w:rFonts w:ascii="Arial" w:hAnsi="Arial" w:cs="Arial"/>
              </w:rPr>
            </w:pPr>
          </w:p>
        </w:tc>
        <w:tc>
          <w:tcPr>
            <w:tcW w:w="5902" w:type="dxa"/>
            <w:gridSpan w:val="2"/>
          </w:tcPr>
          <w:p w:rsidR="00EA6CE6" w:rsidRDefault="00EA6CE6" w:rsidP="00576DF1">
            <w:pPr>
              <w:rPr>
                <w:rFonts w:ascii="Arial" w:hAnsi="Arial" w:cs="Arial"/>
              </w:rPr>
            </w:pPr>
          </w:p>
          <w:p w:rsidR="00EA6CE6" w:rsidRPr="00BE1568" w:rsidRDefault="00BE1568" w:rsidP="00576DF1">
            <w:pPr>
              <w:rPr>
                <w:rFonts w:ascii="Arial" w:hAnsi="Arial" w:cs="Arial"/>
              </w:rPr>
            </w:pPr>
            <w:r w:rsidRPr="00BE1568">
              <w:rPr>
                <w:rFonts w:ascii="Arial" w:hAnsi="Arial" w:cs="Arial"/>
              </w:rPr>
              <w:t>Prikazano niže</w:t>
            </w:r>
          </w:p>
        </w:tc>
      </w:tr>
      <w:tr w:rsidR="001F1775" w:rsidRPr="00EA6CE6" w:rsidTr="00A97D85">
        <w:tc>
          <w:tcPr>
            <w:tcW w:w="3114" w:type="dxa"/>
          </w:tcPr>
          <w:p w:rsidR="001F1775" w:rsidRPr="00EA6CE6" w:rsidRDefault="001F1775" w:rsidP="00576DF1">
            <w:pPr>
              <w:rPr>
                <w:rFonts w:ascii="Arial" w:hAnsi="Arial" w:cs="Arial"/>
                <w:b/>
              </w:rPr>
            </w:pPr>
            <w:r w:rsidRPr="00EA6CE6">
              <w:rPr>
                <w:rFonts w:ascii="Arial" w:hAnsi="Arial" w:cs="Arial"/>
                <w:b/>
              </w:rPr>
              <w:t>Troškovi provedenog savjetovanja</w:t>
            </w:r>
          </w:p>
        </w:tc>
        <w:tc>
          <w:tcPr>
            <w:tcW w:w="5902" w:type="dxa"/>
            <w:gridSpan w:val="2"/>
          </w:tcPr>
          <w:p w:rsidR="001F1775" w:rsidRPr="00EA6CE6" w:rsidRDefault="001F1775" w:rsidP="00576DF1">
            <w:pPr>
              <w:rPr>
                <w:rFonts w:ascii="Arial" w:hAnsi="Arial" w:cs="Arial"/>
              </w:rPr>
            </w:pPr>
            <w:r w:rsidRPr="00EA6CE6">
              <w:rPr>
                <w:rFonts w:ascii="Arial" w:hAnsi="Arial" w:cs="Arial"/>
              </w:rPr>
              <w:t>Provedba internetskog  savjetovanja nije iskazivala dodatne financijske troškove.</w:t>
            </w:r>
          </w:p>
        </w:tc>
      </w:tr>
      <w:tr w:rsidR="001F1775" w:rsidRPr="00EA6CE6" w:rsidTr="00A97D85">
        <w:tc>
          <w:tcPr>
            <w:tcW w:w="3114" w:type="dxa"/>
          </w:tcPr>
          <w:p w:rsidR="001F1775" w:rsidRPr="00FD6FFD" w:rsidRDefault="001F1775" w:rsidP="00576DF1">
            <w:pPr>
              <w:rPr>
                <w:rFonts w:ascii="Arial" w:hAnsi="Arial" w:cs="Arial"/>
                <w:b/>
              </w:rPr>
            </w:pPr>
            <w:r w:rsidRPr="00FD6FFD">
              <w:rPr>
                <w:rFonts w:ascii="Arial" w:hAnsi="Arial" w:cs="Arial"/>
                <w:b/>
              </w:rPr>
              <w:t>Tko je i kada izradio izvješće o provedenom savjetovanju?</w:t>
            </w:r>
          </w:p>
        </w:tc>
        <w:tc>
          <w:tcPr>
            <w:tcW w:w="3016" w:type="dxa"/>
          </w:tcPr>
          <w:p w:rsidR="001F1775" w:rsidRPr="00EA6CE6" w:rsidRDefault="001F1775" w:rsidP="00576DF1">
            <w:pPr>
              <w:rPr>
                <w:rFonts w:ascii="Arial" w:hAnsi="Arial" w:cs="Arial"/>
              </w:rPr>
            </w:pPr>
            <w:r w:rsidRPr="00EA6CE6">
              <w:rPr>
                <w:rFonts w:ascii="Arial" w:hAnsi="Arial" w:cs="Arial"/>
              </w:rPr>
              <w:t>Ime i prezime:</w:t>
            </w:r>
          </w:p>
          <w:p w:rsidR="001F1775" w:rsidRPr="00EA6CE6" w:rsidRDefault="00BE1568" w:rsidP="00576DF1">
            <w:pPr>
              <w:rPr>
                <w:rFonts w:ascii="Arial" w:hAnsi="Arial" w:cs="Arial"/>
              </w:rPr>
            </w:pPr>
            <w:r>
              <w:rPr>
                <w:rFonts w:ascii="Arial" w:hAnsi="Arial" w:cs="Arial"/>
              </w:rPr>
              <w:t>Marko Miljanić</w:t>
            </w:r>
          </w:p>
        </w:tc>
        <w:tc>
          <w:tcPr>
            <w:tcW w:w="2886" w:type="dxa"/>
          </w:tcPr>
          <w:p w:rsidR="001F1775" w:rsidRPr="00EA6CE6" w:rsidRDefault="001F1775" w:rsidP="00576DF1">
            <w:pPr>
              <w:rPr>
                <w:rFonts w:ascii="Arial" w:hAnsi="Arial" w:cs="Arial"/>
              </w:rPr>
            </w:pPr>
            <w:r w:rsidRPr="00EA6CE6">
              <w:rPr>
                <w:rFonts w:ascii="Arial" w:hAnsi="Arial" w:cs="Arial"/>
              </w:rPr>
              <w:t>Datum:</w:t>
            </w:r>
          </w:p>
          <w:p w:rsidR="001F1775" w:rsidRPr="00EA6CE6" w:rsidRDefault="00BE1568" w:rsidP="00576DF1">
            <w:pPr>
              <w:ind w:left="360"/>
              <w:rPr>
                <w:rFonts w:ascii="Arial" w:hAnsi="Arial" w:cs="Arial"/>
              </w:rPr>
            </w:pPr>
            <w:r>
              <w:rPr>
                <w:rFonts w:ascii="Arial" w:hAnsi="Arial" w:cs="Arial"/>
              </w:rPr>
              <w:t>23.01.2023.</w:t>
            </w:r>
          </w:p>
        </w:tc>
      </w:tr>
    </w:tbl>
    <w:p w:rsidR="001F1775" w:rsidRDefault="001F1775">
      <w:pPr>
        <w:rPr>
          <w:rFonts w:ascii="Arial" w:hAnsi="Arial" w:cs="Arial"/>
          <w:lang w:val="en-US"/>
        </w:rPr>
      </w:pPr>
    </w:p>
    <w:p w:rsidR="006309B2" w:rsidRDefault="006309B2">
      <w:pPr>
        <w:rPr>
          <w:rFonts w:ascii="Arial" w:hAnsi="Arial" w:cs="Arial"/>
          <w:lang w:val="en-US"/>
        </w:rPr>
      </w:pPr>
      <w:r>
        <w:rPr>
          <w:rFonts w:ascii="Arial" w:hAnsi="Arial" w:cs="Arial"/>
          <w:lang w:val="en-US"/>
        </w:rPr>
        <w:t>1.</w:t>
      </w:r>
    </w:p>
    <w:p w:rsidR="006309B2" w:rsidRDefault="006309B2">
      <w:pPr>
        <w:rPr>
          <w:rFonts w:ascii="Arial" w:hAnsi="Arial" w:cs="Arial"/>
          <w:lang w:val="en-US"/>
        </w:rPr>
      </w:pPr>
    </w:p>
    <w:tbl>
      <w:tblPr>
        <w:tblStyle w:val="TableGrid"/>
        <w:tblW w:w="0" w:type="auto"/>
        <w:tblLook w:val="04A0" w:firstRow="1" w:lastRow="0" w:firstColumn="1" w:lastColumn="0" w:noHBand="0" w:noVBand="1"/>
      </w:tblPr>
      <w:tblGrid>
        <w:gridCol w:w="4531"/>
        <w:gridCol w:w="4485"/>
      </w:tblGrid>
      <w:tr w:rsidR="006309B2" w:rsidRPr="00E374EF" w:rsidTr="00C476D3">
        <w:trPr>
          <w:trHeight w:val="983"/>
        </w:trPr>
        <w:tc>
          <w:tcPr>
            <w:tcW w:w="9016" w:type="dxa"/>
            <w:gridSpan w:val="2"/>
            <w:shd w:val="clear" w:color="auto" w:fill="D0CECE" w:themeFill="background2" w:themeFillShade="E6"/>
          </w:tcPr>
          <w:p w:rsidR="006309B2" w:rsidRPr="00E374EF" w:rsidRDefault="006309B2" w:rsidP="00C476D3">
            <w:pPr>
              <w:jc w:val="center"/>
              <w:rPr>
                <w:rFonts w:ascii="Arial" w:hAnsi="Arial" w:cs="Arial"/>
              </w:rPr>
            </w:pPr>
            <w:bookmarkStart w:id="0" w:name="_Hlk8207946"/>
          </w:p>
          <w:p w:rsidR="006309B2" w:rsidRPr="00E374EF" w:rsidRDefault="006309B2" w:rsidP="00C476D3">
            <w:pPr>
              <w:jc w:val="center"/>
              <w:rPr>
                <w:rFonts w:ascii="Arial" w:hAnsi="Arial" w:cs="Arial"/>
              </w:rPr>
            </w:pPr>
            <w:r w:rsidRPr="00E374EF">
              <w:rPr>
                <w:rFonts w:ascii="Arial" w:hAnsi="Arial" w:cs="Arial"/>
              </w:rPr>
              <w:t>OBRAZAC ZA SUDJELOVANJE U SAVJETOVANJU S JAVNOŠĆU</w:t>
            </w:r>
          </w:p>
          <w:p w:rsidR="006309B2" w:rsidRPr="00E374EF" w:rsidRDefault="006309B2" w:rsidP="00C476D3">
            <w:pPr>
              <w:rPr>
                <w:rFonts w:ascii="Arial" w:hAnsi="Arial" w:cs="Arial"/>
                <w:b/>
              </w:rPr>
            </w:pPr>
          </w:p>
        </w:tc>
      </w:tr>
      <w:bookmarkEnd w:id="0"/>
      <w:tr w:rsidR="006309B2" w:rsidRPr="00E374EF" w:rsidTr="00C476D3">
        <w:trPr>
          <w:trHeight w:val="881"/>
        </w:trPr>
        <w:tc>
          <w:tcPr>
            <w:tcW w:w="9016" w:type="dxa"/>
            <w:gridSpan w:val="2"/>
          </w:tcPr>
          <w:p w:rsidR="006309B2" w:rsidRPr="00E374EF" w:rsidRDefault="006309B2" w:rsidP="00C476D3">
            <w:pPr>
              <w:rPr>
                <w:rFonts w:ascii="Arial" w:hAnsi="Arial" w:cs="Arial"/>
                <w:b/>
              </w:rPr>
            </w:pPr>
            <w:r w:rsidRPr="00E374EF">
              <w:rPr>
                <w:rFonts w:ascii="Arial" w:hAnsi="Arial" w:cs="Arial"/>
                <w:b/>
              </w:rPr>
              <w:t>Naziv akta/dokumenta za koji se provodi savjetovanje:</w:t>
            </w:r>
            <w:r>
              <w:rPr>
                <w:rFonts w:ascii="Arial" w:hAnsi="Arial" w:cs="Arial"/>
                <w:b/>
              </w:rPr>
              <w:t xml:space="preserve"> </w:t>
            </w:r>
            <w:r w:rsidRPr="005626D1">
              <w:rPr>
                <w:rFonts w:ascii="Arial" w:hAnsi="Arial" w:cs="Arial"/>
                <w:bCs/>
              </w:rPr>
              <w:t>Strategija razvoja Urbanog područja Dubrovnik</w:t>
            </w:r>
          </w:p>
        </w:tc>
      </w:tr>
      <w:tr w:rsidR="006309B2" w:rsidRPr="00E374EF" w:rsidTr="00C476D3">
        <w:trPr>
          <w:trHeight w:val="983"/>
        </w:trPr>
        <w:tc>
          <w:tcPr>
            <w:tcW w:w="9016" w:type="dxa"/>
            <w:gridSpan w:val="2"/>
          </w:tcPr>
          <w:p w:rsidR="006309B2" w:rsidRPr="00E374EF" w:rsidRDefault="006309B2" w:rsidP="00C476D3">
            <w:pPr>
              <w:rPr>
                <w:rFonts w:ascii="Arial" w:hAnsi="Arial" w:cs="Arial"/>
                <w:b/>
              </w:rPr>
            </w:pPr>
            <w:r w:rsidRPr="00E374EF">
              <w:rPr>
                <w:rFonts w:ascii="Arial" w:hAnsi="Arial" w:cs="Arial"/>
                <w:b/>
              </w:rPr>
              <w:t xml:space="preserve">Nositelj izrade akta/dokumenta: </w:t>
            </w:r>
            <w:r w:rsidRPr="00E374EF">
              <w:rPr>
                <w:rFonts w:ascii="Arial" w:hAnsi="Arial" w:cs="Arial"/>
              </w:rPr>
              <w:t>Grad Dubrovnik, Upravni odjel z</w:t>
            </w:r>
            <w:r>
              <w:rPr>
                <w:rFonts w:ascii="Arial" w:hAnsi="Arial" w:cs="Arial"/>
              </w:rPr>
              <w:t>a europske fondove, regionalnu i međunarodnu suradnju</w:t>
            </w:r>
          </w:p>
        </w:tc>
      </w:tr>
      <w:tr w:rsidR="006309B2" w:rsidRPr="00E374EF" w:rsidTr="00C476D3">
        <w:tc>
          <w:tcPr>
            <w:tcW w:w="4531" w:type="dxa"/>
          </w:tcPr>
          <w:p w:rsidR="006309B2" w:rsidRPr="00E374EF" w:rsidRDefault="006309B2" w:rsidP="00C476D3">
            <w:pPr>
              <w:rPr>
                <w:rFonts w:ascii="Arial" w:hAnsi="Arial" w:cs="Arial"/>
              </w:rPr>
            </w:pPr>
            <w:r w:rsidRPr="00E374EF">
              <w:rPr>
                <w:rFonts w:ascii="Arial" w:hAnsi="Arial" w:cs="Arial"/>
                <w:b/>
              </w:rPr>
              <w:t>Početak savjetovanja:</w:t>
            </w:r>
            <w:r w:rsidRPr="00E374EF">
              <w:rPr>
                <w:rFonts w:ascii="Arial" w:hAnsi="Arial" w:cs="Arial"/>
              </w:rPr>
              <w:t xml:space="preserve"> </w:t>
            </w:r>
            <w:r>
              <w:rPr>
                <w:rFonts w:ascii="Arial" w:hAnsi="Arial" w:cs="Arial"/>
              </w:rPr>
              <w:t>23. prosinca 2022.</w:t>
            </w:r>
          </w:p>
          <w:p w:rsidR="006309B2" w:rsidRPr="00E374EF" w:rsidRDefault="006309B2" w:rsidP="00C476D3">
            <w:pPr>
              <w:rPr>
                <w:rFonts w:ascii="Arial" w:hAnsi="Arial" w:cs="Arial"/>
              </w:rPr>
            </w:pPr>
          </w:p>
        </w:tc>
        <w:tc>
          <w:tcPr>
            <w:tcW w:w="4485" w:type="dxa"/>
          </w:tcPr>
          <w:p w:rsidR="006309B2" w:rsidRPr="00E374EF" w:rsidRDefault="006309B2" w:rsidP="00C476D3">
            <w:pPr>
              <w:rPr>
                <w:rFonts w:ascii="Arial" w:hAnsi="Arial" w:cs="Arial"/>
              </w:rPr>
            </w:pPr>
            <w:r w:rsidRPr="00E374EF">
              <w:rPr>
                <w:rFonts w:ascii="Arial" w:hAnsi="Arial" w:cs="Arial"/>
                <w:b/>
              </w:rPr>
              <w:t xml:space="preserve">Završetak savjetovanja: </w:t>
            </w:r>
            <w:r w:rsidRPr="00754907">
              <w:rPr>
                <w:rFonts w:ascii="Arial" w:hAnsi="Arial" w:cs="Arial"/>
                <w:bCs/>
              </w:rPr>
              <w:t>22. siječnja 202</w:t>
            </w:r>
            <w:r>
              <w:rPr>
                <w:rFonts w:ascii="Arial" w:hAnsi="Arial" w:cs="Arial"/>
                <w:bCs/>
              </w:rPr>
              <w:t>3</w:t>
            </w:r>
            <w:r w:rsidRPr="00754907">
              <w:rPr>
                <w:rFonts w:ascii="Arial" w:hAnsi="Arial" w:cs="Arial"/>
                <w:bCs/>
              </w:rPr>
              <w:t>.</w:t>
            </w:r>
          </w:p>
        </w:tc>
      </w:tr>
      <w:tr w:rsidR="006309B2" w:rsidRPr="00E374EF" w:rsidTr="00C476D3">
        <w:tc>
          <w:tcPr>
            <w:tcW w:w="4531" w:type="dxa"/>
            <w:shd w:val="clear" w:color="auto" w:fill="E7E6E6" w:themeFill="background2"/>
          </w:tcPr>
          <w:p w:rsidR="006309B2" w:rsidRPr="00E374EF" w:rsidRDefault="006309B2" w:rsidP="00C476D3">
            <w:pPr>
              <w:rPr>
                <w:rFonts w:ascii="Arial" w:hAnsi="Arial" w:cs="Arial"/>
              </w:rPr>
            </w:pPr>
          </w:p>
          <w:p w:rsidR="006309B2" w:rsidRPr="00E374EF" w:rsidRDefault="006309B2" w:rsidP="00C476D3">
            <w:pPr>
              <w:rPr>
                <w:rFonts w:ascii="Arial" w:hAnsi="Arial" w:cs="Arial"/>
              </w:rPr>
            </w:pPr>
            <w:r w:rsidRPr="00E374EF">
              <w:rPr>
                <w:rFonts w:ascii="Arial" w:hAnsi="Arial" w:cs="Arial"/>
              </w:rPr>
              <w:t>Podnositelj prijedloga i mišljenja (ime i prezime fizičke osobe, odnosno naziv pravne osobe za koju se podnosi prijedlog/mišljenje)</w:t>
            </w:r>
          </w:p>
          <w:p w:rsidR="006309B2" w:rsidRPr="00E374EF" w:rsidRDefault="006309B2" w:rsidP="00C476D3">
            <w:pPr>
              <w:rPr>
                <w:rFonts w:ascii="Arial" w:hAnsi="Arial" w:cs="Arial"/>
              </w:rPr>
            </w:pPr>
          </w:p>
        </w:tc>
        <w:tc>
          <w:tcPr>
            <w:tcW w:w="4485" w:type="dxa"/>
            <w:shd w:val="clear" w:color="auto" w:fill="E7E6E6" w:themeFill="background2"/>
          </w:tcPr>
          <w:p w:rsidR="006309B2" w:rsidRPr="00E374EF" w:rsidRDefault="006309B2" w:rsidP="00C476D3">
            <w:pPr>
              <w:rPr>
                <w:rFonts w:ascii="Arial" w:hAnsi="Arial" w:cs="Arial"/>
              </w:rPr>
            </w:pPr>
          </w:p>
          <w:p w:rsidR="006309B2" w:rsidRPr="00E374EF" w:rsidRDefault="006309B2" w:rsidP="00C476D3">
            <w:pPr>
              <w:rPr>
                <w:rFonts w:ascii="Arial" w:hAnsi="Arial" w:cs="Arial"/>
              </w:rPr>
            </w:pPr>
            <w:r>
              <w:rPr>
                <w:rFonts w:ascii="Arial" w:hAnsi="Arial" w:cs="Arial"/>
              </w:rPr>
              <w:t>Vlaho Mozara</w:t>
            </w:r>
          </w:p>
        </w:tc>
      </w:tr>
      <w:tr w:rsidR="006309B2" w:rsidRPr="00E374EF" w:rsidTr="00C476D3">
        <w:tc>
          <w:tcPr>
            <w:tcW w:w="4531" w:type="dxa"/>
            <w:shd w:val="clear" w:color="auto" w:fill="E7E6E6" w:themeFill="background2"/>
          </w:tcPr>
          <w:p w:rsidR="006309B2" w:rsidRPr="00E374EF" w:rsidRDefault="006309B2" w:rsidP="00C476D3">
            <w:pPr>
              <w:rPr>
                <w:rFonts w:ascii="Arial" w:hAnsi="Arial" w:cs="Arial"/>
              </w:rPr>
            </w:pPr>
            <w:r w:rsidRPr="00E374EF">
              <w:rPr>
                <w:rFonts w:ascii="Arial" w:hAnsi="Arial" w:cs="Arial"/>
              </w:rPr>
              <w:t>Interes, odnosno kategorija i brojnost korisnika koje predstavlja (građani, udruge, broj članova udruge, poduzetnici…)</w:t>
            </w:r>
          </w:p>
          <w:p w:rsidR="006309B2" w:rsidRPr="00E374EF" w:rsidRDefault="006309B2" w:rsidP="00C476D3">
            <w:pPr>
              <w:rPr>
                <w:rFonts w:ascii="Arial" w:hAnsi="Arial" w:cs="Arial"/>
              </w:rPr>
            </w:pPr>
          </w:p>
        </w:tc>
        <w:tc>
          <w:tcPr>
            <w:tcW w:w="4485" w:type="dxa"/>
            <w:shd w:val="clear" w:color="auto" w:fill="E7E6E6" w:themeFill="background2"/>
          </w:tcPr>
          <w:p w:rsidR="006309B2" w:rsidRPr="00E374EF" w:rsidRDefault="006309B2" w:rsidP="00C476D3">
            <w:pPr>
              <w:pStyle w:val="xxmsonormal"/>
              <w:rPr>
                <w:rFonts w:ascii="Arial" w:hAnsi="Arial" w:cs="Arial"/>
                <w:i/>
              </w:rPr>
            </w:pPr>
          </w:p>
          <w:p w:rsidR="006309B2" w:rsidRPr="00E374EF" w:rsidRDefault="006309B2" w:rsidP="00C476D3">
            <w:pPr>
              <w:rPr>
                <w:rFonts w:ascii="Arial" w:eastAsia="Times New Roman" w:hAnsi="Arial" w:cs="Arial"/>
              </w:rPr>
            </w:pPr>
            <w:r>
              <w:rPr>
                <w:rFonts w:ascii="Arial" w:hAnsi="Arial" w:cs="Arial"/>
              </w:rPr>
              <w:t>Predstavničko tijelo JLS – svi stanovnici Općine Dubrovačko Primorje</w:t>
            </w:r>
          </w:p>
        </w:tc>
      </w:tr>
      <w:tr w:rsidR="006309B2" w:rsidRPr="00E374EF" w:rsidTr="00C476D3">
        <w:tc>
          <w:tcPr>
            <w:tcW w:w="4531" w:type="dxa"/>
            <w:shd w:val="clear" w:color="auto" w:fill="E7E6E6" w:themeFill="background2"/>
          </w:tcPr>
          <w:p w:rsidR="006309B2" w:rsidRPr="00E374EF" w:rsidRDefault="006309B2" w:rsidP="00C476D3">
            <w:pPr>
              <w:rPr>
                <w:rFonts w:ascii="Arial" w:hAnsi="Arial" w:cs="Arial"/>
              </w:rPr>
            </w:pPr>
            <w:r w:rsidRPr="00E374EF">
              <w:rPr>
                <w:rFonts w:ascii="Arial" w:hAnsi="Arial" w:cs="Arial"/>
              </w:rPr>
              <w:t>Ime i prezime osobe koja je sastavila primjedbe ili osobe ovlaštene za zastupanje pravne osobe</w:t>
            </w:r>
          </w:p>
          <w:p w:rsidR="006309B2" w:rsidRPr="00E374EF" w:rsidRDefault="006309B2" w:rsidP="00C476D3">
            <w:pPr>
              <w:rPr>
                <w:rFonts w:ascii="Arial" w:hAnsi="Arial" w:cs="Arial"/>
              </w:rPr>
            </w:pPr>
          </w:p>
        </w:tc>
        <w:tc>
          <w:tcPr>
            <w:tcW w:w="4485" w:type="dxa"/>
            <w:shd w:val="clear" w:color="auto" w:fill="E7E6E6" w:themeFill="background2"/>
          </w:tcPr>
          <w:p w:rsidR="006309B2" w:rsidRPr="00E374EF" w:rsidRDefault="006309B2" w:rsidP="00C476D3">
            <w:pPr>
              <w:rPr>
                <w:rFonts w:ascii="Arial" w:hAnsi="Arial" w:cs="Arial"/>
              </w:rPr>
            </w:pPr>
            <w:r>
              <w:rPr>
                <w:rFonts w:ascii="Arial" w:hAnsi="Arial" w:cs="Arial"/>
              </w:rPr>
              <w:t>Vlaho Mozara</w:t>
            </w:r>
          </w:p>
        </w:tc>
      </w:tr>
      <w:tr w:rsidR="006309B2" w:rsidRPr="00E374EF" w:rsidTr="00C476D3">
        <w:tc>
          <w:tcPr>
            <w:tcW w:w="4531" w:type="dxa"/>
          </w:tcPr>
          <w:p w:rsidR="006309B2" w:rsidRPr="00E374EF" w:rsidRDefault="006309B2" w:rsidP="00C476D3">
            <w:pPr>
              <w:rPr>
                <w:rFonts w:ascii="Arial" w:hAnsi="Arial" w:cs="Arial"/>
              </w:rPr>
            </w:pPr>
          </w:p>
          <w:p w:rsidR="006309B2" w:rsidRPr="00E374EF" w:rsidRDefault="006309B2" w:rsidP="00C476D3">
            <w:pPr>
              <w:rPr>
                <w:rFonts w:ascii="Arial" w:hAnsi="Arial" w:cs="Arial"/>
              </w:rPr>
            </w:pPr>
            <w:r w:rsidRPr="00E374EF">
              <w:rPr>
                <w:rFonts w:ascii="Arial" w:hAnsi="Arial" w:cs="Arial"/>
              </w:rPr>
              <w:t>Načelni prijedlozi i mišljenje na nacrt akta ili dokumenta</w:t>
            </w:r>
          </w:p>
          <w:p w:rsidR="006309B2" w:rsidRPr="00E374EF" w:rsidRDefault="006309B2" w:rsidP="00C476D3">
            <w:pPr>
              <w:rPr>
                <w:rFonts w:ascii="Arial" w:hAnsi="Arial" w:cs="Arial"/>
              </w:rPr>
            </w:pPr>
          </w:p>
          <w:p w:rsidR="006309B2" w:rsidRPr="00E374EF" w:rsidRDefault="006309B2" w:rsidP="00C476D3">
            <w:pPr>
              <w:rPr>
                <w:rFonts w:ascii="Arial" w:hAnsi="Arial" w:cs="Arial"/>
              </w:rPr>
            </w:pPr>
          </w:p>
        </w:tc>
        <w:tc>
          <w:tcPr>
            <w:tcW w:w="4485" w:type="dxa"/>
          </w:tcPr>
          <w:p w:rsidR="006309B2" w:rsidRPr="00E374EF" w:rsidRDefault="006309B2" w:rsidP="00C476D3">
            <w:pPr>
              <w:pStyle w:val="xxmsonormal"/>
              <w:rPr>
                <w:rFonts w:ascii="Arial" w:hAnsi="Arial" w:cs="Arial"/>
              </w:rPr>
            </w:pPr>
            <w:r>
              <w:rPr>
                <w:rFonts w:ascii="Arial" w:hAnsi="Arial" w:cs="Arial"/>
              </w:rPr>
              <w:t xml:space="preserve">Načelno sam zadovoljan strategijom i hvala svima koji aktivno guraju strategiju! Sljedeći prijedlog se odnosi na Općinu Dubrovačko primorje. Mjera 2.4.2 izrada sustava nadzora javnih površina u iznosu 200.000 eura. Mjerom se planira postavljanje 100 kamera za nadzor javnih površina. Općina </w:t>
            </w:r>
            <w:r>
              <w:rPr>
                <w:rFonts w:ascii="Arial" w:hAnsi="Arial" w:cs="Arial"/>
              </w:rPr>
              <w:lastRenderedPageBreak/>
              <w:t>sada ima jednu mobilnu kameru koja se ne koristi jer JLS nema ni sredstva ni kapacitete za praćenje i postupanje. Sustav od 100 kamera za ovu JLS je neodrživ, JLS neće imati sredstva za održavanje tog sustava. Bilo kakav kvar ili unapređenje sustava biti će neprenostiv financijski udar za proračun JLS. Predlažem da se ova mjera zamijeni mjerom 2.3.3 modernizacija javne rasvjete ili 2.1.2 Izgradnja ceste u Banićima u poslovnoj zoni, u iznosu 200.000e.  JLS od 1500 rasvjetnih tijela svega 10-ak % ima u štedljivoj LED izvedbi, a poslovna zona nakon 20ak godina od ustrojavanja ima zanemariv broj zakupaca. Financijski benefiti koje bi JLS ostvarila kroz uštede na javnoj rasvjeti ili ubrzanim razvojem poslovne zone mogli bi biti iskorišteni da JLS sama razvija vlastiti sustav nadzora na održivi način, kao i brojne druge benefite. Hvala!</w:t>
            </w:r>
          </w:p>
        </w:tc>
      </w:tr>
      <w:tr w:rsidR="006309B2" w:rsidRPr="00E374EF" w:rsidTr="00C476D3">
        <w:tc>
          <w:tcPr>
            <w:tcW w:w="4531" w:type="dxa"/>
          </w:tcPr>
          <w:p w:rsidR="006309B2" w:rsidRPr="00E374EF" w:rsidRDefault="006309B2" w:rsidP="00C476D3">
            <w:pPr>
              <w:rPr>
                <w:rFonts w:ascii="Arial" w:hAnsi="Arial" w:cs="Arial"/>
              </w:rPr>
            </w:pPr>
          </w:p>
          <w:p w:rsidR="006309B2" w:rsidRPr="00E374EF" w:rsidRDefault="006309B2" w:rsidP="00C476D3">
            <w:pPr>
              <w:rPr>
                <w:rFonts w:ascii="Arial" w:hAnsi="Arial" w:cs="Arial"/>
              </w:rPr>
            </w:pPr>
            <w:r w:rsidRPr="00E374EF">
              <w:rPr>
                <w:rFonts w:ascii="Arial" w:hAnsi="Arial" w:cs="Arial"/>
              </w:rPr>
              <w:t>Primjedbe na pojedine članke ili dijelove nacrta akta ili dokumenta</w:t>
            </w:r>
          </w:p>
          <w:p w:rsidR="006309B2" w:rsidRPr="00E374EF" w:rsidRDefault="006309B2" w:rsidP="00C476D3">
            <w:pPr>
              <w:rPr>
                <w:rFonts w:ascii="Arial" w:hAnsi="Arial" w:cs="Arial"/>
              </w:rPr>
            </w:pPr>
          </w:p>
          <w:p w:rsidR="006309B2" w:rsidRPr="00E374EF" w:rsidRDefault="006309B2" w:rsidP="00C476D3">
            <w:pPr>
              <w:rPr>
                <w:rFonts w:ascii="Arial" w:hAnsi="Arial" w:cs="Arial"/>
              </w:rPr>
            </w:pPr>
          </w:p>
        </w:tc>
        <w:tc>
          <w:tcPr>
            <w:tcW w:w="4485" w:type="dxa"/>
          </w:tcPr>
          <w:p w:rsidR="006309B2" w:rsidRPr="00E374EF" w:rsidRDefault="006309B2" w:rsidP="00C476D3">
            <w:pPr>
              <w:rPr>
                <w:rFonts w:ascii="Arial" w:hAnsi="Arial" w:cs="Arial"/>
              </w:rPr>
            </w:pPr>
            <w:r w:rsidRPr="00E374EF">
              <w:rPr>
                <w:rFonts w:ascii="Arial" w:hAnsi="Arial" w:cs="Arial"/>
              </w:rPr>
              <w:t xml:space="preserve"> </w:t>
            </w:r>
          </w:p>
        </w:tc>
      </w:tr>
      <w:tr w:rsidR="006309B2" w:rsidRPr="00E374EF" w:rsidTr="00C476D3">
        <w:tc>
          <w:tcPr>
            <w:tcW w:w="4531" w:type="dxa"/>
          </w:tcPr>
          <w:p w:rsidR="006309B2" w:rsidRPr="00E374EF" w:rsidRDefault="006309B2" w:rsidP="00C476D3">
            <w:pPr>
              <w:rPr>
                <w:rFonts w:ascii="Arial" w:hAnsi="Arial" w:cs="Arial"/>
              </w:rPr>
            </w:pPr>
            <w:r w:rsidRPr="00E374EF">
              <w:rPr>
                <w:rFonts w:ascii="Arial" w:hAnsi="Arial" w:cs="Arial"/>
              </w:rPr>
              <w:t>Datum dostavljanja prijedloga i mišljenja</w:t>
            </w:r>
          </w:p>
          <w:p w:rsidR="006309B2" w:rsidRPr="00E374EF" w:rsidRDefault="006309B2" w:rsidP="00C476D3">
            <w:pPr>
              <w:rPr>
                <w:rFonts w:ascii="Arial" w:hAnsi="Arial" w:cs="Arial"/>
              </w:rPr>
            </w:pPr>
          </w:p>
        </w:tc>
        <w:tc>
          <w:tcPr>
            <w:tcW w:w="4485" w:type="dxa"/>
          </w:tcPr>
          <w:p w:rsidR="006309B2" w:rsidRPr="00E374EF" w:rsidRDefault="006309B2" w:rsidP="00C476D3">
            <w:pPr>
              <w:rPr>
                <w:rFonts w:ascii="Arial" w:hAnsi="Arial" w:cs="Arial"/>
              </w:rPr>
            </w:pPr>
            <w:r>
              <w:rPr>
                <w:rFonts w:ascii="Arial" w:hAnsi="Arial" w:cs="Arial"/>
              </w:rPr>
              <w:t xml:space="preserve">22. </w:t>
            </w:r>
            <w:r w:rsidR="00CF1FB0">
              <w:rPr>
                <w:rFonts w:ascii="Arial" w:hAnsi="Arial" w:cs="Arial"/>
              </w:rPr>
              <w:t>s</w:t>
            </w:r>
            <w:r>
              <w:rPr>
                <w:rFonts w:ascii="Arial" w:hAnsi="Arial" w:cs="Arial"/>
              </w:rPr>
              <w:t>iječnja 2023. godine</w:t>
            </w:r>
          </w:p>
        </w:tc>
      </w:tr>
      <w:tr w:rsidR="006309B2" w:rsidRPr="006309B2" w:rsidTr="00C476D3">
        <w:trPr>
          <w:trHeight w:val="983"/>
        </w:trPr>
        <w:tc>
          <w:tcPr>
            <w:tcW w:w="9016" w:type="dxa"/>
            <w:gridSpan w:val="2"/>
          </w:tcPr>
          <w:p w:rsidR="006309B2" w:rsidRPr="006309B2" w:rsidRDefault="006309B2" w:rsidP="00C476D3">
            <w:pPr>
              <w:jc w:val="center"/>
              <w:rPr>
                <w:rFonts w:ascii="Arial" w:hAnsi="Arial" w:cs="Arial"/>
              </w:rPr>
            </w:pPr>
          </w:p>
          <w:p w:rsidR="006309B2" w:rsidRPr="00E90327" w:rsidRDefault="006309B2" w:rsidP="00E90327">
            <w:pPr>
              <w:shd w:val="clear" w:color="auto" w:fill="D0CECE" w:themeFill="background2" w:themeFillShade="E6"/>
              <w:rPr>
                <w:rFonts w:ascii="Arial" w:hAnsi="Arial" w:cs="Arial"/>
                <w:b/>
              </w:rPr>
            </w:pPr>
            <w:r w:rsidRPr="006309B2">
              <w:rPr>
                <w:rFonts w:ascii="Arial" w:hAnsi="Arial" w:cs="Arial"/>
                <w:b/>
              </w:rPr>
              <w:t>ODGOVOR:</w:t>
            </w:r>
          </w:p>
          <w:p w:rsidR="006309B2" w:rsidRPr="006309B2" w:rsidRDefault="00E90327" w:rsidP="006309B2">
            <w:pPr>
              <w:spacing w:before="100" w:beforeAutospacing="1" w:after="100" w:afterAutospacing="1"/>
              <w:rPr>
                <w:rFonts w:ascii="Arial" w:eastAsia="Times New Roman" w:hAnsi="Arial" w:cs="Arial"/>
              </w:rPr>
            </w:pPr>
            <w:r>
              <w:rPr>
                <w:rFonts w:ascii="Arial" w:eastAsia="Times New Roman" w:hAnsi="Arial" w:cs="Arial"/>
              </w:rPr>
              <w:t>P</w:t>
            </w:r>
            <w:r w:rsidR="006309B2" w:rsidRPr="006309B2">
              <w:rPr>
                <w:rFonts w:ascii="Arial" w:eastAsia="Times New Roman" w:hAnsi="Arial" w:cs="Arial"/>
              </w:rPr>
              <w:t xml:space="preserve">redložene mjere, odnosno projekti na koje se komentar referira dio su projekata koji se nalaze unutar Strategije razvoja Urbanog područja Dubrovnik i Akcijskog plana Strategije te se samim time predviđa njihova moguća provedba u razdoblju važenja SRUP-a. Ipak, za razliku od </w:t>
            </w:r>
            <w:r>
              <w:rPr>
                <w:rFonts w:ascii="Arial" w:eastAsia="Times New Roman" w:hAnsi="Arial" w:cs="Arial"/>
              </w:rPr>
              <w:t>I</w:t>
            </w:r>
            <w:r w:rsidR="006309B2" w:rsidRPr="006309B2">
              <w:rPr>
                <w:rFonts w:ascii="Arial" w:eastAsia="Times New Roman" w:hAnsi="Arial" w:cs="Arial"/>
              </w:rPr>
              <w:t xml:space="preserve">zrade sustava nadzora javnih površina, čija je provedba predviđena u okviru RSO5.1 - Višenamjenska infrastruktura i javne površine (168 Fizička obnova i sigurnost javnih prostora), projektima Modernizacije javne rasvjete te Izgradnje ceste u Banićima u poslovnoj zoni nisu obuhvaćene prihvatljive aktivnosti čije je financiranje moguće ostvariti u okviru provedbe Integriranog teritorijalnog programa 2021.-2027., odnosno ITU mehanizma za gradove. </w:t>
            </w:r>
            <w:r w:rsidR="006309B2" w:rsidRPr="006309B2">
              <w:rPr>
                <w:rFonts w:ascii="Arial" w:eastAsia="Times New Roman" w:hAnsi="Arial" w:cs="Arial"/>
                <w:u w:val="single"/>
              </w:rPr>
              <w:t>Samim time nije moguća zamjena navedenih mjera, odnosno projekata, a da se pritom ostvari njihovo sufinanciranje kroz ITU mehanizam.</w:t>
            </w:r>
            <w:r w:rsidR="006309B2" w:rsidRPr="006309B2">
              <w:rPr>
                <w:rFonts w:ascii="Arial" w:eastAsia="Times New Roman" w:hAnsi="Arial" w:cs="Arial"/>
              </w:rPr>
              <w:t xml:space="preserve">    </w:t>
            </w:r>
          </w:p>
          <w:p w:rsidR="006309B2" w:rsidRPr="006309B2" w:rsidRDefault="006309B2" w:rsidP="006309B2">
            <w:pPr>
              <w:spacing w:before="100" w:beforeAutospacing="1" w:after="100" w:afterAutospacing="1"/>
              <w:rPr>
                <w:rFonts w:ascii="Arial" w:eastAsia="Times New Roman" w:hAnsi="Arial" w:cs="Arial"/>
              </w:rPr>
            </w:pPr>
            <w:r w:rsidRPr="006309B2">
              <w:rPr>
                <w:rFonts w:ascii="Arial" w:eastAsia="Times New Roman" w:hAnsi="Arial" w:cs="Arial"/>
              </w:rPr>
              <w:t xml:space="preserve">Nastavno na navedeno, mjere iz nacrta SRUP-a koje se planiraju provoditi kroz ITU mehanizam moraju biti u skladu s prihvatljivim aktivnostima specifičnih ciljeva ITP-a kroz koje će se provoditi ITU mehanizam: </w:t>
            </w:r>
          </w:p>
          <w:p w:rsidR="006309B2" w:rsidRPr="006309B2" w:rsidRDefault="006309B2" w:rsidP="006309B2">
            <w:pPr>
              <w:numPr>
                <w:ilvl w:val="0"/>
                <w:numId w:val="1"/>
              </w:numPr>
              <w:spacing w:before="100" w:beforeAutospacing="1" w:after="100" w:afterAutospacing="1"/>
              <w:rPr>
                <w:rFonts w:ascii="Arial" w:eastAsia="Times New Roman" w:hAnsi="Arial" w:cs="Arial"/>
              </w:rPr>
            </w:pPr>
            <w:r w:rsidRPr="006309B2">
              <w:rPr>
                <w:rFonts w:ascii="Arial" w:eastAsia="Times New Roman" w:hAnsi="Arial" w:cs="Arial"/>
              </w:rPr>
              <w:t xml:space="preserve">Prioritet 1. Industrijska tranzicija hrvatskih regija: specifični cilj RSO1.3. Jačanje održivog rasta i konkuretnosti MSP-ova i otvaranje radnih mjesta u njima, među ostalim i kroz produktivna ulaganja; </w:t>
            </w:r>
          </w:p>
          <w:p w:rsidR="006309B2" w:rsidRPr="006309B2" w:rsidRDefault="006309B2" w:rsidP="006309B2">
            <w:pPr>
              <w:numPr>
                <w:ilvl w:val="0"/>
                <w:numId w:val="2"/>
              </w:numPr>
              <w:spacing w:before="100" w:beforeAutospacing="1" w:after="100" w:afterAutospacing="1"/>
              <w:rPr>
                <w:rFonts w:ascii="Arial" w:eastAsia="Times New Roman" w:hAnsi="Arial" w:cs="Arial"/>
              </w:rPr>
            </w:pPr>
            <w:r w:rsidRPr="006309B2">
              <w:rPr>
                <w:rFonts w:ascii="Arial" w:eastAsia="Times New Roman" w:hAnsi="Arial" w:cs="Arial"/>
              </w:rPr>
              <w:t xml:space="preserve">Prioritet 2. Jačanje zelenog, čistog, pametnog i održivog gradskog prometa u okviru integiranog teritorijalnog ulaganja u gradovima: specifični cilj RSO2.8. </w:t>
            </w:r>
            <w:r w:rsidRPr="006309B2">
              <w:rPr>
                <w:rFonts w:ascii="Arial" w:eastAsia="Times New Roman" w:hAnsi="Arial" w:cs="Arial"/>
              </w:rPr>
              <w:lastRenderedPageBreak/>
              <w:t>Promicanje održive multimodalne gradske mobilnosti kao dijela prelaska na gospodarstvo s nultom neto stopom emisija ugljika;</w:t>
            </w:r>
          </w:p>
          <w:p w:rsidR="006309B2" w:rsidRPr="006309B2" w:rsidRDefault="006309B2" w:rsidP="006309B2">
            <w:pPr>
              <w:numPr>
                <w:ilvl w:val="0"/>
                <w:numId w:val="3"/>
              </w:numPr>
              <w:spacing w:before="100" w:beforeAutospacing="1" w:after="100" w:afterAutospacing="1"/>
              <w:rPr>
                <w:rFonts w:ascii="Arial" w:eastAsia="Times New Roman" w:hAnsi="Arial" w:cs="Arial"/>
              </w:rPr>
            </w:pPr>
            <w:r w:rsidRPr="006309B2">
              <w:rPr>
                <w:rFonts w:ascii="Arial" w:eastAsia="Times New Roman" w:hAnsi="Arial" w:cs="Arial"/>
              </w:rPr>
              <w:t xml:space="preserve">Prioritet 3. Razvoj urbanih područja kao pokretača regionalnog rasta i razvoja njihovih funkcionalnih područja te razvoj održivih i zelenih otoka: specifični cilj RS05.1. Poticanje integriranog i uključivog društvenog i gospodarskog razvoja, razvoja u području okoliša, kulture, prirodne baštine, održivog turizma i sigurnosti u urbanim područjima.  </w:t>
            </w:r>
          </w:p>
          <w:p w:rsidR="006309B2" w:rsidRPr="006309B2" w:rsidRDefault="006309B2" w:rsidP="006309B2">
            <w:pPr>
              <w:rPr>
                <w:rFonts w:ascii="Arial" w:eastAsia="Times New Roman" w:hAnsi="Arial" w:cs="Arial"/>
              </w:rPr>
            </w:pPr>
          </w:p>
          <w:p w:rsidR="006309B2" w:rsidRPr="006309B2" w:rsidRDefault="006309B2" w:rsidP="006309B2">
            <w:pPr>
              <w:shd w:val="clear" w:color="auto" w:fill="D0CECE" w:themeFill="background2" w:themeFillShade="E6"/>
              <w:rPr>
                <w:rFonts w:ascii="Arial" w:hAnsi="Arial" w:cs="Arial"/>
              </w:rPr>
            </w:pPr>
          </w:p>
        </w:tc>
      </w:tr>
    </w:tbl>
    <w:p w:rsidR="006309B2" w:rsidRPr="006309B2" w:rsidRDefault="006309B2" w:rsidP="006309B2">
      <w:pPr>
        <w:rPr>
          <w:rFonts w:ascii="Arial" w:hAnsi="Arial" w:cs="Arial"/>
        </w:rPr>
      </w:pPr>
    </w:p>
    <w:p w:rsidR="006309B2" w:rsidRPr="006309B2" w:rsidRDefault="006309B2">
      <w:pPr>
        <w:rPr>
          <w:rFonts w:ascii="Arial" w:hAnsi="Arial" w:cs="Arial"/>
          <w:lang w:val="en-US"/>
        </w:rPr>
      </w:pPr>
    </w:p>
    <w:sectPr w:rsidR="006309B2" w:rsidRPr="00630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C50"/>
    <w:multiLevelType w:val="multilevel"/>
    <w:tmpl w:val="1130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C312E"/>
    <w:multiLevelType w:val="multilevel"/>
    <w:tmpl w:val="CDCA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9699E"/>
    <w:multiLevelType w:val="multilevel"/>
    <w:tmpl w:val="5C1A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547780">
    <w:abstractNumId w:val="1"/>
  </w:num>
  <w:num w:numId="2" w16cid:durableId="1033000034">
    <w:abstractNumId w:val="0"/>
  </w:num>
  <w:num w:numId="3" w16cid:durableId="2122605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75"/>
    <w:rsid w:val="00114418"/>
    <w:rsid w:val="001A1269"/>
    <w:rsid w:val="001F1775"/>
    <w:rsid w:val="003461B2"/>
    <w:rsid w:val="00541CB9"/>
    <w:rsid w:val="006309B2"/>
    <w:rsid w:val="007A5E21"/>
    <w:rsid w:val="00854F50"/>
    <w:rsid w:val="00A97D85"/>
    <w:rsid w:val="00BE1568"/>
    <w:rsid w:val="00CF1FB0"/>
    <w:rsid w:val="00E6086A"/>
    <w:rsid w:val="00E90327"/>
    <w:rsid w:val="00EA6CE6"/>
    <w:rsid w:val="00FD6F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6"/>
  <w15:chartTrackingRefBased/>
  <w15:docId w15:val="{5B1C8294-55C6-4F98-A494-B90D8CAE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5"/>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F1775"/>
    <w:rPr>
      <w:i/>
      <w:iCs/>
    </w:rPr>
  </w:style>
  <w:style w:type="paragraph" w:customStyle="1" w:styleId="xxmsonormal">
    <w:name w:val="x_xmsonormal"/>
    <w:basedOn w:val="Normal"/>
    <w:rsid w:val="001F1775"/>
    <w:pPr>
      <w:spacing w:after="0" w:line="240" w:lineRule="auto"/>
    </w:pPr>
    <w:rPr>
      <w:rFonts w:ascii="Calibri" w:hAnsi="Calibri" w:cs="Calibri"/>
      <w:lang w:eastAsia="hr-HR"/>
    </w:rPr>
  </w:style>
  <w:style w:type="paragraph" w:styleId="NormalWeb">
    <w:name w:val="Normal (Web)"/>
    <w:basedOn w:val="Normal"/>
    <w:uiPriority w:val="99"/>
    <w:semiHidden/>
    <w:unhideWhenUsed/>
    <w:rsid w:val="003461B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1A12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2422">
      <w:bodyDiv w:val="1"/>
      <w:marLeft w:val="0"/>
      <w:marRight w:val="0"/>
      <w:marTop w:val="0"/>
      <w:marBottom w:val="0"/>
      <w:divBdr>
        <w:top w:val="none" w:sz="0" w:space="0" w:color="auto"/>
        <w:left w:val="none" w:sz="0" w:space="0" w:color="auto"/>
        <w:bottom w:val="none" w:sz="0" w:space="0" w:color="auto"/>
        <w:right w:val="none" w:sz="0" w:space="0" w:color="auto"/>
      </w:divBdr>
    </w:div>
    <w:div w:id="1430924900">
      <w:bodyDiv w:val="1"/>
      <w:marLeft w:val="0"/>
      <w:marRight w:val="0"/>
      <w:marTop w:val="0"/>
      <w:marBottom w:val="0"/>
      <w:divBdr>
        <w:top w:val="none" w:sz="0" w:space="0" w:color="auto"/>
        <w:left w:val="none" w:sz="0" w:space="0" w:color="auto"/>
        <w:bottom w:val="none" w:sz="0" w:space="0" w:color="auto"/>
        <w:right w:val="none" w:sz="0" w:space="0" w:color="auto"/>
      </w:divBdr>
      <w:divsChild>
        <w:div w:id="194892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brovnik.hr/vijesti/javno-savjetovanje---strategija-razvoja-urbanog-podrucja-dubrovnik-164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Aksić Vitković</dc:creator>
  <cp:keywords/>
  <dc:description/>
  <cp:lastModifiedBy>M K</cp:lastModifiedBy>
  <cp:revision>3</cp:revision>
  <dcterms:created xsi:type="dcterms:W3CDTF">2023-01-23T13:13:00Z</dcterms:created>
  <dcterms:modified xsi:type="dcterms:W3CDTF">2023-01-23T13:15:00Z</dcterms:modified>
</cp:coreProperties>
</file>