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F5" w:rsidRDefault="00724DF5" w:rsidP="00E5357A">
      <w:pPr>
        <w:rPr>
          <w:sz w:val="22"/>
          <w:szCs w:val="22"/>
        </w:rPr>
      </w:pPr>
    </w:p>
    <w:p w:rsidR="0008439D" w:rsidRPr="0008439D" w:rsidRDefault="0008439D" w:rsidP="0008439D">
      <w:pPr>
        <w:ind w:right="4392"/>
        <w:rPr>
          <w:rFonts w:ascii="Arial" w:eastAsia="Calibri" w:hAnsi="Arial" w:cs="Arial"/>
          <w:color w:val="auto"/>
          <w:sz w:val="22"/>
          <w:szCs w:val="22"/>
          <w:lang w:eastAsia="en-US"/>
        </w:rPr>
      </w:pPr>
      <w:r w:rsidRPr="0008439D">
        <w:rPr>
          <w:rFonts w:ascii="Arial" w:eastAsia="Calibri" w:hAnsi="Arial" w:cs="Arial"/>
          <w:noProof/>
          <w:color w:val="auto"/>
          <w:sz w:val="22"/>
          <w:szCs w:val="22"/>
        </w:rPr>
        <w:drawing>
          <wp:inline distT="0" distB="0" distL="0" distR="0">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61975" cy="695325"/>
                    </a:xfrm>
                    <a:prstGeom prst="rect">
                      <a:avLst/>
                    </a:prstGeom>
                    <a:noFill/>
                    <a:ln>
                      <a:noFill/>
                    </a:ln>
                  </pic:spPr>
                </pic:pic>
              </a:graphicData>
            </a:graphic>
          </wp:inline>
        </w:drawing>
      </w:r>
    </w:p>
    <w:p w:rsidR="0008439D" w:rsidRPr="0008439D" w:rsidRDefault="0008439D" w:rsidP="0008439D">
      <w:pPr>
        <w:ind w:right="4392"/>
        <w:jc w:val="center"/>
        <w:rPr>
          <w:rFonts w:ascii="Arial" w:eastAsia="Calibri" w:hAnsi="Arial" w:cs="Arial"/>
          <w:color w:val="auto"/>
          <w:sz w:val="22"/>
          <w:szCs w:val="22"/>
          <w:lang w:eastAsia="en-US"/>
        </w:rPr>
      </w:pPr>
      <w:r w:rsidRPr="0008439D">
        <w:rPr>
          <w:rFonts w:ascii="Arial" w:eastAsia="Calibri" w:hAnsi="Arial" w:cs="Arial"/>
          <w:color w:val="auto"/>
          <w:sz w:val="22"/>
          <w:szCs w:val="22"/>
          <w:lang w:eastAsia="en-US"/>
        </w:rPr>
        <w:t>R E P U B L I K A   H R V A T S K A</w:t>
      </w:r>
    </w:p>
    <w:p w:rsidR="0008439D" w:rsidRPr="0008439D" w:rsidRDefault="0008439D" w:rsidP="0008439D">
      <w:pPr>
        <w:ind w:right="4392"/>
        <w:jc w:val="center"/>
        <w:rPr>
          <w:rFonts w:ascii="Arial" w:eastAsia="Calibri" w:hAnsi="Arial" w:cs="Arial"/>
          <w:color w:val="auto"/>
          <w:sz w:val="22"/>
          <w:szCs w:val="22"/>
          <w:lang w:eastAsia="en-US"/>
        </w:rPr>
      </w:pPr>
      <w:r w:rsidRPr="0008439D">
        <w:rPr>
          <w:rFonts w:ascii="Arial" w:eastAsia="Calibri" w:hAnsi="Arial" w:cs="Arial"/>
          <w:color w:val="auto"/>
          <w:sz w:val="22"/>
          <w:szCs w:val="22"/>
          <w:lang w:eastAsia="en-US"/>
        </w:rPr>
        <w:t>DUBROVAČKO-NERETVANSKA ŽUPANIJA</w:t>
      </w:r>
    </w:p>
    <w:p w:rsidR="0008439D" w:rsidRPr="0008439D" w:rsidRDefault="0008439D" w:rsidP="0008439D">
      <w:pPr>
        <w:ind w:right="4392"/>
        <w:rPr>
          <w:rFonts w:ascii="Arial" w:eastAsia="Calibri" w:hAnsi="Arial" w:cs="Arial"/>
          <w:b/>
          <w:color w:val="auto"/>
          <w:sz w:val="22"/>
          <w:szCs w:val="22"/>
          <w:lang w:eastAsia="en-US"/>
        </w:rPr>
      </w:pPr>
      <w:r w:rsidRPr="0008439D">
        <w:rPr>
          <w:rFonts w:ascii="Arial" w:eastAsia="Calibri" w:hAnsi="Arial" w:cs="Arial"/>
          <w:b/>
          <w:color w:val="auto"/>
          <w:sz w:val="22"/>
          <w:szCs w:val="22"/>
          <w:lang w:eastAsia="en-US"/>
        </w:rPr>
        <w:t>GRAD DUBROVNIK</w:t>
      </w:r>
    </w:p>
    <w:p w:rsidR="0008439D" w:rsidRPr="0008439D" w:rsidRDefault="0008439D" w:rsidP="0008439D">
      <w:pPr>
        <w:ind w:right="4392"/>
        <w:rPr>
          <w:rFonts w:ascii="Arial" w:eastAsia="Calibri" w:hAnsi="Arial" w:cs="Arial"/>
          <w:b/>
          <w:color w:val="auto"/>
          <w:sz w:val="22"/>
          <w:szCs w:val="22"/>
          <w:lang w:eastAsia="en-US"/>
        </w:rPr>
      </w:pPr>
    </w:p>
    <w:p w:rsidR="0008439D" w:rsidRPr="0008439D" w:rsidRDefault="0008439D" w:rsidP="0008439D">
      <w:pPr>
        <w:ind w:right="2772"/>
        <w:jc w:val="both"/>
        <w:rPr>
          <w:rFonts w:ascii="Arial" w:hAnsi="Arial" w:cs="Arial"/>
          <w:color w:val="auto"/>
          <w:sz w:val="22"/>
          <w:szCs w:val="22"/>
          <w:lang w:val="en-US"/>
        </w:rPr>
      </w:pPr>
      <w:r w:rsidRPr="0008439D">
        <w:rPr>
          <w:rFonts w:ascii="Arial" w:hAnsi="Arial" w:cs="Arial"/>
          <w:color w:val="auto"/>
          <w:sz w:val="22"/>
          <w:szCs w:val="22"/>
        </w:rPr>
        <w:t>Upravni odjel za p</w:t>
      </w:r>
      <w:r w:rsidRPr="0008439D">
        <w:rPr>
          <w:rFonts w:ascii="Arial" w:hAnsi="Arial" w:cs="Arial"/>
          <w:color w:val="auto"/>
          <w:sz w:val="22"/>
          <w:szCs w:val="22"/>
          <w:lang w:val="en-US"/>
        </w:rPr>
        <w:t>roračun, financije i naplatu</w:t>
      </w:r>
    </w:p>
    <w:p w:rsidR="00B010C2" w:rsidRPr="00B010C2" w:rsidRDefault="00B010C2" w:rsidP="00B010C2"/>
    <w:p w:rsidR="00E5357A" w:rsidRDefault="00E5357A" w:rsidP="0067301E">
      <w:pPr>
        <w:pStyle w:val="Heading1"/>
      </w:pPr>
    </w:p>
    <w:p w:rsidR="004D48FA" w:rsidRPr="009A6244" w:rsidRDefault="004D48FA" w:rsidP="0067301E">
      <w:pPr>
        <w:pStyle w:val="BodyText"/>
        <w:rPr>
          <w:rFonts w:ascii="Arial" w:hAnsi="Arial" w:cs="Arial"/>
          <w:sz w:val="22"/>
          <w:szCs w:val="22"/>
        </w:rPr>
      </w:pPr>
      <w:r w:rsidRPr="009A6244">
        <w:rPr>
          <w:rFonts w:ascii="Arial" w:hAnsi="Arial" w:cs="Arial"/>
          <w:sz w:val="22"/>
          <w:szCs w:val="22"/>
        </w:rPr>
        <w:t>Dubrovnik</w:t>
      </w:r>
      <w:r w:rsidR="00742564" w:rsidRPr="009A6244">
        <w:rPr>
          <w:rFonts w:ascii="Arial" w:hAnsi="Arial" w:cs="Arial"/>
          <w:sz w:val="22"/>
          <w:szCs w:val="22"/>
        </w:rPr>
        <w:t>,</w:t>
      </w:r>
      <w:r w:rsidR="00CA773D" w:rsidRPr="009A6244">
        <w:rPr>
          <w:rFonts w:ascii="Arial" w:hAnsi="Arial" w:cs="Arial"/>
          <w:sz w:val="22"/>
          <w:szCs w:val="22"/>
        </w:rPr>
        <w:t>4</w:t>
      </w:r>
      <w:r w:rsidR="007C49FD" w:rsidRPr="009A6244">
        <w:rPr>
          <w:rFonts w:ascii="Arial" w:hAnsi="Arial" w:cs="Arial"/>
          <w:sz w:val="22"/>
          <w:szCs w:val="22"/>
        </w:rPr>
        <w:t xml:space="preserve">. </w:t>
      </w:r>
      <w:r w:rsidR="002108BB" w:rsidRPr="009A6244">
        <w:rPr>
          <w:rFonts w:ascii="Arial" w:hAnsi="Arial" w:cs="Arial"/>
          <w:sz w:val="22"/>
          <w:szCs w:val="22"/>
        </w:rPr>
        <w:t>rujna</w:t>
      </w:r>
      <w:r w:rsidR="00FD0B6F" w:rsidRPr="009A6244">
        <w:rPr>
          <w:rFonts w:ascii="Arial" w:hAnsi="Arial" w:cs="Arial"/>
          <w:sz w:val="22"/>
          <w:szCs w:val="22"/>
        </w:rPr>
        <w:t>201</w:t>
      </w:r>
      <w:r w:rsidR="004D03E4">
        <w:rPr>
          <w:rFonts w:ascii="Arial" w:hAnsi="Arial" w:cs="Arial"/>
          <w:sz w:val="22"/>
          <w:szCs w:val="22"/>
        </w:rPr>
        <w:t>9</w:t>
      </w:r>
      <w:r w:rsidRPr="009A6244">
        <w:rPr>
          <w:rFonts w:ascii="Arial" w:hAnsi="Arial" w:cs="Arial"/>
          <w:sz w:val="22"/>
          <w:szCs w:val="22"/>
        </w:rPr>
        <w:t>. godine</w:t>
      </w:r>
    </w:p>
    <w:p w:rsidR="004D48FA" w:rsidRPr="009A6244" w:rsidRDefault="004D48FA">
      <w:pPr>
        <w:rPr>
          <w:rFonts w:ascii="Arial" w:hAnsi="Arial" w:cs="Arial"/>
          <w:sz w:val="22"/>
          <w:szCs w:val="22"/>
        </w:rPr>
      </w:pPr>
    </w:p>
    <w:p w:rsidR="00A015EA" w:rsidRPr="009A6244" w:rsidRDefault="00A015EA">
      <w:pPr>
        <w:rPr>
          <w:rFonts w:ascii="Arial" w:hAnsi="Arial" w:cs="Arial"/>
          <w:sz w:val="22"/>
          <w:szCs w:val="22"/>
        </w:rPr>
      </w:pPr>
    </w:p>
    <w:p w:rsidR="00C07C4B" w:rsidRPr="009A6244" w:rsidRDefault="00692DC5">
      <w:pPr>
        <w:pStyle w:val="Heading5"/>
        <w:rPr>
          <w:rFonts w:ascii="Arial" w:hAnsi="Arial" w:cs="Arial"/>
          <w:sz w:val="22"/>
          <w:szCs w:val="22"/>
        </w:rPr>
      </w:pPr>
      <w:r w:rsidRPr="009A6244">
        <w:rPr>
          <w:rFonts w:ascii="Arial" w:hAnsi="Arial" w:cs="Arial"/>
          <w:sz w:val="22"/>
          <w:szCs w:val="22"/>
        </w:rPr>
        <w:t xml:space="preserve">OBRAZLOŽENJE </w:t>
      </w:r>
      <w:r w:rsidR="00122F88" w:rsidRPr="009A6244">
        <w:rPr>
          <w:rFonts w:ascii="Arial" w:hAnsi="Arial" w:cs="Arial"/>
          <w:sz w:val="22"/>
          <w:szCs w:val="22"/>
        </w:rPr>
        <w:t xml:space="preserve">OSTVARENJA PRIHODA I PRIMITAKA, RASHODA I </w:t>
      </w:r>
    </w:p>
    <w:p w:rsidR="00C07C4B" w:rsidRPr="009A6244" w:rsidRDefault="00C07C4B" w:rsidP="00C07C4B">
      <w:pPr>
        <w:rPr>
          <w:rFonts w:ascii="Arial" w:hAnsi="Arial" w:cs="Arial"/>
          <w:sz w:val="22"/>
          <w:szCs w:val="22"/>
        </w:rPr>
      </w:pPr>
    </w:p>
    <w:p w:rsidR="008E0A02" w:rsidRPr="009A6244" w:rsidRDefault="00122F88">
      <w:pPr>
        <w:pStyle w:val="Heading5"/>
        <w:rPr>
          <w:rFonts w:ascii="Arial" w:hAnsi="Arial" w:cs="Arial"/>
          <w:sz w:val="22"/>
          <w:szCs w:val="22"/>
        </w:rPr>
      </w:pPr>
      <w:r w:rsidRPr="009A6244">
        <w:rPr>
          <w:rFonts w:ascii="Arial" w:hAnsi="Arial" w:cs="Arial"/>
          <w:sz w:val="22"/>
          <w:szCs w:val="22"/>
        </w:rPr>
        <w:t xml:space="preserve">IZDATAKA  </w:t>
      </w:r>
      <w:r w:rsidR="00692DC5" w:rsidRPr="009A6244">
        <w:rPr>
          <w:rFonts w:ascii="Arial" w:hAnsi="Arial" w:cs="Arial"/>
          <w:sz w:val="22"/>
          <w:szCs w:val="22"/>
        </w:rPr>
        <w:t>PRORAČUNA GRADA DUBROVNIKA ZA</w:t>
      </w:r>
    </w:p>
    <w:p w:rsidR="00C07C4B" w:rsidRPr="009A6244" w:rsidRDefault="00C07C4B" w:rsidP="00C07C4B">
      <w:pPr>
        <w:rPr>
          <w:rFonts w:ascii="Arial" w:hAnsi="Arial" w:cs="Arial"/>
          <w:sz w:val="22"/>
          <w:szCs w:val="22"/>
        </w:rPr>
      </w:pPr>
    </w:p>
    <w:p w:rsidR="004D48FA" w:rsidRPr="009A6244" w:rsidRDefault="0015570A">
      <w:pPr>
        <w:pStyle w:val="Heading5"/>
        <w:rPr>
          <w:rFonts w:ascii="Arial" w:hAnsi="Arial" w:cs="Arial"/>
          <w:sz w:val="22"/>
          <w:szCs w:val="22"/>
        </w:rPr>
      </w:pPr>
      <w:r w:rsidRPr="009A6244">
        <w:rPr>
          <w:rFonts w:ascii="Arial" w:hAnsi="Arial" w:cs="Arial"/>
          <w:sz w:val="22"/>
          <w:szCs w:val="22"/>
        </w:rPr>
        <w:t xml:space="preserve">RAZDOBLJE SIJEČANJ – LIPANJ </w:t>
      </w:r>
      <w:r w:rsidR="00692DC5" w:rsidRPr="009A6244">
        <w:rPr>
          <w:rFonts w:ascii="Arial" w:hAnsi="Arial" w:cs="Arial"/>
          <w:sz w:val="22"/>
          <w:szCs w:val="22"/>
        </w:rPr>
        <w:t xml:space="preserve"> 20</w:t>
      </w:r>
      <w:r w:rsidR="00303EE9" w:rsidRPr="009A6244">
        <w:rPr>
          <w:rFonts w:ascii="Arial" w:hAnsi="Arial" w:cs="Arial"/>
          <w:sz w:val="22"/>
          <w:szCs w:val="22"/>
        </w:rPr>
        <w:t>1</w:t>
      </w:r>
      <w:r w:rsidR="00454557">
        <w:rPr>
          <w:rFonts w:ascii="Arial" w:hAnsi="Arial" w:cs="Arial"/>
          <w:sz w:val="22"/>
          <w:szCs w:val="22"/>
        </w:rPr>
        <w:t>9</w:t>
      </w:r>
      <w:r w:rsidR="00692DC5" w:rsidRPr="009A6244">
        <w:rPr>
          <w:rFonts w:ascii="Arial" w:hAnsi="Arial" w:cs="Arial"/>
          <w:sz w:val="22"/>
          <w:szCs w:val="22"/>
        </w:rPr>
        <w:t>. GODINE</w:t>
      </w:r>
    </w:p>
    <w:p w:rsidR="0055454C" w:rsidRPr="009A6244" w:rsidRDefault="0055454C" w:rsidP="0055454C">
      <w:pPr>
        <w:rPr>
          <w:rFonts w:ascii="Arial" w:hAnsi="Arial" w:cs="Arial"/>
          <w:sz w:val="22"/>
          <w:szCs w:val="22"/>
        </w:rPr>
      </w:pPr>
    </w:p>
    <w:p w:rsidR="004D48FA" w:rsidRPr="009A6244" w:rsidRDefault="004D48FA">
      <w:pPr>
        <w:rPr>
          <w:rFonts w:ascii="Arial" w:hAnsi="Arial" w:cs="Arial"/>
          <w:sz w:val="22"/>
          <w:szCs w:val="22"/>
        </w:rPr>
      </w:pPr>
    </w:p>
    <w:p w:rsidR="0055454C" w:rsidRDefault="009307B3">
      <w:pPr>
        <w:rPr>
          <w:rFonts w:ascii="Arial" w:hAnsi="Arial" w:cs="Arial"/>
          <w:b/>
          <w:sz w:val="22"/>
          <w:szCs w:val="22"/>
          <w:u w:val="single"/>
        </w:rPr>
      </w:pPr>
      <w:r w:rsidRPr="009A6244">
        <w:rPr>
          <w:rFonts w:ascii="Arial" w:hAnsi="Arial" w:cs="Arial"/>
          <w:sz w:val="22"/>
          <w:szCs w:val="22"/>
        </w:rPr>
        <w:tab/>
      </w:r>
      <w:r w:rsidRPr="009A6244">
        <w:rPr>
          <w:rFonts w:ascii="Arial" w:hAnsi="Arial" w:cs="Arial"/>
          <w:b/>
          <w:sz w:val="22"/>
          <w:szCs w:val="22"/>
          <w:u w:val="single"/>
        </w:rPr>
        <w:t>I   UVOD</w:t>
      </w:r>
    </w:p>
    <w:p w:rsidR="00C5489E" w:rsidRPr="009A6244" w:rsidRDefault="00C5489E">
      <w:pPr>
        <w:rPr>
          <w:rFonts w:ascii="Arial" w:hAnsi="Arial" w:cs="Arial"/>
          <w:b/>
          <w:sz w:val="22"/>
          <w:szCs w:val="22"/>
          <w:u w:val="single"/>
        </w:rPr>
      </w:pPr>
    </w:p>
    <w:p w:rsidR="00835424" w:rsidRPr="009A6244" w:rsidRDefault="00835424">
      <w:pPr>
        <w:rPr>
          <w:rFonts w:ascii="Arial" w:hAnsi="Arial" w:cs="Arial"/>
          <w:sz w:val="22"/>
          <w:szCs w:val="22"/>
        </w:rPr>
      </w:pPr>
    </w:p>
    <w:p w:rsidR="00712A7D" w:rsidRPr="009A6244" w:rsidRDefault="004D48FA" w:rsidP="00962A89">
      <w:pPr>
        <w:pStyle w:val="BodyText"/>
        <w:rPr>
          <w:rFonts w:ascii="Arial" w:hAnsi="Arial" w:cs="Arial"/>
          <w:sz w:val="22"/>
          <w:szCs w:val="22"/>
        </w:rPr>
      </w:pPr>
      <w:r w:rsidRPr="009A6244">
        <w:rPr>
          <w:rFonts w:ascii="Arial" w:hAnsi="Arial" w:cs="Arial"/>
          <w:sz w:val="22"/>
          <w:szCs w:val="22"/>
        </w:rPr>
        <w:t>Zakonom propisani temeljni financijski izvještaji pripremljeni su u roku i dostavljeni nadležnim institucijama</w:t>
      </w:r>
      <w:r w:rsidRPr="009A6244">
        <w:rPr>
          <w:rStyle w:val="FootnoteReference"/>
          <w:rFonts w:ascii="Arial" w:hAnsi="Arial" w:cs="Arial"/>
          <w:sz w:val="22"/>
          <w:szCs w:val="22"/>
        </w:rPr>
        <w:footnoteReference w:id="2"/>
      </w:r>
      <w:r w:rsidRPr="009A6244">
        <w:rPr>
          <w:rFonts w:ascii="Arial" w:hAnsi="Arial" w:cs="Arial"/>
          <w:sz w:val="22"/>
          <w:szCs w:val="22"/>
        </w:rPr>
        <w:t>. Oni sadrže sustavno prikazane standardne informacije</w:t>
      </w:r>
      <w:r w:rsidR="00E00039" w:rsidRPr="009A6244">
        <w:rPr>
          <w:rFonts w:ascii="Arial" w:hAnsi="Arial" w:cs="Arial"/>
          <w:sz w:val="22"/>
          <w:szCs w:val="22"/>
        </w:rPr>
        <w:t>,</w:t>
      </w:r>
      <w:r w:rsidRPr="009A6244">
        <w:rPr>
          <w:rFonts w:ascii="Arial" w:hAnsi="Arial" w:cs="Arial"/>
          <w:sz w:val="22"/>
          <w:szCs w:val="22"/>
        </w:rPr>
        <w:t xml:space="preserve"> a mi ih </w:t>
      </w:r>
      <w:r w:rsidR="007357F8" w:rsidRPr="009A6244">
        <w:rPr>
          <w:rFonts w:ascii="Arial" w:hAnsi="Arial" w:cs="Arial"/>
          <w:sz w:val="22"/>
          <w:szCs w:val="22"/>
        </w:rPr>
        <w:t>obrazloženjem</w:t>
      </w:r>
      <w:r w:rsidRPr="009A6244">
        <w:rPr>
          <w:rFonts w:ascii="Arial" w:hAnsi="Arial" w:cs="Arial"/>
          <w:sz w:val="22"/>
          <w:szCs w:val="22"/>
        </w:rPr>
        <w:t xml:space="preserve"> nastojimo nadopuniti kako bi pojasnili ostvarenje proračuna. </w:t>
      </w:r>
      <w:r w:rsidR="00974153" w:rsidRPr="009A6244">
        <w:rPr>
          <w:rFonts w:ascii="Arial" w:hAnsi="Arial" w:cs="Arial"/>
          <w:sz w:val="22"/>
          <w:szCs w:val="22"/>
        </w:rPr>
        <w:t>U ovom</w:t>
      </w:r>
      <w:r w:rsidR="00D865BF" w:rsidRPr="009A6244">
        <w:rPr>
          <w:rFonts w:ascii="Arial" w:hAnsi="Arial" w:cs="Arial"/>
          <w:sz w:val="22"/>
          <w:szCs w:val="22"/>
        </w:rPr>
        <w:t>polugodišnje</w:t>
      </w:r>
      <w:r w:rsidR="00974153" w:rsidRPr="009A6244">
        <w:rPr>
          <w:rFonts w:ascii="Arial" w:hAnsi="Arial" w:cs="Arial"/>
          <w:sz w:val="22"/>
          <w:szCs w:val="22"/>
        </w:rPr>
        <w:t>m</w:t>
      </w:r>
      <w:r w:rsidR="00D865BF" w:rsidRPr="009A6244">
        <w:rPr>
          <w:rFonts w:ascii="Arial" w:hAnsi="Arial" w:cs="Arial"/>
          <w:sz w:val="22"/>
          <w:szCs w:val="22"/>
        </w:rPr>
        <w:t xml:space="preserve"> obrazloženj</w:t>
      </w:r>
      <w:r w:rsidR="00974153" w:rsidRPr="009A6244">
        <w:rPr>
          <w:rFonts w:ascii="Arial" w:hAnsi="Arial" w:cs="Arial"/>
          <w:sz w:val="22"/>
          <w:szCs w:val="22"/>
        </w:rPr>
        <w:t>uprikazujemo objedinjene prihode i primitke, odnosno rashode i izdatke Grada Dubrovnika i svih njegovih proračunskih korisnika</w:t>
      </w:r>
      <w:r w:rsidR="00904C09" w:rsidRPr="009A6244">
        <w:rPr>
          <w:rFonts w:ascii="Arial" w:hAnsi="Arial" w:cs="Arial"/>
          <w:sz w:val="22"/>
          <w:szCs w:val="22"/>
        </w:rPr>
        <w:t>.</w:t>
      </w:r>
    </w:p>
    <w:p w:rsidR="006749D2" w:rsidRPr="009A6244" w:rsidRDefault="006749D2" w:rsidP="00C07C4B">
      <w:pPr>
        <w:pStyle w:val="BodyText"/>
        <w:ind w:firstLine="708"/>
        <w:rPr>
          <w:rFonts w:ascii="Arial" w:hAnsi="Arial" w:cs="Arial"/>
          <w:sz w:val="22"/>
          <w:szCs w:val="22"/>
        </w:rPr>
      </w:pPr>
    </w:p>
    <w:p w:rsidR="000C0CF3" w:rsidRPr="009A6244" w:rsidRDefault="00904C09" w:rsidP="00962A89">
      <w:pPr>
        <w:pStyle w:val="BodyText"/>
        <w:rPr>
          <w:rFonts w:ascii="Arial" w:hAnsi="Arial" w:cs="Arial"/>
          <w:sz w:val="22"/>
          <w:szCs w:val="22"/>
        </w:rPr>
      </w:pPr>
      <w:r w:rsidRPr="009A6244">
        <w:rPr>
          <w:rFonts w:ascii="Arial" w:hAnsi="Arial" w:cs="Arial"/>
          <w:sz w:val="22"/>
          <w:szCs w:val="22"/>
        </w:rPr>
        <w:t>Izgled</w:t>
      </w:r>
      <w:r w:rsidR="009A6244">
        <w:rPr>
          <w:rFonts w:ascii="Arial" w:hAnsi="Arial" w:cs="Arial"/>
          <w:sz w:val="22"/>
          <w:szCs w:val="22"/>
        </w:rPr>
        <w:t xml:space="preserve"> i</w:t>
      </w:r>
      <w:r w:rsidRPr="009A6244">
        <w:rPr>
          <w:rFonts w:ascii="Arial" w:hAnsi="Arial" w:cs="Arial"/>
          <w:sz w:val="22"/>
          <w:szCs w:val="22"/>
        </w:rPr>
        <w:t xml:space="preserve"> parametri izvještaja regulirani su Pravilnikom o polugodišnjem i godišnjem izvještaju o izvršenju proračuna (NN br. 24/13 i 102/17)</w:t>
      </w:r>
      <w:r w:rsidR="00320A7A">
        <w:rPr>
          <w:rFonts w:ascii="Arial" w:hAnsi="Arial" w:cs="Arial"/>
          <w:sz w:val="22"/>
          <w:szCs w:val="22"/>
        </w:rPr>
        <w:t>.</w:t>
      </w:r>
    </w:p>
    <w:p w:rsidR="000C0CF3" w:rsidRPr="009A6244" w:rsidRDefault="000C0CF3" w:rsidP="00C07C4B">
      <w:pPr>
        <w:pStyle w:val="BodyText"/>
        <w:ind w:firstLine="708"/>
        <w:rPr>
          <w:rFonts w:ascii="Arial" w:hAnsi="Arial" w:cs="Arial"/>
          <w:sz w:val="22"/>
          <w:szCs w:val="22"/>
        </w:rPr>
      </w:pPr>
    </w:p>
    <w:p w:rsidR="00EA547D" w:rsidRPr="009A6244" w:rsidRDefault="006E1446" w:rsidP="00962A89">
      <w:pPr>
        <w:pStyle w:val="BodyText"/>
        <w:rPr>
          <w:rFonts w:ascii="Arial" w:hAnsi="Arial" w:cs="Arial"/>
          <w:sz w:val="22"/>
          <w:szCs w:val="22"/>
        </w:rPr>
      </w:pPr>
      <w:r w:rsidRPr="009A6244">
        <w:rPr>
          <w:rFonts w:ascii="Arial" w:hAnsi="Arial" w:cs="Arial"/>
          <w:sz w:val="22"/>
          <w:szCs w:val="22"/>
        </w:rPr>
        <w:t xml:space="preserve">Ukupni  prihodi i primici za </w:t>
      </w:r>
      <w:r w:rsidR="00924949" w:rsidRPr="009A6244">
        <w:rPr>
          <w:rFonts w:ascii="Arial" w:hAnsi="Arial" w:cs="Arial"/>
          <w:sz w:val="22"/>
          <w:szCs w:val="22"/>
        </w:rPr>
        <w:t>201</w:t>
      </w:r>
      <w:r w:rsidR="00962A89">
        <w:rPr>
          <w:rFonts w:ascii="Arial" w:hAnsi="Arial" w:cs="Arial"/>
          <w:sz w:val="22"/>
          <w:szCs w:val="22"/>
        </w:rPr>
        <w:t>9</w:t>
      </w:r>
      <w:r w:rsidR="00924949" w:rsidRPr="009A6244">
        <w:rPr>
          <w:rFonts w:ascii="Arial" w:hAnsi="Arial" w:cs="Arial"/>
          <w:sz w:val="22"/>
          <w:szCs w:val="22"/>
        </w:rPr>
        <w:t xml:space="preserve">. godine </w:t>
      </w:r>
      <w:r w:rsidRPr="009A6244">
        <w:rPr>
          <w:rFonts w:ascii="Arial" w:hAnsi="Arial" w:cs="Arial"/>
          <w:sz w:val="22"/>
          <w:szCs w:val="22"/>
        </w:rPr>
        <w:t>planirani</w:t>
      </w:r>
      <w:r w:rsidR="00AB0E63">
        <w:rPr>
          <w:rFonts w:ascii="Arial" w:hAnsi="Arial" w:cs="Arial"/>
          <w:sz w:val="22"/>
          <w:szCs w:val="22"/>
        </w:rPr>
        <w:t xml:space="preserve"> su</w:t>
      </w:r>
      <w:r w:rsidR="004834EB" w:rsidRPr="009A6244">
        <w:rPr>
          <w:rFonts w:ascii="Arial" w:hAnsi="Arial" w:cs="Arial"/>
          <w:sz w:val="22"/>
          <w:szCs w:val="22"/>
        </w:rPr>
        <w:t xml:space="preserve"> u proračunu za 201</w:t>
      </w:r>
      <w:r w:rsidR="00962A89">
        <w:rPr>
          <w:rFonts w:ascii="Arial" w:hAnsi="Arial" w:cs="Arial"/>
          <w:sz w:val="22"/>
          <w:szCs w:val="22"/>
        </w:rPr>
        <w:t>9</w:t>
      </w:r>
      <w:r w:rsidR="00CD6CDC">
        <w:rPr>
          <w:rFonts w:ascii="Arial" w:hAnsi="Arial" w:cs="Arial"/>
          <w:sz w:val="22"/>
          <w:szCs w:val="22"/>
        </w:rPr>
        <w:t>.</w:t>
      </w:r>
      <w:r w:rsidRPr="009A6244">
        <w:rPr>
          <w:rFonts w:ascii="Arial" w:hAnsi="Arial" w:cs="Arial"/>
          <w:sz w:val="22"/>
          <w:szCs w:val="22"/>
        </w:rPr>
        <w:t xml:space="preserve"> u iznosu od </w:t>
      </w:r>
      <w:r w:rsidR="00AB0E63">
        <w:rPr>
          <w:rFonts w:ascii="Arial" w:hAnsi="Arial" w:cs="Arial"/>
          <w:b/>
          <w:sz w:val="22"/>
          <w:szCs w:val="22"/>
        </w:rPr>
        <w:t>820</w:t>
      </w:r>
      <w:r w:rsidRPr="009A6244">
        <w:rPr>
          <w:rFonts w:ascii="Arial" w:hAnsi="Arial" w:cs="Arial"/>
          <w:b/>
          <w:sz w:val="22"/>
          <w:szCs w:val="22"/>
        </w:rPr>
        <w:t>.</w:t>
      </w:r>
      <w:r w:rsidR="00AB0E63">
        <w:rPr>
          <w:rFonts w:ascii="Arial" w:hAnsi="Arial" w:cs="Arial"/>
          <w:b/>
          <w:sz w:val="22"/>
          <w:szCs w:val="22"/>
        </w:rPr>
        <w:t>072</w:t>
      </w:r>
      <w:r w:rsidRPr="009A6244">
        <w:rPr>
          <w:rFonts w:ascii="Arial" w:hAnsi="Arial" w:cs="Arial"/>
          <w:b/>
          <w:sz w:val="22"/>
          <w:szCs w:val="22"/>
        </w:rPr>
        <w:t>.</w:t>
      </w:r>
      <w:r w:rsidR="00AB0E63">
        <w:rPr>
          <w:rFonts w:ascii="Arial" w:hAnsi="Arial" w:cs="Arial"/>
          <w:b/>
          <w:sz w:val="22"/>
          <w:szCs w:val="22"/>
        </w:rPr>
        <w:t>0</w:t>
      </w:r>
      <w:r w:rsidRPr="009A6244">
        <w:rPr>
          <w:rFonts w:ascii="Arial" w:hAnsi="Arial" w:cs="Arial"/>
          <w:b/>
          <w:sz w:val="22"/>
          <w:szCs w:val="22"/>
        </w:rPr>
        <w:t xml:space="preserve">00 kuna </w:t>
      </w:r>
      <w:r w:rsidR="00320A7A">
        <w:rPr>
          <w:rFonts w:ascii="Arial" w:hAnsi="Arial" w:cs="Arial"/>
          <w:sz w:val="22"/>
          <w:szCs w:val="22"/>
        </w:rPr>
        <w:t>(s</w:t>
      </w:r>
      <w:r w:rsidRPr="009A6244">
        <w:rPr>
          <w:rFonts w:ascii="Arial" w:hAnsi="Arial" w:cs="Arial"/>
          <w:sz w:val="22"/>
          <w:szCs w:val="22"/>
        </w:rPr>
        <w:t xml:space="preserve"> uključenim vlastitim i namjenskim prihodima i primicima proračunskih korisnika Grada</w:t>
      </w:r>
      <w:r w:rsidR="00EE1F2C">
        <w:rPr>
          <w:rFonts w:ascii="Arial" w:hAnsi="Arial" w:cs="Arial"/>
          <w:sz w:val="22"/>
          <w:szCs w:val="22"/>
        </w:rPr>
        <w:t>, te prenesenim viškom iz 2018 godine</w:t>
      </w:r>
      <w:r w:rsidRPr="009A6244">
        <w:rPr>
          <w:rFonts w:ascii="Arial" w:hAnsi="Arial" w:cs="Arial"/>
          <w:sz w:val="22"/>
          <w:szCs w:val="22"/>
        </w:rPr>
        <w:t>)</w:t>
      </w:r>
      <w:r w:rsidR="00924949" w:rsidRPr="009A6244">
        <w:rPr>
          <w:rFonts w:ascii="Arial" w:hAnsi="Arial" w:cs="Arial"/>
          <w:sz w:val="22"/>
          <w:szCs w:val="22"/>
        </w:rPr>
        <w:t>, a ukupni rashodi i izdaci također su bili planirani u is</w:t>
      </w:r>
      <w:r w:rsidR="00C37256" w:rsidRPr="009A6244">
        <w:rPr>
          <w:rFonts w:ascii="Arial" w:hAnsi="Arial" w:cs="Arial"/>
          <w:sz w:val="22"/>
          <w:szCs w:val="22"/>
        </w:rPr>
        <w:t>t</w:t>
      </w:r>
      <w:r w:rsidR="00924949" w:rsidRPr="009A6244">
        <w:rPr>
          <w:rFonts w:ascii="Arial" w:hAnsi="Arial" w:cs="Arial"/>
          <w:sz w:val="22"/>
          <w:szCs w:val="22"/>
        </w:rPr>
        <w:t xml:space="preserve">om iznosu od </w:t>
      </w:r>
      <w:r w:rsidR="00AB0E63">
        <w:rPr>
          <w:rFonts w:ascii="Arial" w:hAnsi="Arial" w:cs="Arial"/>
          <w:b/>
          <w:sz w:val="22"/>
          <w:szCs w:val="22"/>
        </w:rPr>
        <w:t>820</w:t>
      </w:r>
      <w:r w:rsidR="00924949" w:rsidRPr="009A6244">
        <w:rPr>
          <w:rFonts w:ascii="Arial" w:hAnsi="Arial" w:cs="Arial"/>
          <w:b/>
          <w:sz w:val="22"/>
          <w:szCs w:val="22"/>
        </w:rPr>
        <w:t>.</w:t>
      </w:r>
      <w:r w:rsidR="00AB0E63">
        <w:rPr>
          <w:rFonts w:ascii="Arial" w:hAnsi="Arial" w:cs="Arial"/>
          <w:b/>
          <w:sz w:val="22"/>
          <w:szCs w:val="22"/>
        </w:rPr>
        <w:t>072</w:t>
      </w:r>
      <w:r w:rsidR="00924949" w:rsidRPr="009A6244">
        <w:rPr>
          <w:rFonts w:ascii="Arial" w:hAnsi="Arial" w:cs="Arial"/>
          <w:b/>
          <w:sz w:val="22"/>
          <w:szCs w:val="22"/>
        </w:rPr>
        <w:t>.</w:t>
      </w:r>
      <w:r w:rsidR="00AB0E63">
        <w:rPr>
          <w:rFonts w:ascii="Arial" w:hAnsi="Arial" w:cs="Arial"/>
          <w:b/>
          <w:sz w:val="22"/>
          <w:szCs w:val="22"/>
        </w:rPr>
        <w:t>0</w:t>
      </w:r>
      <w:r w:rsidR="004834EB" w:rsidRPr="009A6244">
        <w:rPr>
          <w:rFonts w:ascii="Arial" w:hAnsi="Arial" w:cs="Arial"/>
          <w:b/>
          <w:sz w:val="22"/>
          <w:szCs w:val="22"/>
        </w:rPr>
        <w:t>00</w:t>
      </w:r>
      <w:r w:rsidR="00924949" w:rsidRPr="009A6244">
        <w:rPr>
          <w:rFonts w:ascii="Arial" w:hAnsi="Arial" w:cs="Arial"/>
          <w:b/>
          <w:sz w:val="22"/>
          <w:szCs w:val="22"/>
        </w:rPr>
        <w:t xml:space="preserve"> kuna</w:t>
      </w:r>
      <w:r w:rsidR="00924949" w:rsidRPr="009A6244">
        <w:rPr>
          <w:rFonts w:ascii="Arial" w:hAnsi="Arial" w:cs="Arial"/>
          <w:sz w:val="22"/>
          <w:szCs w:val="22"/>
        </w:rPr>
        <w:t>.</w:t>
      </w:r>
    </w:p>
    <w:p w:rsidR="00AE6BD3" w:rsidRPr="009A6244" w:rsidRDefault="00AE6BD3" w:rsidP="007454A1">
      <w:pPr>
        <w:pStyle w:val="BodyText"/>
        <w:rPr>
          <w:rFonts w:ascii="Arial" w:hAnsi="Arial" w:cs="Arial"/>
          <w:b/>
          <w:sz w:val="22"/>
          <w:szCs w:val="22"/>
        </w:rPr>
      </w:pPr>
    </w:p>
    <w:p w:rsidR="001D7D42" w:rsidRPr="009A6244" w:rsidRDefault="001D7D42" w:rsidP="00962A89">
      <w:pPr>
        <w:jc w:val="both"/>
        <w:rPr>
          <w:rFonts w:ascii="Arial" w:hAnsi="Arial" w:cs="Arial"/>
          <w:sz w:val="22"/>
          <w:szCs w:val="22"/>
        </w:rPr>
      </w:pPr>
      <w:r w:rsidRPr="009A6244">
        <w:rPr>
          <w:rFonts w:ascii="Arial" w:hAnsi="Arial" w:cs="Arial"/>
          <w:sz w:val="22"/>
          <w:szCs w:val="22"/>
        </w:rPr>
        <w:t>Prijedlog</w:t>
      </w:r>
      <w:r w:rsidR="002D167A" w:rsidRPr="009A6244">
        <w:rPr>
          <w:rFonts w:ascii="Arial" w:hAnsi="Arial" w:cs="Arial"/>
          <w:sz w:val="22"/>
          <w:szCs w:val="22"/>
        </w:rPr>
        <w:t xml:space="preserve"> posljednjih izmjena</w:t>
      </w:r>
      <w:r w:rsidRPr="009A6244">
        <w:rPr>
          <w:rFonts w:ascii="Arial" w:hAnsi="Arial" w:cs="Arial"/>
          <w:sz w:val="22"/>
          <w:szCs w:val="22"/>
        </w:rPr>
        <w:t xml:space="preserve"> P</w:t>
      </w:r>
      <w:r w:rsidR="001D5072" w:rsidRPr="009A6244">
        <w:rPr>
          <w:rFonts w:ascii="Arial" w:hAnsi="Arial" w:cs="Arial"/>
          <w:sz w:val="22"/>
          <w:szCs w:val="22"/>
        </w:rPr>
        <w:t>r</w:t>
      </w:r>
      <w:r w:rsidRPr="009A6244">
        <w:rPr>
          <w:rFonts w:ascii="Arial" w:hAnsi="Arial" w:cs="Arial"/>
          <w:sz w:val="22"/>
          <w:szCs w:val="22"/>
        </w:rPr>
        <w:t xml:space="preserve">oračuna bio </w:t>
      </w:r>
      <w:r w:rsidR="00320A7A">
        <w:rPr>
          <w:rFonts w:ascii="Arial" w:hAnsi="Arial" w:cs="Arial"/>
          <w:sz w:val="22"/>
          <w:szCs w:val="22"/>
        </w:rPr>
        <w:t xml:space="preserve">je </w:t>
      </w:r>
      <w:r w:rsidRPr="009A6244">
        <w:rPr>
          <w:rFonts w:ascii="Arial" w:hAnsi="Arial" w:cs="Arial"/>
          <w:sz w:val="22"/>
          <w:szCs w:val="22"/>
        </w:rPr>
        <w:t xml:space="preserve">usvojen na </w:t>
      </w:r>
      <w:r w:rsidR="00AB0E63">
        <w:rPr>
          <w:rFonts w:ascii="Arial" w:hAnsi="Arial" w:cs="Arial"/>
          <w:sz w:val="22"/>
          <w:szCs w:val="22"/>
        </w:rPr>
        <w:t>23</w:t>
      </w:r>
      <w:r w:rsidRPr="009A6244">
        <w:rPr>
          <w:rFonts w:ascii="Arial" w:hAnsi="Arial" w:cs="Arial"/>
          <w:sz w:val="22"/>
          <w:szCs w:val="22"/>
        </w:rPr>
        <w:t xml:space="preserve">. sjednici </w:t>
      </w:r>
      <w:r w:rsidR="002D167A" w:rsidRPr="009A6244">
        <w:rPr>
          <w:rFonts w:ascii="Arial" w:hAnsi="Arial" w:cs="Arial"/>
          <w:sz w:val="22"/>
          <w:szCs w:val="22"/>
        </w:rPr>
        <w:t>G</w:t>
      </w:r>
      <w:r w:rsidRPr="009A6244">
        <w:rPr>
          <w:rFonts w:ascii="Arial" w:hAnsi="Arial" w:cs="Arial"/>
          <w:sz w:val="22"/>
          <w:szCs w:val="22"/>
        </w:rPr>
        <w:t>radskog vijeća, te je isti objavljen</w:t>
      </w:r>
      <w:r w:rsidR="001D5072" w:rsidRPr="009A6244">
        <w:rPr>
          <w:rFonts w:ascii="Arial" w:hAnsi="Arial" w:cs="Arial"/>
          <w:sz w:val="22"/>
          <w:szCs w:val="22"/>
        </w:rPr>
        <w:t xml:space="preserve"> i stupio na snagu danom objave </w:t>
      </w:r>
      <w:r w:rsidRPr="009A6244">
        <w:rPr>
          <w:rFonts w:ascii="Arial" w:hAnsi="Arial" w:cs="Arial"/>
          <w:sz w:val="22"/>
          <w:szCs w:val="22"/>
        </w:rPr>
        <w:t xml:space="preserve"> u „Službenom glasniku Grada Dubrovnika“ broj </w:t>
      </w:r>
      <w:r w:rsidR="00AB0E63">
        <w:rPr>
          <w:rFonts w:ascii="Arial" w:hAnsi="Arial" w:cs="Arial"/>
          <w:sz w:val="22"/>
          <w:szCs w:val="22"/>
        </w:rPr>
        <w:t>8</w:t>
      </w:r>
      <w:r w:rsidRPr="009A6244">
        <w:rPr>
          <w:rFonts w:ascii="Arial" w:hAnsi="Arial" w:cs="Arial"/>
          <w:sz w:val="22"/>
          <w:szCs w:val="22"/>
        </w:rPr>
        <w:t xml:space="preserve">. od </w:t>
      </w:r>
      <w:r w:rsidR="00AB0E63">
        <w:rPr>
          <w:rFonts w:ascii="Arial" w:hAnsi="Arial" w:cs="Arial"/>
          <w:sz w:val="22"/>
          <w:szCs w:val="22"/>
        </w:rPr>
        <w:t>27</w:t>
      </w:r>
      <w:r w:rsidR="001D5072" w:rsidRPr="009A6244">
        <w:rPr>
          <w:rFonts w:ascii="Arial" w:hAnsi="Arial" w:cs="Arial"/>
          <w:sz w:val="22"/>
          <w:szCs w:val="22"/>
        </w:rPr>
        <w:t xml:space="preserve">. </w:t>
      </w:r>
      <w:r w:rsidR="00AB0E63">
        <w:rPr>
          <w:rFonts w:ascii="Arial" w:hAnsi="Arial" w:cs="Arial"/>
          <w:sz w:val="22"/>
          <w:szCs w:val="22"/>
        </w:rPr>
        <w:t>lipnja</w:t>
      </w:r>
      <w:r w:rsidR="001D5072" w:rsidRPr="009A6244">
        <w:rPr>
          <w:rFonts w:ascii="Arial" w:hAnsi="Arial" w:cs="Arial"/>
          <w:sz w:val="22"/>
          <w:szCs w:val="22"/>
        </w:rPr>
        <w:t xml:space="preserve"> 201</w:t>
      </w:r>
      <w:r w:rsidR="00AB0E63">
        <w:rPr>
          <w:rFonts w:ascii="Arial" w:hAnsi="Arial" w:cs="Arial"/>
          <w:sz w:val="22"/>
          <w:szCs w:val="22"/>
        </w:rPr>
        <w:t>9</w:t>
      </w:r>
      <w:r w:rsidR="001D5072" w:rsidRPr="009A6244">
        <w:rPr>
          <w:rFonts w:ascii="Arial" w:hAnsi="Arial" w:cs="Arial"/>
          <w:sz w:val="22"/>
          <w:szCs w:val="22"/>
        </w:rPr>
        <w:t>. godine.</w:t>
      </w:r>
      <w:r w:rsidR="00ED2FBE" w:rsidRPr="009A6244">
        <w:rPr>
          <w:rFonts w:ascii="Arial" w:hAnsi="Arial" w:cs="Arial"/>
          <w:sz w:val="22"/>
          <w:szCs w:val="22"/>
        </w:rPr>
        <w:t xml:space="preserve"> Na taj način post</w:t>
      </w:r>
      <w:r w:rsidR="00B02DAF" w:rsidRPr="009A6244">
        <w:rPr>
          <w:rFonts w:ascii="Arial" w:hAnsi="Arial" w:cs="Arial"/>
          <w:sz w:val="22"/>
          <w:szCs w:val="22"/>
        </w:rPr>
        <w:t>a</w:t>
      </w:r>
      <w:r w:rsidR="00ED2FBE" w:rsidRPr="009A6244">
        <w:rPr>
          <w:rFonts w:ascii="Arial" w:hAnsi="Arial" w:cs="Arial"/>
          <w:sz w:val="22"/>
          <w:szCs w:val="22"/>
        </w:rPr>
        <w:t xml:space="preserve">o je podloga za izradu </w:t>
      </w:r>
      <w:r w:rsidR="00B02DAF" w:rsidRPr="009A6244">
        <w:rPr>
          <w:rFonts w:ascii="Arial" w:hAnsi="Arial" w:cs="Arial"/>
          <w:sz w:val="22"/>
          <w:szCs w:val="22"/>
        </w:rPr>
        <w:t xml:space="preserve">ovog </w:t>
      </w:r>
      <w:r w:rsidR="00ED2FBE" w:rsidRPr="009A6244">
        <w:rPr>
          <w:rFonts w:ascii="Arial" w:hAnsi="Arial" w:cs="Arial"/>
          <w:sz w:val="22"/>
          <w:szCs w:val="22"/>
        </w:rPr>
        <w:t>polugodišnjeg izvješt</w:t>
      </w:r>
      <w:r w:rsidR="00B02DAF" w:rsidRPr="009A6244">
        <w:rPr>
          <w:rFonts w:ascii="Arial" w:hAnsi="Arial" w:cs="Arial"/>
          <w:sz w:val="22"/>
          <w:szCs w:val="22"/>
        </w:rPr>
        <w:t>aja o izvršenju Proračuna Grada</w:t>
      </w:r>
      <w:r w:rsidR="002A47B2" w:rsidRPr="009A6244">
        <w:rPr>
          <w:rFonts w:ascii="Arial" w:hAnsi="Arial" w:cs="Arial"/>
          <w:sz w:val="22"/>
          <w:szCs w:val="22"/>
        </w:rPr>
        <w:t xml:space="preserve"> D</w:t>
      </w:r>
      <w:r w:rsidR="00ED2FBE" w:rsidRPr="009A6244">
        <w:rPr>
          <w:rFonts w:ascii="Arial" w:hAnsi="Arial" w:cs="Arial"/>
          <w:sz w:val="22"/>
          <w:szCs w:val="22"/>
        </w:rPr>
        <w:t>ubrovnika za 201</w:t>
      </w:r>
      <w:r w:rsidR="00962A89">
        <w:rPr>
          <w:rFonts w:ascii="Arial" w:hAnsi="Arial" w:cs="Arial"/>
          <w:sz w:val="22"/>
          <w:szCs w:val="22"/>
        </w:rPr>
        <w:t>9</w:t>
      </w:r>
      <w:r w:rsidR="00ED2FBE" w:rsidRPr="009A6244">
        <w:rPr>
          <w:rFonts w:ascii="Arial" w:hAnsi="Arial" w:cs="Arial"/>
          <w:sz w:val="22"/>
          <w:szCs w:val="22"/>
        </w:rPr>
        <w:t>. godinu.</w:t>
      </w:r>
    </w:p>
    <w:p w:rsidR="002D167A" w:rsidRPr="009A6244" w:rsidRDefault="002D167A" w:rsidP="002D167A">
      <w:pPr>
        <w:jc w:val="both"/>
        <w:rPr>
          <w:rFonts w:ascii="Arial" w:hAnsi="Arial" w:cs="Arial"/>
          <w:sz w:val="22"/>
          <w:szCs w:val="22"/>
        </w:rPr>
      </w:pPr>
    </w:p>
    <w:p w:rsidR="002D167A" w:rsidRPr="009A6244" w:rsidRDefault="002D167A" w:rsidP="00962A89">
      <w:pPr>
        <w:jc w:val="both"/>
        <w:rPr>
          <w:rFonts w:ascii="Arial" w:hAnsi="Arial" w:cs="Arial"/>
          <w:sz w:val="22"/>
          <w:szCs w:val="22"/>
        </w:rPr>
      </w:pPr>
      <w:r w:rsidRPr="009A6244">
        <w:rPr>
          <w:rFonts w:ascii="Arial" w:hAnsi="Arial" w:cs="Arial"/>
          <w:sz w:val="22"/>
          <w:szCs w:val="22"/>
        </w:rPr>
        <w:t>Obrazloženjem se dodatno objašnjavaju dokumenti izvršavanja proračuna za 201</w:t>
      </w:r>
      <w:r w:rsidR="00C83BC7">
        <w:rPr>
          <w:rFonts w:ascii="Arial" w:hAnsi="Arial" w:cs="Arial"/>
          <w:sz w:val="22"/>
          <w:szCs w:val="22"/>
        </w:rPr>
        <w:t>9</w:t>
      </w:r>
      <w:r w:rsidRPr="009A6244">
        <w:rPr>
          <w:rFonts w:ascii="Arial" w:hAnsi="Arial" w:cs="Arial"/>
          <w:sz w:val="22"/>
          <w:szCs w:val="22"/>
        </w:rPr>
        <w:t>. do 30.</w:t>
      </w:r>
      <w:r w:rsidR="00320A7A">
        <w:rPr>
          <w:rFonts w:ascii="Arial" w:hAnsi="Arial" w:cs="Arial"/>
          <w:sz w:val="22"/>
          <w:szCs w:val="22"/>
        </w:rPr>
        <w:t>0</w:t>
      </w:r>
      <w:r w:rsidRPr="009A6244">
        <w:rPr>
          <w:rFonts w:ascii="Arial" w:hAnsi="Arial" w:cs="Arial"/>
          <w:sz w:val="22"/>
          <w:szCs w:val="22"/>
        </w:rPr>
        <w:t>6.201</w:t>
      </w:r>
      <w:r w:rsidR="00C83BC7">
        <w:rPr>
          <w:rFonts w:ascii="Arial" w:hAnsi="Arial" w:cs="Arial"/>
          <w:sz w:val="22"/>
          <w:szCs w:val="22"/>
        </w:rPr>
        <w:t>9</w:t>
      </w:r>
      <w:r w:rsidR="00320A7A">
        <w:rPr>
          <w:rFonts w:ascii="Arial" w:hAnsi="Arial" w:cs="Arial"/>
          <w:sz w:val="22"/>
          <w:szCs w:val="22"/>
        </w:rPr>
        <w:t>.</w:t>
      </w:r>
      <w:r w:rsidRPr="009A6244">
        <w:rPr>
          <w:rFonts w:ascii="Arial" w:hAnsi="Arial" w:cs="Arial"/>
          <w:sz w:val="22"/>
          <w:szCs w:val="22"/>
        </w:rPr>
        <w:t xml:space="preserve"> u Općem dijelu</w:t>
      </w:r>
      <w:r w:rsidR="00320A7A">
        <w:rPr>
          <w:rFonts w:ascii="Arial" w:hAnsi="Arial" w:cs="Arial"/>
          <w:sz w:val="22"/>
          <w:szCs w:val="22"/>
        </w:rPr>
        <w:t>,</w:t>
      </w:r>
      <w:r w:rsidRPr="009A6244">
        <w:rPr>
          <w:rFonts w:ascii="Arial" w:hAnsi="Arial" w:cs="Arial"/>
          <w:sz w:val="22"/>
          <w:szCs w:val="22"/>
        </w:rPr>
        <w:t xml:space="preserve"> dok će rashod</w:t>
      </w:r>
      <w:r w:rsidR="009E079E" w:rsidRPr="009A6244">
        <w:rPr>
          <w:rFonts w:ascii="Arial" w:hAnsi="Arial" w:cs="Arial"/>
          <w:sz w:val="22"/>
          <w:szCs w:val="22"/>
        </w:rPr>
        <w:t>i</w:t>
      </w:r>
      <w:r w:rsidRPr="009A6244">
        <w:rPr>
          <w:rFonts w:ascii="Arial" w:hAnsi="Arial" w:cs="Arial"/>
          <w:sz w:val="22"/>
          <w:szCs w:val="22"/>
        </w:rPr>
        <w:t xml:space="preserve"> dodatno biti obrazloženi od strane nadležnih Upravnih odjela</w:t>
      </w:r>
      <w:r w:rsidR="00E55D88" w:rsidRPr="009A6244">
        <w:rPr>
          <w:rFonts w:ascii="Arial" w:hAnsi="Arial" w:cs="Arial"/>
          <w:sz w:val="22"/>
          <w:szCs w:val="22"/>
        </w:rPr>
        <w:t>,</w:t>
      </w:r>
      <w:r w:rsidR="00320A7A">
        <w:rPr>
          <w:rFonts w:ascii="Arial" w:hAnsi="Arial" w:cs="Arial"/>
          <w:sz w:val="22"/>
          <w:szCs w:val="22"/>
        </w:rPr>
        <w:t xml:space="preserve">i isti </w:t>
      </w:r>
      <w:r w:rsidRPr="009A6244">
        <w:rPr>
          <w:rFonts w:ascii="Arial" w:hAnsi="Arial" w:cs="Arial"/>
          <w:sz w:val="22"/>
          <w:szCs w:val="22"/>
        </w:rPr>
        <w:t>čin</w:t>
      </w:r>
      <w:r w:rsidR="00320A7A">
        <w:rPr>
          <w:rFonts w:ascii="Arial" w:hAnsi="Arial" w:cs="Arial"/>
          <w:sz w:val="22"/>
          <w:szCs w:val="22"/>
        </w:rPr>
        <w:t>e</w:t>
      </w:r>
      <w:r w:rsidRPr="009A6244">
        <w:rPr>
          <w:rFonts w:ascii="Arial" w:hAnsi="Arial" w:cs="Arial"/>
          <w:sz w:val="22"/>
          <w:szCs w:val="22"/>
        </w:rPr>
        <w:t xml:space="preserve"> sastavni dio ovog izvješća</w:t>
      </w:r>
      <w:r w:rsidR="00320A7A">
        <w:rPr>
          <w:rFonts w:ascii="Arial" w:hAnsi="Arial" w:cs="Arial"/>
          <w:sz w:val="22"/>
          <w:szCs w:val="22"/>
        </w:rPr>
        <w:t>.</w:t>
      </w:r>
    </w:p>
    <w:p w:rsidR="00B010C2" w:rsidRPr="009A6244" w:rsidRDefault="00B010C2" w:rsidP="00990038">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08"/>
        <w:rPr>
          <w:rFonts w:ascii="Arial" w:hAnsi="Arial" w:cs="Arial"/>
          <w:sz w:val="22"/>
          <w:szCs w:val="22"/>
          <w:u w:val="single"/>
        </w:rPr>
      </w:pPr>
    </w:p>
    <w:p w:rsidR="00B010C2" w:rsidRPr="009A6244" w:rsidRDefault="00B010C2" w:rsidP="00B02DAF">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u w:val="single"/>
        </w:rPr>
      </w:pPr>
    </w:p>
    <w:p w:rsidR="00B02DAF" w:rsidRDefault="00B02DAF" w:rsidP="00B02DAF">
      <w:pPr>
        <w:rPr>
          <w:rFonts w:ascii="Arial" w:hAnsi="Arial" w:cs="Arial"/>
          <w:sz w:val="22"/>
          <w:szCs w:val="22"/>
        </w:rPr>
      </w:pPr>
    </w:p>
    <w:p w:rsidR="009A6244" w:rsidRDefault="009A6244" w:rsidP="00B02DAF">
      <w:pPr>
        <w:rPr>
          <w:rFonts w:ascii="Arial" w:hAnsi="Arial" w:cs="Arial"/>
          <w:sz w:val="22"/>
          <w:szCs w:val="22"/>
        </w:rPr>
      </w:pPr>
    </w:p>
    <w:p w:rsidR="009A6244" w:rsidRDefault="009A6244" w:rsidP="00690821">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08"/>
        <w:rPr>
          <w:rFonts w:ascii="Arial" w:hAnsi="Arial" w:cs="Arial"/>
          <w:sz w:val="22"/>
          <w:szCs w:val="22"/>
          <w:u w:val="single"/>
        </w:rPr>
      </w:pPr>
    </w:p>
    <w:p w:rsidR="009A6244" w:rsidRDefault="009A6244" w:rsidP="00690821">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08"/>
        <w:rPr>
          <w:rFonts w:ascii="Arial" w:hAnsi="Arial" w:cs="Arial"/>
          <w:sz w:val="22"/>
          <w:szCs w:val="22"/>
          <w:u w:val="single"/>
        </w:rPr>
      </w:pPr>
    </w:p>
    <w:p w:rsidR="00C64D75" w:rsidRPr="009A6244" w:rsidRDefault="009307B3" w:rsidP="00690821">
      <w:pPr>
        <w:pStyle w:val="Heading1"/>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08"/>
        <w:rPr>
          <w:rFonts w:ascii="Arial" w:hAnsi="Arial" w:cs="Arial"/>
          <w:sz w:val="22"/>
          <w:szCs w:val="22"/>
          <w:u w:val="single"/>
        </w:rPr>
      </w:pPr>
      <w:r w:rsidRPr="009A6244">
        <w:rPr>
          <w:rFonts w:ascii="Arial" w:hAnsi="Arial" w:cs="Arial"/>
          <w:sz w:val="22"/>
          <w:szCs w:val="22"/>
          <w:u w:val="single"/>
        </w:rPr>
        <w:t xml:space="preserve">II  </w:t>
      </w:r>
      <w:r w:rsidR="004D48FA" w:rsidRPr="009A6244">
        <w:rPr>
          <w:rFonts w:ascii="Arial" w:hAnsi="Arial" w:cs="Arial"/>
          <w:sz w:val="22"/>
          <w:szCs w:val="22"/>
          <w:u w:val="single"/>
        </w:rPr>
        <w:t>PRIHODI</w:t>
      </w:r>
      <w:r w:rsidR="00065084" w:rsidRPr="009A6244">
        <w:rPr>
          <w:rFonts w:ascii="Arial" w:hAnsi="Arial" w:cs="Arial"/>
          <w:sz w:val="22"/>
          <w:szCs w:val="22"/>
          <w:u w:val="single"/>
        </w:rPr>
        <w:t xml:space="preserve">   I   PRIMICI</w:t>
      </w:r>
    </w:p>
    <w:p w:rsidR="00B010C2" w:rsidRPr="009A6244" w:rsidRDefault="00B010C2" w:rsidP="00B010C2">
      <w:pPr>
        <w:rPr>
          <w:rFonts w:ascii="Arial" w:hAnsi="Arial" w:cs="Arial"/>
          <w:sz w:val="22"/>
          <w:szCs w:val="22"/>
        </w:rPr>
      </w:pPr>
    </w:p>
    <w:p w:rsidR="00112533" w:rsidRPr="009A6244" w:rsidRDefault="00112533" w:rsidP="00112533">
      <w:pPr>
        <w:rPr>
          <w:rFonts w:ascii="Arial" w:hAnsi="Arial" w:cs="Arial"/>
          <w:sz w:val="22"/>
          <w:szCs w:val="22"/>
        </w:rPr>
      </w:pPr>
    </w:p>
    <w:p w:rsidR="00835424" w:rsidRPr="009A6244" w:rsidRDefault="004D48FA" w:rsidP="00CD171A">
      <w:pPr>
        <w:pStyle w:val="BodyText"/>
        <w:rPr>
          <w:rFonts w:ascii="Arial" w:hAnsi="Arial" w:cs="Arial"/>
          <w:sz w:val="22"/>
          <w:szCs w:val="22"/>
        </w:rPr>
      </w:pPr>
      <w:r w:rsidRPr="009A6244">
        <w:rPr>
          <w:rFonts w:ascii="Arial" w:hAnsi="Arial" w:cs="Arial"/>
          <w:sz w:val="22"/>
          <w:szCs w:val="22"/>
        </w:rPr>
        <w:t>Ukupni</w:t>
      </w:r>
      <w:r w:rsidR="00096DD0">
        <w:rPr>
          <w:rFonts w:ascii="Arial" w:hAnsi="Arial" w:cs="Arial"/>
          <w:sz w:val="22"/>
          <w:szCs w:val="22"/>
        </w:rPr>
        <w:t xml:space="preserve"> konsolidirani</w:t>
      </w:r>
      <w:r w:rsidRPr="009A6244">
        <w:rPr>
          <w:rFonts w:ascii="Arial" w:hAnsi="Arial" w:cs="Arial"/>
          <w:sz w:val="22"/>
          <w:szCs w:val="22"/>
        </w:rPr>
        <w:t xml:space="preserve"> prihodi</w:t>
      </w:r>
      <w:r w:rsidR="00065084" w:rsidRPr="009A6244">
        <w:rPr>
          <w:rFonts w:ascii="Arial" w:hAnsi="Arial" w:cs="Arial"/>
          <w:sz w:val="22"/>
          <w:szCs w:val="22"/>
        </w:rPr>
        <w:t xml:space="preserve"> i primici </w:t>
      </w:r>
      <w:r w:rsidRPr="009A6244">
        <w:rPr>
          <w:rFonts w:ascii="Arial" w:hAnsi="Arial" w:cs="Arial"/>
          <w:sz w:val="22"/>
          <w:szCs w:val="22"/>
        </w:rPr>
        <w:t xml:space="preserve">ostvareni u </w:t>
      </w:r>
      <w:r w:rsidR="00724DF5" w:rsidRPr="009A6244">
        <w:rPr>
          <w:rFonts w:ascii="Arial" w:hAnsi="Arial" w:cs="Arial"/>
          <w:sz w:val="22"/>
          <w:szCs w:val="22"/>
        </w:rPr>
        <w:t>razdoblju siječanj –lipanj 201</w:t>
      </w:r>
      <w:r w:rsidR="00CD171A">
        <w:rPr>
          <w:rFonts w:ascii="Arial" w:hAnsi="Arial" w:cs="Arial"/>
          <w:sz w:val="22"/>
          <w:szCs w:val="22"/>
        </w:rPr>
        <w:t>9</w:t>
      </w:r>
      <w:r w:rsidR="00724DF5" w:rsidRPr="009A6244">
        <w:rPr>
          <w:rFonts w:ascii="Arial" w:hAnsi="Arial" w:cs="Arial"/>
          <w:sz w:val="22"/>
          <w:szCs w:val="22"/>
        </w:rPr>
        <w:t>. godine</w:t>
      </w:r>
      <w:r w:rsidRPr="009A6244">
        <w:rPr>
          <w:rFonts w:ascii="Arial" w:hAnsi="Arial" w:cs="Arial"/>
          <w:sz w:val="22"/>
          <w:szCs w:val="22"/>
        </w:rPr>
        <w:t xml:space="preserve"> iznosili </w:t>
      </w:r>
      <w:r w:rsidRPr="009A6244">
        <w:rPr>
          <w:rFonts w:ascii="Arial" w:hAnsi="Arial" w:cs="Arial"/>
          <w:color w:val="auto"/>
          <w:sz w:val="22"/>
          <w:szCs w:val="22"/>
        </w:rPr>
        <w:t>su</w:t>
      </w:r>
      <w:r w:rsidR="00C66738" w:rsidRPr="009A6244">
        <w:rPr>
          <w:rFonts w:ascii="Arial" w:hAnsi="Arial" w:cs="Arial"/>
          <w:color w:val="auto"/>
          <w:sz w:val="22"/>
          <w:szCs w:val="22"/>
        </w:rPr>
        <w:t>2</w:t>
      </w:r>
      <w:r w:rsidR="005E1198">
        <w:rPr>
          <w:rFonts w:ascii="Arial" w:hAnsi="Arial" w:cs="Arial"/>
          <w:color w:val="auto"/>
          <w:sz w:val="22"/>
          <w:szCs w:val="22"/>
        </w:rPr>
        <w:t>84</w:t>
      </w:r>
      <w:r w:rsidR="00EB5326" w:rsidRPr="009A6244">
        <w:rPr>
          <w:rFonts w:ascii="Arial" w:hAnsi="Arial" w:cs="Arial"/>
          <w:color w:val="auto"/>
          <w:sz w:val="22"/>
          <w:szCs w:val="22"/>
        </w:rPr>
        <w:t>.</w:t>
      </w:r>
      <w:r w:rsidR="001E3D18">
        <w:rPr>
          <w:rFonts w:ascii="Arial" w:hAnsi="Arial" w:cs="Arial"/>
          <w:color w:val="auto"/>
          <w:sz w:val="22"/>
          <w:szCs w:val="22"/>
        </w:rPr>
        <w:t>532</w:t>
      </w:r>
      <w:r w:rsidR="00EB5326" w:rsidRPr="009A6244">
        <w:rPr>
          <w:rFonts w:ascii="Arial" w:hAnsi="Arial" w:cs="Arial"/>
          <w:color w:val="auto"/>
          <w:sz w:val="22"/>
          <w:szCs w:val="22"/>
        </w:rPr>
        <w:t>.</w:t>
      </w:r>
      <w:r w:rsidR="001E3D18">
        <w:rPr>
          <w:rFonts w:ascii="Arial" w:hAnsi="Arial" w:cs="Arial"/>
          <w:color w:val="auto"/>
          <w:sz w:val="22"/>
          <w:szCs w:val="22"/>
        </w:rPr>
        <w:t>78</w:t>
      </w:r>
      <w:r w:rsidR="0090777C">
        <w:rPr>
          <w:rFonts w:ascii="Arial" w:hAnsi="Arial" w:cs="Arial"/>
          <w:color w:val="auto"/>
          <w:sz w:val="22"/>
          <w:szCs w:val="22"/>
        </w:rPr>
        <w:t>9</w:t>
      </w:r>
      <w:r w:rsidR="00C52922" w:rsidRPr="009A6244">
        <w:rPr>
          <w:rFonts w:ascii="Arial" w:hAnsi="Arial" w:cs="Arial"/>
          <w:color w:val="auto"/>
          <w:sz w:val="22"/>
          <w:szCs w:val="22"/>
        </w:rPr>
        <w:t xml:space="preserve"> kn, a zajedno s prenesenim viškom sredstava Grada Dubrovnika iz 201</w:t>
      </w:r>
      <w:r w:rsidR="00CD171A">
        <w:rPr>
          <w:rFonts w:ascii="Arial" w:hAnsi="Arial" w:cs="Arial"/>
          <w:color w:val="auto"/>
          <w:sz w:val="22"/>
          <w:szCs w:val="22"/>
        </w:rPr>
        <w:t>8</w:t>
      </w:r>
      <w:r w:rsidR="00C52922" w:rsidRPr="009A6244">
        <w:rPr>
          <w:rFonts w:ascii="Arial" w:hAnsi="Arial" w:cs="Arial"/>
          <w:color w:val="auto"/>
          <w:sz w:val="22"/>
          <w:szCs w:val="22"/>
        </w:rPr>
        <w:t xml:space="preserve">. godine od </w:t>
      </w:r>
      <w:r w:rsidR="001E3D18">
        <w:rPr>
          <w:rFonts w:ascii="Arial" w:hAnsi="Arial" w:cs="Arial"/>
          <w:color w:val="auto"/>
          <w:sz w:val="22"/>
          <w:szCs w:val="22"/>
        </w:rPr>
        <w:t>34</w:t>
      </w:r>
      <w:r w:rsidR="00EB5326" w:rsidRPr="009A6244">
        <w:rPr>
          <w:rFonts w:ascii="Arial" w:hAnsi="Arial" w:cs="Arial"/>
          <w:color w:val="auto"/>
          <w:sz w:val="22"/>
          <w:szCs w:val="22"/>
        </w:rPr>
        <w:t>.</w:t>
      </w:r>
      <w:r w:rsidR="001E3D18">
        <w:rPr>
          <w:rFonts w:ascii="Arial" w:hAnsi="Arial" w:cs="Arial"/>
          <w:color w:val="auto"/>
          <w:sz w:val="22"/>
          <w:szCs w:val="22"/>
        </w:rPr>
        <w:t>485</w:t>
      </w:r>
      <w:r w:rsidR="009E2127" w:rsidRPr="009A6244">
        <w:rPr>
          <w:rFonts w:ascii="Arial" w:hAnsi="Arial" w:cs="Arial"/>
          <w:color w:val="auto"/>
          <w:sz w:val="22"/>
          <w:szCs w:val="22"/>
        </w:rPr>
        <w:t>.</w:t>
      </w:r>
      <w:r w:rsidR="001E3D18">
        <w:rPr>
          <w:rFonts w:ascii="Arial" w:hAnsi="Arial" w:cs="Arial"/>
          <w:color w:val="auto"/>
          <w:sz w:val="22"/>
          <w:szCs w:val="22"/>
        </w:rPr>
        <w:t>6</w:t>
      </w:r>
      <w:r w:rsidR="009629CB" w:rsidRPr="009A6244">
        <w:rPr>
          <w:rFonts w:ascii="Arial" w:hAnsi="Arial" w:cs="Arial"/>
          <w:color w:val="auto"/>
          <w:sz w:val="22"/>
          <w:szCs w:val="22"/>
        </w:rPr>
        <w:t>00</w:t>
      </w:r>
      <w:r w:rsidR="007D52C4">
        <w:rPr>
          <w:rFonts w:ascii="Arial" w:hAnsi="Arial" w:cs="Arial"/>
          <w:color w:val="auto"/>
          <w:sz w:val="22"/>
          <w:szCs w:val="22"/>
        </w:rPr>
        <w:t>(34.306.600 ostvareni višak Grada Dubrovnika iz 2018uvećan za 179</w:t>
      </w:r>
      <w:r w:rsidR="00EC5885">
        <w:rPr>
          <w:rFonts w:ascii="Arial" w:hAnsi="Arial" w:cs="Arial"/>
          <w:color w:val="auto"/>
          <w:sz w:val="22"/>
          <w:szCs w:val="22"/>
        </w:rPr>
        <w:t>.</w:t>
      </w:r>
      <w:r w:rsidR="007D52C4">
        <w:rPr>
          <w:rFonts w:ascii="Arial" w:hAnsi="Arial" w:cs="Arial"/>
          <w:color w:val="auto"/>
          <w:sz w:val="22"/>
          <w:szCs w:val="22"/>
        </w:rPr>
        <w:t xml:space="preserve">000 </w:t>
      </w:r>
      <w:r w:rsidR="00C52922" w:rsidRPr="009A6244">
        <w:rPr>
          <w:rFonts w:ascii="Arial" w:hAnsi="Arial" w:cs="Arial"/>
          <w:color w:val="auto"/>
          <w:sz w:val="22"/>
          <w:szCs w:val="22"/>
        </w:rPr>
        <w:t>kn</w:t>
      </w:r>
      <w:r w:rsidR="007D52C4">
        <w:rPr>
          <w:rFonts w:ascii="Arial" w:hAnsi="Arial" w:cs="Arial"/>
          <w:color w:val="auto"/>
          <w:sz w:val="22"/>
          <w:szCs w:val="22"/>
        </w:rPr>
        <w:t xml:space="preserve"> prenesenog viška iz 2018. godine JVP Dubrovački vatrogasci)</w:t>
      </w:r>
      <w:r w:rsidR="00F0053A">
        <w:rPr>
          <w:rFonts w:ascii="Arial" w:hAnsi="Arial" w:cs="Arial"/>
          <w:color w:val="auto"/>
          <w:sz w:val="22"/>
          <w:szCs w:val="22"/>
        </w:rPr>
        <w:t>,</w:t>
      </w:r>
      <w:r w:rsidR="00C52922" w:rsidRPr="009A6244">
        <w:rPr>
          <w:rFonts w:ascii="Arial" w:hAnsi="Arial" w:cs="Arial"/>
          <w:color w:val="auto"/>
          <w:sz w:val="22"/>
          <w:szCs w:val="22"/>
        </w:rPr>
        <w:t xml:space="preserve"> čine ukupan iznos od </w:t>
      </w:r>
      <w:r w:rsidR="001E3D18">
        <w:rPr>
          <w:rFonts w:ascii="Arial" w:hAnsi="Arial" w:cs="Arial"/>
          <w:color w:val="auto"/>
          <w:sz w:val="22"/>
          <w:szCs w:val="22"/>
        </w:rPr>
        <w:t>319</w:t>
      </w:r>
      <w:r w:rsidR="00EB5326" w:rsidRPr="009A6244">
        <w:rPr>
          <w:rFonts w:ascii="Arial" w:hAnsi="Arial" w:cs="Arial"/>
          <w:color w:val="auto"/>
          <w:sz w:val="22"/>
          <w:szCs w:val="22"/>
        </w:rPr>
        <w:t>.</w:t>
      </w:r>
      <w:r w:rsidR="001E3D18">
        <w:rPr>
          <w:rFonts w:ascii="Arial" w:hAnsi="Arial" w:cs="Arial"/>
          <w:color w:val="auto"/>
          <w:sz w:val="22"/>
          <w:szCs w:val="22"/>
        </w:rPr>
        <w:t>018</w:t>
      </w:r>
      <w:r w:rsidR="009E2127" w:rsidRPr="009A6244">
        <w:rPr>
          <w:rFonts w:ascii="Arial" w:hAnsi="Arial" w:cs="Arial"/>
          <w:color w:val="auto"/>
          <w:sz w:val="22"/>
          <w:szCs w:val="22"/>
        </w:rPr>
        <w:t>.</w:t>
      </w:r>
      <w:r w:rsidR="001E3D18">
        <w:rPr>
          <w:rFonts w:ascii="Arial" w:hAnsi="Arial" w:cs="Arial"/>
          <w:color w:val="auto"/>
          <w:sz w:val="22"/>
          <w:szCs w:val="22"/>
        </w:rPr>
        <w:t>388</w:t>
      </w:r>
      <w:r w:rsidR="00692666" w:rsidRPr="009A6244">
        <w:rPr>
          <w:rFonts w:ascii="Arial" w:hAnsi="Arial" w:cs="Arial"/>
          <w:color w:val="auto"/>
          <w:sz w:val="22"/>
          <w:szCs w:val="22"/>
        </w:rPr>
        <w:t xml:space="preserve"> kn, </w:t>
      </w:r>
      <w:r w:rsidRPr="009A6244">
        <w:rPr>
          <w:rFonts w:ascii="Arial" w:hAnsi="Arial" w:cs="Arial"/>
          <w:color w:val="auto"/>
          <w:sz w:val="22"/>
          <w:szCs w:val="22"/>
        </w:rPr>
        <w:t xml:space="preserve">štoje </w:t>
      </w:r>
      <w:r w:rsidR="009629CB" w:rsidRPr="009A6244">
        <w:rPr>
          <w:rFonts w:ascii="Arial" w:hAnsi="Arial" w:cs="Arial"/>
          <w:color w:val="auto"/>
          <w:sz w:val="22"/>
          <w:szCs w:val="22"/>
        </w:rPr>
        <w:t>3</w:t>
      </w:r>
      <w:r w:rsidR="00EA48A2">
        <w:rPr>
          <w:rFonts w:ascii="Arial" w:hAnsi="Arial" w:cs="Arial"/>
          <w:color w:val="auto"/>
          <w:sz w:val="22"/>
          <w:szCs w:val="22"/>
        </w:rPr>
        <w:t>9</w:t>
      </w:r>
      <w:r w:rsidRPr="009A6244">
        <w:rPr>
          <w:rFonts w:ascii="Arial" w:hAnsi="Arial" w:cs="Arial"/>
          <w:color w:val="auto"/>
          <w:sz w:val="22"/>
          <w:szCs w:val="22"/>
        </w:rPr>
        <w:t xml:space="preserve">% od ukupno planiranog </w:t>
      </w:r>
      <w:r w:rsidR="00692666" w:rsidRPr="009A6244">
        <w:rPr>
          <w:rFonts w:ascii="Arial" w:hAnsi="Arial" w:cs="Arial"/>
          <w:color w:val="auto"/>
          <w:sz w:val="22"/>
          <w:szCs w:val="22"/>
        </w:rPr>
        <w:t xml:space="preserve">iznosa </w:t>
      </w:r>
      <w:r w:rsidRPr="009A6244">
        <w:rPr>
          <w:rFonts w:ascii="Arial" w:hAnsi="Arial" w:cs="Arial"/>
          <w:color w:val="auto"/>
          <w:sz w:val="22"/>
          <w:szCs w:val="22"/>
        </w:rPr>
        <w:t>u 20</w:t>
      </w:r>
      <w:r w:rsidR="00303EE9" w:rsidRPr="009A6244">
        <w:rPr>
          <w:rFonts w:ascii="Arial" w:hAnsi="Arial" w:cs="Arial"/>
          <w:color w:val="auto"/>
          <w:sz w:val="22"/>
          <w:szCs w:val="22"/>
        </w:rPr>
        <w:t>1</w:t>
      </w:r>
      <w:r w:rsidR="001E3D18">
        <w:rPr>
          <w:rFonts w:ascii="Arial" w:hAnsi="Arial" w:cs="Arial"/>
          <w:color w:val="auto"/>
          <w:sz w:val="22"/>
          <w:szCs w:val="22"/>
        </w:rPr>
        <w:t>9</w:t>
      </w:r>
      <w:r w:rsidRPr="009A6244">
        <w:rPr>
          <w:rFonts w:ascii="Arial" w:hAnsi="Arial" w:cs="Arial"/>
          <w:color w:val="auto"/>
          <w:sz w:val="22"/>
          <w:szCs w:val="22"/>
        </w:rPr>
        <w:t>. godini</w:t>
      </w:r>
      <w:r w:rsidR="00892CFF" w:rsidRPr="009A6244">
        <w:rPr>
          <w:rFonts w:ascii="Arial" w:hAnsi="Arial" w:cs="Arial"/>
          <w:color w:val="auto"/>
          <w:sz w:val="22"/>
          <w:szCs w:val="22"/>
        </w:rPr>
        <w:t>.</w:t>
      </w:r>
    </w:p>
    <w:p w:rsidR="00904C09" w:rsidRPr="009A6244" w:rsidRDefault="00904C09" w:rsidP="0067301E">
      <w:pPr>
        <w:pStyle w:val="BodyText"/>
        <w:rPr>
          <w:rFonts w:ascii="Arial" w:hAnsi="Arial" w:cs="Arial"/>
          <w:sz w:val="22"/>
          <w:szCs w:val="22"/>
        </w:rPr>
      </w:pPr>
    </w:p>
    <w:p w:rsidR="000C0CF3" w:rsidRPr="009A6244" w:rsidRDefault="000C0CF3" w:rsidP="0067301E">
      <w:pPr>
        <w:pStyle w:val="BodyText"/>
        <w:rPr>
          <w:rFonts w:ascii="Arial" w:hAnsi="Arial" w:cs="Arial"/>
          <w:sz w:val="22"/>
          <w:szCs w:val="22"/>
        </w:rPr>
      </w:pPr>
    </w:p>
    <w:p w:rsidR="006622A3" w:rsidRPr="009A6244" w:rsidRDefault="006622A3" w:rsidP="0067301E">
      <w:pPr>
        <w:pStyle w:val="BodyText"/>
        <w:rPr>
          <w:rFonts w:ascii="Arial" w:hAnsi="Arial" w:cs="Arial"/>
          <w:sz w:val="22"/>
          <w:szCs w:val="22"/>
        </w:rPr>
      </w:pPr>
    </w:p>
    <w:p w:rsidR="0084219B" w:rsidRPr="009A6244" w:rsidRDefault="0084219B" w:rsidP="0084219B">
      <w:pPr>
        <w:pStyle w:val="BodyText"/>
        <w:rPr>
          <w:rFonts w:ascii="Arial" w:hAnsi="Arial" w:cs="Arial"/>
          <w:sz w:val="22"/>
          <w:szCs w:val="22"/>
        </w:rPr>
      </w:pPr>
      <w:r w:rsidRPr="009A6244">
        <w:rPr>
          <w:rFonts w:ascii="Arial" w:hAnsi="Arial" w:cs="Arial"/>
          <w:b/>
          <w:sz w:val="22"/>
          <w:szCs w:val="22"/>
        </w:rPr>
        <w:t xml:space="preserve">Tablica br.1.                                                                     </w:t>
      </w:r>
      <w:r w:rsidRPr="009A6244">
        <w:rPr>
          <w:rFonts w:ascii="Arial" w:hAnsi="Arial" w:cs="Arial"/>
          <w:sz w:val="22"/>
          <w:szCs w:val="22"/>
        </w:rPr>
        <w:tab/>
        <w:t xml:space="preserve">                                u 000 kuna</w:t>
      </w:r>
    </w:p>
    <w:p w:rsidR="00401E30" w:rsidRPr="009A6244" w:rsidRDefault="00401E30" w:rsidP="0084219B">
      <w:pPr>
        <w:pStyle w:val="BodyText"/>
        <w:rPr>
          <w:rFonts w:ascii="Arial" w:hAnsi="Arial" w:cs="Arial"/>
          <w:sz w:val="22"/>
          <w:szCs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1701"/>
        <w:gridCol w:w="1275"/>
        <w:gridCol w:w="1418"/>
        <w:gridCol w:w="992"/>
        <w:gridCol w:w="992"/>
      </w:tblGrid>
      <w:tr w:rsidR="0084219B" w:rsidRPr="009A6244" w:rsidTr="00FD7CEF">
        <w:trPr>
          <w:trHeight w:val="454"/>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84219B" w:rsidRPr="009A6244" w:rsidRDefault="0084219B" w:rsidP="00B23AEA">
            <w:pPr>
              <w:pStyle w:val="BodyText"/>
              <w:jc w:val="center"/>
              <w:rPr>
                <w:rFonts w:ascii="Arial" w:hAnsi="Arial" w:cs="Arial"/>
                <w:b/>
                <w:sz w:val="22"/>
                <w:szCs w:val="22"/>
              </w:rPr>
            </w:pPr>
            <w:r w:rsidRPr="009A6244">
              <w:rPr>
                <w:rFonts w:ascii="Arial" w:hAnsi="Arial" w:cs="Arial"/>
                <w:b/>
                <w:sz w:val="22"/>
                <w:szCs w:val="22"/>
              </w:rPr>
              <w:t>P R I H O D I</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jc w:val="center"/>
              <w:rPr>
                <w:rFonts w:ascii="Arial" w:hAnsi="Arial" w:cs="Arial"/>
                <w:b/>
                <w:sz w:val="22"/>
                <w:szCs w:val="22"/>
              </w:rPr>
            </w:pPr>
            <w:r w:rsidRPr="009A6244">
              <w:rPr>
                <w:rFonts w:ascii="Arial" w:hAnsi="Arial" w:cs="Arial"/>
                <w:b/>
                <w:sz w:val="22"/>
                <w:szCs w:val="22"/>
              </w:rPr>
              <w:t>Ostvarenje</w:t>
            </w:r>
          </w:p>
          <w:p w:rsidR="0084219B" w:rsidRPr="009A6244" w:rsidRDefault="00CD171A" w:rsidP="00CD171A">
            <w:pPr>
              <w:pStyle w:val="BodyText"/>
              <w:rPr>
                <w:rFonts w:ascii="Arial" w:hAnsi="Arial" w:cs="Arial"/>
                <w:b/>
                <w:sz w:val="22"/>
                <w:szCs w:val="22"/>
              </w:rPr>
            </w:pPr>
            <w:r w:rsidRPr="009A6244">
              <w:rPr>
                <w:rFonts w:ascii="Arial" w:hAnsi="Arial" w:cs="Arial"/>
                <w:b/>
                <w:sz w:val="22"/>
                <w:szCs w:val="22"/>
              </w:rPr>
              <w:t>01. - 06. 2018.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4219B" w:rsidRPr="009A6244" w:rsidRDefault="0084219B" w:rsidP="00006399">
            <w:pPr>
              <w:pStyle w:val="BodyText"/>
              <w:jc w:val="center"/>
              <w:rPr>
                <w:rFonts w:ascii="Arial" w:hAnsi="Arial" w:cs="Arial"/>
                <w:b/>
                <w:sz w:val="22"/>
                <w:szCs w:val="22"/>
              </w:rPr>
            </w:pPr>
            <w:r w:rsidRPr="009A6244">
              <w:rPr>
                <w:rFonts w:ascii="Arial" w:hAnsi="Arial" w:cs="Arial"/>
                <w:b/>
                <w:sz w:val="22"/>
                <w:szCs w:val="22"/>
              </w:rPr>
              <w:t>Plan</w:t>
            </w:r>
          </w:p>
          <w:p w:rsidR="0084219B" w:rsidRPr="009A6244" w:rsidRDefault="0084219B" w:rsidP="00B14C2D">
            <w:pPr>
              <w:pStyle w:val="BodyText"/>
              <w:jc w:val="center"/>
              <w:rPr>
                <w:rFonts w:ascii="Arial" w:hAnsi="Arial" w:cs="Arial"/>
                <w:b/>
                <w:sz w:val="22"/>
                <w:szCs w:val="22"/>
              </w:rPr>
            </w:pPr>
            <w:r w:rsidRPr="009A6244">
              <w:rPr>
                <w:rFonts w:ascii="Arial" w:hAnsi="Arial" w:cs="Arial"/>
                <w:b/>
                <w:sz w:val="22"/>
                <w:szCs w:val="22"/>
              </w:rPr>
              <w:t>201</w:t>
            </w:r>
            <w:r w:rsidR="00CD171A">
              <w:rPr>
                <w:rFonts w:ascii="Arial" w:hAnsi="Arial" w:cs="Arial"/>
                <w:b/>
                <w:sz w:val="22"/>
                <w:szCs w:val="22"/>
              </w:rPr>
              <w:t>9</w:t>
            </w:r>
            <w:r w:rsidRPr="009A6244">
              <w:rPr>
                <w:rFonts w:ascii="Arial" w:hAnsi="Arial" w:cs="Arial"/>
                <w:b/>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jc w:val="center"/>
              <w:rPr>
                <w:rFonts w:ascii="Arial" w:hAnsi="Arial" w:cs="Arial"/>
                <w:b/>
                <w:sz w:val="22"/>
                <w:szCs w:val="22"/>
              </w:rPr>
            </w:pPr>
            <w:r w:rsidRPr="009A6244">
              <w:rPr>
                <w:rFonts w:ascii="Arial" w:hAnsi="Arial" w:cs="Arial"/>
                <w:b/>
                <w:sz w:val="22"/>
                <w:szCs w:val="22"/>
              </w:rPr>
              <w:t>Ostvarenje</w:t>
            </w:r>
          </w:p>
          <w:p w:rsidR="0084219B" w:rsidRPr="009A6244" w:rsidRDefault="00CD171A" w:rsidP="00CD171A">
            <w:pPr>
              <w:pStyle w:val="BodyText"/>
              <w:jc w:val="center"/>
              <w:rPr>
                <w:rFonts w:ascii="Arial" w:hAnsi="Arial" w:cs="Arial"/>
                <w:b/>
                <w:sz w:val="22"/>
                <w:szCs w:val="22"/>
              </w:rPr>
            </w:pPr>
            <w:r w:rsidRPr="009A6244">
              <w:rPr>
                <w:rFonts w:ascii="Arial" w:hAnsi="Arial" w:cs="Arial"/>
                <w:b/>
                <w:sz w:val="22"/>
                <w:szCs w:val="22"/>
              </w:rPr>
              <w:t>01. - 06. 201</w:t>
            </w:r>
            <w:r>
              <w:rPr>
                <w:rFonts w:ascii="Arial" w:hAnsi="Arial" w:cs="Arial"/>
                <w:b/>
                <w:sz w:val="22"/>
                <w:szCs w:val="22"/>
              </w:rPr>
              <w:t>9</w:t>
            </w:r>
            <w:r w:rsidRPr="009A6244">
              <w:rPr>
                <w:rFonts w:ascii="Arial" w:hAnsi="Arial" w:cs="Arial"/>
                <w:b/>
                <w:sz w:val="22"/>
                <w:szCs w:val="22"/>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4219B" w:rsidRPr="009A6244" w:rsidRDefault="0084219B" w:rsidP="00D23B3E">
            <w:pPr>
              <w:pStyle w:val="BodyText"/>
              <w:jc w:val="center"/>
              <w:rPr>
                <w:rFonts w:ascii="Arial" w:hAnsi="Arial" w:cs="Arial"/>
                <w:b/>
                <w:sz w:val="22"/>
                <w:szCs w:val="22"/>
              </w:rPr>
            </w:pPr>
            <w:r w:rsidRPr="009A6244">
              <w:rPr>
                <w:rFonts w:ascii="Arial" w:hAnsi="Arial" w:cs="Arial"/>
                <w:b/>
                <w:sz w:val="22"/>
                <w:szCs w:val="22"/>
              </w:rPr>
              <w:t>4/2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4219B" w:rsidRPr="009A6244" w:rsidRDefault="0084219B" w:rsidP="00D23B3E">
            <w:pPr>
              <w:pStyle w:val="BodyText"/>
              <w:jc w:val="center"/>
              <w:rPr>
                <w:rFonts w:ascii="Arial" w:hAnsi="Arial" w:cs="Arial"/>
                <w:b/>
                <w:sz w:val="22"/>
                <w:szCs w:val="22"/>
              </w:rPr>
            </w:pPr>
            <w:r w:rsidRPr="009A6244">
              <w:rPr>
                <w:rFonts w:ascii="Arial" w:hAnsi="Arial" w:cs="Arial"/>
                <w:b/>
                <w:sz w:val="22"/>
                <w:szCs w:val="22"/>
              </w:rPr>
              <w:t>4/3</w:t>
            </w:r>
          </w:p>
        </w:tc>
      </w:tr>
      <w:tr w:rsidR="0084219B" w:rsidRPr="009A6244" w:rsidTr="00FD7CEF">
        <w:trPr>
          <w:trHeight w:val="340"/>
        </w:trPr>
        <w:tc>
          <w:tcPr>
            <w:tcW w:w="2694" w:type="dxa"/>
            <w:tcBorders>
              <w:top w:val="single" w:sz="6" w:space="0" w:color="auto"/>
              <w:left w:val="single" w:sz="6" w:space="0" w:color="auto"/>
              <w:bottom w:val="single" w:sz="6" w:space="0" w:color="auto"/>
              <w:right w:val="single" w:sz="6" w:space="0" w:color="auto"/>
            </w:tcBorders>
            <w:vAlign w:val="center"/>
          </w:tcPr>
          <w:p w:rsidR="0084219B" w:rsidRPr="009A6244" w:rsidRDefault="0084219B" w:rsidP="00CA2117">
            <w:pPr>
              <w:pStyle w:val="BodyText"/>
              <w:jc w:val="center"/>
              <w:rPr>
                <w:rFonts w:ascii="Arial" w:hAnsi="Arial" w:cs="Arial"/>
                <w:sz w:val="22"/>
                <w:szCs w:val="22"/>
              </w:rPr>
            </w:pPr>
            <w:r w:rsidRPr="009A6244">
              <w:rPr>
                <w:rFonts w:ascii="Arial" w:hAnsi="Arial" w:cs="Arial"/>
                <w:sz w:val="22"/>
                <w:szCs w:val="22"/>
              </w:rPr>
              <w:t>1</w:t>
            </w:r>
          </w:p>
        </w:tc>
        <w:tc>
          <w:tcPr>
            <w:tcW w:w="1701" w:type="dxa"/>
            <w:tcBorders>
              <w:top w:val="single" w:sz="6" w:space="0" w:color="auto"/>
              <w:left w:val="single" w:sz="6" w:space="0" w:color="auto"/>
              <w:bottom w:val="single" w:sz="6" w:space="0" w:color="auto"/>
              <w:right w:val="single" w:sz="6" w:space="0" w:color="auto"/>
            </w:tcBorders>
            <w:vAlign w:val="center"/>
          </w:tcPr>
          <w:p w:rsidR="0084219B" w:rsidRPr="009A6244" w:rsidRDefault="0084219B" w:rsidP="00CA2117">
            <w:pPr>
              <w:pStyle w:val="BodyText"/>
              <w:jc w:val="center"/>
              <w:rPr>
                <w:rFonts w:ascii="Arial" w:hAnsi="Arial" w:cs="Arial"/>
                <w:sz w:val="22"/>
                <w:szCs w:val="22"/>
              </w:rPr>
            </w:pPr>
            <w:r w:rsidRPr="009A6244">
              <w:rPr>
                <w:rFonts w:ascii="Arial" w:hAnsi="Arial" w:cs="Arial"/>
                <w:sz w:val="22"/>
                <w:szCs w:val="22"/>
              </w:rPr>
              <w:t>2</w:t>
            </w:r>
          </w:p>
        </w:tc>
        <w:tc>
          <w:tcPr>
            <w:tcW w:w="1275" w:type="dxa"/>
            <w:tcBorders>
              <w:top w:val="single" w:sz="6" w:space="0" w:color="auto"/>
              <w:left w:val="single" w:sz="6" w:space="0" w:color="auto"/>
              <w:bottom w:val="single" w:sz="6" w:space="0" w:color="auto"/>
              <w:right w:val="single" w:sz="6" w:space="0" w:color="auto"/>
            </w:tcBorders>
            <w:vAlign w:val="center"/>
          </w:tcPr>
          <w:p w:rsidR="0084219B" w:rsidRPr="009A6244" w:rsidRDefault="0084219B" w:rsidP="00CA2117">
            <w:pPr>
              <w:pStyle w:val="BodyText"/>
              <w:jc w:val="center"/>
              <w:rPr>
                <w:rFonts w:ascii="Arial" w:hAnsi="Arial" w:cs="Arial"/>
                <w:sz w:val="22"/>
                <w:szCs w:val="22"/>
              </w:rPr>
            </w:pPr>
            <w:r w:rsidRPr="009A6244">
              <w:rPr>
                <w:rFonts w:ascii="Arial" w:hAnsi="Arial" w:cs="Arial"/>
                <w:sz w:val="22"/>
                <w:szCs w:val="22"/>
              </w:rPr>
              <w:t>3</w:t>
            </w:r>
          </w:p>
        </w:tc>
        <w:tc>
          <w:tcPr>
            <w:tcW w:w="1418" w:type="dxa"/>
            <w:tcBorders>
              <w:top w:val="single" w:sz="6" w:space="0" w:color="auto"/>
              <w:left w:val="single" w:sz="6" w:space="0" w:color="auto"/>
              <w:bottom w:val="single" w:sz="6" w:space="0" w:color="auto"/>
              <w:right w:val="single" w:sz="6" w:space="0" w:color="auto"/>
            </w:tcBorders>
            <w:vAlign w:val="center"/>
          </w:tcPr>
          <w:p w:rsidR="0084219B" w:rsidRPr="009A6244" w:rsidRDefault="0084219B" w:rsidP="00CA2117">
            <w:pPr>
              <w:pStyle w:val="BodyText"/>
              <w:jc w:val="center"/>
              <w:rPr>
                <w:rFonts w:ascii="Arial" w:hAnsi="Arial" w:cs="Arial"/>
                <w:sz w:val="22"/>
                <w:szCs w:val="22"/>
              </w:rPr>
            </w:pPr>
            <w:r w:rsidRPr="009A6244">
              <w:rPr>
                <w:rFonts w:ascii="Arial" w:hAnsi="Arial" w:cs="Arial"/>
                <w:sz w:val="22"/>
                <w:szCs w:val="22"/>
              </w:rPr>
              <w:t>4</w:t>
            </w:r>
          </w:p>
        </w:tc>
        <w:tc>
          <w:tcPr>
            <w:tcW w:w="992" w:type="dxa"/>
            <w:tcBorders>
              <w:top w:val="single" w:sz="6" w:space="0" w:color="auto"/>
              <w:left w:val="single" w:sz="6" w:space="0" w:color="auto"/>
              <w:bottom w:val="single" w:sz="6" w:space="0" w:color="auto"/>
              <w:right w:val="single" w:sz="6" w:space="0" w:color="auto"/>
            </w:tcBorders>
            <w:vAlign w:val="center"/>
          </w:tcPr>
          <w:p w:rsidR="0084219B" w:rsidRPr="009A6244" w:rsidRDefault="0084219B" w:rsidP="00CA2117">
            <w:pPr>
              <w:pStyle w:val="BodyText"/>
              <w:jc w:val="center"/>
              <w:rPr>
                <w:rFonts w:ascii="Arial" w:hAnsi="Arial" w:cs="Arial"/>
                <w:sz w:val="22"/>
                <w:szCs w:val="22"/>
              </w:rPr>
            </w:pPr>
            <w:r w:rsidRPr="009A6244">
              <w:rPr>
                <w:rFonts w:ascii="Arial" w:hAnsi="Arial" w:cs="Arial"/>
                <w:sz w:val="22"/>
                <w:szCs w:val="22"/>
              </w:rPr>
              <w:t>5</w:t>
            </w:r>
          </w:p>
        </w:tc>
        <w:tc>
          <w:tcPr>
            <w:tcW w:w="992" w:type="dxa"/>
            <w:tcBorders>
              <w:top w:val="single" w:sz="6" w:space="0" w:color="auto"/>
              <w:left w:val="single" w:sz="6" w:space="0" w:color="auto"/>
              <w:bottom w:val="single" w:sz="6" w:space="0" w:color="auto"/>
              <w:right w:val="single" w:sz="6" w:space="0" w:color="auto"/>
            </w:tcBorders>
            <w:vAlign w:val="center"/>
          </w:tcPr>
          <w:p w:rsidR="0084219B" w:rsidRPr="009A6244" w:rsidRDefault="0084219B" w:rsidP="00CA2117">
            <w:pPr>
              <w:pStyle w:val="BodyText"/>
              <w:jc w:val="center"/>
              <w:rPr>
                <w:rFonts w:ascii="Arial" w:hAnsi="Arial" w:cs="Arial"/>
                <w:sz w:val="22"/>
                <w:szCs w:val="22"/>
              </w:rPr>
            </w:pPr>
            <w:r w:rsidRPr="009A6244">
              <w:rPr>
                <w:rFonts w:ascii="Arial" w:hAnsi="Arial" w:cs="Arial"/>
                <w:sz w:val="22"/>
                <w:szCs w:val="22"/>
              </w:rPr>
              <w:t>6</w:t>
            </w:r>
          </w:p>
        </w:tc>
      </w:tr>
      <w:tr w:rsidR="00CD171A" w:rsidRPr="009A6244" w:rsidTr="00FD7CEF">
        <w:trPr>
          <w:trHeight w:val="397"/>
        </w:trPr>
        <w:tc>
          <w:tcPr>
            <w:tcW w:w="2694"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Prihodi od poreza</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jc w:val="right"/>
              <w:rPr>
                <w:rFonts w:ascii="Arial" w:hAnsi="Arial" w:cs="Arial"/>
                <w:color w:val="auto"/>
                <w:sz w:val="22"/>
                <w:szCs w:val="22"/>
              </w:rPr>
            </w:pPr>
            <w:r w:rsidRPr="009A6244">
              <w:rPr>
                <w:rFonts w:ascii="Arial" w:hAnsi="Arial" w:cs="Arial"/>
                <w:color w:val="auto"/>
                <w:sz w:val="22"/>
                <w:szCs w:val="22"/>
              </w:rPr>
              <w:t>83.086</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178.310</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89.008</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107</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50</w:t>
            </w:r>
          </w:p>
        </w:tc>
      </w:tr>
      <w:tr w:rsidR="00CD171A" w:rsidRPr="009A6244" w:rsidTr="00FD7CEF">
        <w:trPr>
          <w:trHeight w:val="397"/>
        </w:trPr>
        <w:tc>
          <w:tcPr>
            <w:tcW w:w="2694"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Pomoći</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13</w:t>
            </w:r>
            <w:r w:rsidR="00CD171A" w:rsidRPr="009A6244">
              <w:rPr>
                <w:rFonts w:ascii="Arial" w:hAnsi="Arial" w:cs="Arial"/>
                <w:color w:val="auto"/>
                <w:sz w:val="22"/>
                <w:szCs w:val="22"/>
              </w:rPr>
              <w:t>.5</w:t>
            </w:r>
            <w:r>
              <w:rPr>
                <w:rFonts w:ascii="Arial" w:hAnsi="Arial" w:cs="Arial"/>
                <w:color w:val="auto"/>
                <w:sz w:val="22"/>
                <w:szCs w:val="22"/>
              </w:rPr>
              <w:t>28</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100.868</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17.823</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132</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18</w:t>
            </w:r>
          </w:p>
        </w:tc>
      </w:tr>
      <w:tr w:rsidR="00CD171A" w:rsidRPr="009A6244" w:rsidTr="00FD7CEF">
        <w:trPr>
          <w:trHeight w:val="397"/>
        </w:trPr>
        <w:tc>
          <w:tcPr>
            <w:tcW w:w="2694"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Prihodi od imovine</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jc w:val="right"/>
              <w:rPr>
                <w:rFonts w:ascii="Arial" w:hAnsi="Arial" w:cs="Arial"/>
                <w:color w:val="auto"/>
                <w:sz w:val="22"/>
                <w:szCs w:val="22"/>
              </w:rPr>
            </w:pPr>
            <w:r w:rsidRPr="009A6244">
              <w:rPr>
                <w:rFonts w:ascii="Arial" w:hAnsi="Arial" w:cs="Arial"/>
                <w:color w:val="auto"/>
                <w:sz w:val="22"/>
                <w:szCs w:val="22"/>
              </w:rPr>
              <w:t>52.</w:t>
            </w:r>
            <w:r w:rsidR="00166373">
              <w:rPr>
                <w:rFonts w:ascii="Arial" w:hAnsi="Arial" w:cs="Arial"/>
                <w:color w:val="auto"/>
                <w:sz w:val="22"/>
                <w:szCs w:val="22"/>
              </w:rPr>
              <w:t>469</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224.2</w:t>
            </w:r>
            <w:r w:rsidR="00D62C47">
              <w:rPr>
                <w:rFonts w:ascii="Arial" w:hAnsi="Arial" w:cs="Arial"/>
                <w:color w:val="auto"/>
                <w:sz w:val="22"/>
                <w:szCs w:val="22"/>
              </w:rPr>
              <w:t>69</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63.200</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120</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28</w:t>
            </w:r>
          </w:p>
        </w:tc>
      </w:tr>
      <w:tr w:rsidR="00CD171A" w:rsidRPr="009A6244" w:rsidTr="00FD7CEF">
        <w:trPr>
          <w:trHeight w:val="340"/>
        </w:trPr>
        <w:tc>
          <w:tcPr>
            <w:tcW w:w="2694"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 xml:space="preserve">Prihodi od </w:t>
            </w:r>
          </w:p>
          <w:p w:rsidR="00CD171A" w:rsidRPr="009A6244" w:rsidRDefault="00CD171A" w:rsidP="00CD171A">
            <w:pPr>
              <w:pStyle w:val="BodyText"/>
              <w:rPr>
                <w:rFonts w:ascii="Arial" w:hAnsi="Arial" w:cs="Arial"/>
                <w:sz w:val="22"/>
                <w:szCs w:val="22"/>
              </w:rPr>
            </w:pPr>
            <w:r w:rsidRPr="009A6244">
              <w:rPr>
                <w:rFonts w:ascii="Arial" w:hAnsi="Arial" w:cs="Arial"/>
                <w:sz w:val="22"/>
                <w:szCs w:val="22"/>
              </w:rPr>
              <w:t>administrativnih pristojbi</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46</w:t>
            </w:r>
            <w:r w:rsidR="00CD171A" w:rsidRPr="009A6244">
              <w:rPr>
                <w:rFonts w:ascii="Arial" w:hAnsi="Arial" w:cs="Arial"/>
                <w:color w:val="auto"/>
                <w:sz w:val="22"/>
                <w:szCs w:val="22"/>
              </w:rPr>
              <w:t>.</w:t>
            </w:r>
            <w:r>
              <w:rPr>
                <w:rFonts w:ascii="Arial" w:hAnsi="Arial" w:cs="Arial"/>
                <w:color w:val="auto"/>
                <w:sz w:val="22"/>
                <w:szCs w:val="22"/>
              </w:rPr>
              <w:t>096</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128.619</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58.122</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126</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45</w:t>
            </w:r>
          </w:p>
        </w:tc>
      </w:tr>
      <w:tr w:rsidR="00CD171A" w:rsidRPr="009A6244" w:rsidTr="00FD7CEF">
        <w:trPr>
          <w:trHeight w:val="397"/>
        </w:trPr>
        <w:tc>
          <w:tcPr>
            <w:tcW w:w="2694" w:type="dxa"/>
            <w:tcBorders>
              <w:top w:val="single" w:sz="6" w:space="0" w:color="auto"/>
              <w:left w:val="single" w:sz="6" w:space="0" w:color="auto"/>
              <w:bottom w:val="single" w:sz="6" w:space="0" w:color="auto"/>
              <w:right w:val="single" w:sz="6" w:space="0" w:color="auto"/>
            </w:tcBorders>
            <w:vAlign w:val="center"/>
          </w:tcPr>
          <w:p w:rsidR="00CD171A" w:rsidRPr="00413EAA" w:rsidRDefault="00CD171A" w:rsidP="00CD171A">
            <w:pPr>
              <w:pStyle w:val="BodyText"/>
              <w:rPr>
                <w:rFonts w:ascii="Arial" w:hAnsi="Arial" w:cs="Arial"/>
                <w:color w:val="auto"/>
                <w:sz w:val="22"/>
                <w:szCs w:val="22"/>
              </w:rPr>
            </w:pPr>
            <w:r w:rsidRPr="00413EAA">
              <w:rPr>
                <w:rFonts w:ascii="Arial" w:hAnsi="Arial" w:cs="Arial"/>
                <w:color w:val="auto"/>
                <w:sz w:val="22"/>
                <w:szCs w:val="22"/>
              </w:rPr>
              <w:t>Ostali prihodi</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413EAA" w:rsidRDefault="00166373" w:rsidP="00CD171A">
            <w:pPr>
              <w:pStyle w:val="BodyText"/>
              <w:jc w:val="right"/>
              <w:rPr>
                <w:rFonts w:ascii="Arial" w:hAnsi="Arial" w:cs="Arial"/>
                <w:color w:val="auto"/>
                <w:sz w:val="22"/>
                <w:szCs w:val="22"/>
              </w:rPr>
            </w:pPr>
            <w:r>
              <w:rPr>
                <w:rFonts w:ascii="Arial" w:hAnsi="Arial" w:cs="Arial"/>
                <w:color w:val="auto"/>
                <w:sz w:val="22"/>
                <w:szCs w:val="22"/>
              </w:rPr>
              <w:t>30</w:t>
            </w:r>
            <w:r w:rsidR="00CD171A" w:rsidRPr="00413EAA">
              <w:rPr>
                <w:rFonts w:ascii="Arial" w:hAnsi="Arial" w:cs="Arial"/>
                <w:color w:val="auto"/>
                <w:sz w:val="22"/>
                <w:szCs w:val="22"/>
              </w:rPr>
              <w:t>.</w:t>
            </w:r>
            <w:r>
              <w:rPr>
                <w:rFonts w:ascii="Arial" w:hAnsi="Arial" w:cs="Arial"/>
                <w:color w:val="auto"/>
                <w:sz w:val="22"/>
                <w:szCs w:val="22"/>
              </w:rPr>
              <w:t>925</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413EAA" w:rsidRDefault="00166373" w:rsidP="00CD171A">
            <w:pPr>
              <w:pStyle w:val="BodyText"/>
              <w:jc w:val="right"/>
              <w:rPr>
                <w:rFonts w:ascii="Arial" w:hAnsi="Arial" w:cs="Arial"/>
                <w:color w:val="auto"/>
                <w:sz w:val="22"/>
                <w:szCs w:val="22"/>
              </w:rPr>
            </w:pPr>
            <w:r>
              <w:rPr>
                <w:rFonts w:ascii="Arial" w:hAnsi="Arial" w:cs="Arial"/>
                <w:color w:val="auto"/>
                <w:sz w:val="22"/>
                <w:szCs w:val="22"/>
              </w:rPr>
              <w:t>29.799</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413EAA" w:rsidRDefault="00166373" w:rsidP="00CD171A">
            <w:pPr>
              <w:pStyle w:val="BodyText"/>
              <w:jc w:val="right"/>
              <w:rPr>
                <w:rFonts w:ascii="Arial" w:hAnsi="Arial" w:cs="Arial"/>
                <w:color w:val="auto"/>
                <w:sz w:val="22"/>
                <w:szCs w:val="22"/>
              </w:rPr>
            </w:pPr>
            <w:r>
              <w:rPr>
                <w:rFonts w:ascii="Arial" w:hAnsi="Arial" w:cs="Arial"/>
                <w:color w:val="auto"/>
                <w:sz w:val="22"/>
                <w:szCs w:val="22"/>
              </w:rPr>
              <w:t>6.752</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413EAA" w:rsidRDefault="00096DD0" w:rsidP="00CD171A">
            <w:pPr>
              <w:pStyle w:val="BodyText"/>
              <w:jc w:val="right"/>
              <w:rPr>
                <w:rFonts w:ascii="Arial" w:hAnsi="Arial" w:cs="Arial"/>
                <w:color w:val="auto"/>
                <w:sz w:val="22"/>
                <w:szCs w:val="22"/>
              </w:rPr>
            </w:pPr>
            <w:r>
              <w:rPr>
                <w:rFonts w:ascii="Arial" w:hAnsi="Arial" w:cs="Arial"/>
                <w:color w:val="auto"/>
                <w:sz w:val="22"/>
                <w:szCs w:val="22"/>
              </w:rPr>
              <w:t>22</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413EAA" w:rsidRDefault="004B2CEE" w:rsidP="00CD171A">
            <w:pPr>
              <w:pStyle w:val="BodyText"/>
              <w:jc w:val="right"/>
              <w:rPr>
                <w:rFonts w:ascii="Arial" w:hAnsi="Arial" w:cs="Arial"/>
                <w:color w:val="auto"/>
                <w:sz w:val="22"/>
                <w:szCs w:val="22"/>
              </w:rPr>
            </w:pPr>
            <w:r>
              <w:rPr>
                <w:rFonts w:ascii="Arial" w:hAnsi="Arial" w:cs="Arial"/>
                <w:color w:val="auto"/>
                <w:sz w:val="22"/>
                <w:szCs w:val="22"/>
              </w:rPr>
              <w:t>23</w:t>
            </w:r>
          </w:p>
        </w:tc>
      </w:tr>
      <w:tr w:rsidR="00CD171A" w:rsidRPr="009A6244" w:rsidTr="00FD7CEF">
        <w:trPr>
          <w:trHeight w:val="397"/>
        </w:trPr>
        <w:tc>
          <w:tcPr>
            <w:tcW w:w="2694"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Kazne, upravne mjere i drugi prihodi</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jc w:val="right"/>
              <w:rPr>
                <w:rFonts w:ascii="Arial" w:hAnsi="Arial" w:cs="Arial"/>
                <w:color w:val="auto"/>
                <w:sz w:val="22"/>
                <w:szCs w:val="22"/>
              </w:rPr>
            </w:pPr>
            <w:r w:rsidRPr="009A6244">
              <w:rPr>
                <w:rFonts w:ascii="Arial" w:hAnsi="Arial" w:cs="Arial"/>
                <w:color w:val="auto"/>
                <w:sz w:val="22"/>
                <w:szCs w:val="22"/>
              </w:rPr>
              <w:t>1.</w:t>
            </w:r>
            <w:r w:rsidR="00166373">
              <w:rPr>
                <w:rFonts w:ascii="Arial" w:hAnsi="Arial" w:cs="Arial"/>
                <w:color w:val="auto"/>
                <w:sz w:val="22"/>
                <w:szCs w:val="22"/>
              </w:rPr>
              <w:t>298</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3.210</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1.601</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123</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50</w:t>
            </w:r>
          </w:p>
        </w:tc>
      </w:tr>
      <w:tr w:rsidR="00CD171A" w:rsidRPr="009A6244" w:rsidTr="00FD7CEF">
        <w:trPr>
          <w:trHeight w:val="340"/>
        </w:trPr>
        <w:tc>
          <w:tcPr>
            <w:tcW w:w="2694"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Prihodi od prodaje</w:t>
            </w:r>
          </w:p>
          <w:p w:rsidR="00CD171A" w:rsidRPr="009A6244" w:rsidRDefault="00CD171A" w:rsidP="00CD171A">
            <w:pPr>
              <w:pStyle w:val="BodyText"/>
              <w:rPr>
                <w:rFonts w:ascii="Arial" w:hAnsi="Arial" w:cs="Arial"/>
                <w:sz w:val="22"/>
                <w:szCs w:val="22"/>
              </w:rPr>
            </w:pPr>
            <w:r w:rsidRPr="009A6244">
              <w:rPr>
                <w:rFonts w:ascii="Arial" w:hAnsi="Arial" w:cs="Arial"/>
                <w:sz w:val="22"/>
                <w:szCs w:val="22"/>
              </w:rPr>
              <w:t>neproizvedene imovine</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107</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4.000</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421</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393</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11</w:t>
            </w:r>
          </w:p>
        </w:tc>
      </w:tr>
      <w:tr w:rsidR="00CD171A" w:rsidRPr="009A6244" w:rsidTr="00166373">
        <w:trPr>
          <w:trHeight w:val="340"/>
        </w:trPr>
        <w:tc>
          <w:tcPr>
            <w:tcW w:w="2694" w:type="dxa"/>
            <w:tcBorders>
              <w:top w:val="single" w:sz="6" w:space="0" w:color="auto"/>
              <w:left w:val="single" w:sz="6" w:space="0" w:color="auto"/>
              <w:bottom w:val="single" w:sz="6" w:space="0" w:color="auto"/>
              <w:right w:val="single" w:sz="6" w:space="0" w:color="auto"/>
            </w:tcBorders>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Prihodi od prodaje</w:t>
            </w:r>
          </w:p>
          <w:p w:rsidR="00CD171A" w:rsidRPr="009A6244" w:rsidRDefault="00CD171A" w:rsidP="00CD171A">
            <w:pPr>
              <w:pStyle w:val="BodyText"/>
              <w:rPr>
                <w:rFonts w:ascii="Arial" w:hAnsi="Arial" w:cs="Arial"/>
                <w:sz w:val="22"/>
                <w:szCs w:val="22"/>
              </w:rPr>
            </w:pPr>
            <w:r w:rsidRPr="009A6244">
              <w:rPr>
                <w:rFonts w:ascii="Arial" w:hAnsi="Arial" w:cs="Arial"/>
                <w:sz w:val="22"/>
                <w:szCs w:val="22"/>
              </w:rPr>
              <w:t>proizvedene imovine</w:t>
            </w:r>
          </w:p>
        </w:tc>
        <w:tc>
          <w:tcPr>
            <w:tcW w:w="1701" w:type="dxa"/>
            <w:tcBorders>
              <w:top w:val="single" w:sz="6" w:space="0" w:color="auto"/>
              <w:left w:val="single" w:sz="6" w:space="0" w:color="auto"/>
              <w:bottom w:val="single" w:sz="6" w:space="0" w:color="auto"/>
              <w:right w:val="single" w:sz="6" w:space="0" w:color="auto"/>
            </w:tcBorders>
            <w:vAlign w:val="center"/>
          </w:tcPr>
          <w:p w:rsidR="00CD171A" w:rsidRPr="009A6244" w:rsidRDefault="00166373" w:rsidP="00CD171A">
            <w:pPr>
              <w:pStyle w:val="BodyText"/>
              <w:jc w:val="right"/>
              <w:rPr>
                <w:rFonts w:ascii="Arial" w:hAnsi="Arial" w:cs="Arial"/>
                <w:color w:val="auto"/>
                <w:sz w:val="22"/>
                <w:szCs w:val="22"/>
              </w:rPr>
            </w:pPr>
            <w:r>
              <w:rPr>
                <w:rFonts w:ascii="Arial" w:hAnsi="Arial" w:cs="Arial"/>
                <w:color w:val="auto"/>
                <w:sz w:val="22"/>
                <w:szCs w:val="22"/>
              </w:rPr>
              <w:t>1.111</w:t>
            </w:r>
          </w:p>
        </w:tc>
        <w:tc>
          <w:tcPr>
            <w:tcW w:w="1275" w:type="dxa"/>
            <w:tcBorders>
              <w:top w:val="single" w:sz="6" w:space="0" w:color="auto"/>
              <w:left w:val="single" w:sz="6" w:space="0" w:color="auto"/>
              <w:bottom w:val="single" w:sz="6" w:space="0" w:color="auto"/>
              <w:right w:val="single" w:sz="6" w:space="0" w:color="auto"/>
            </w:tcBorders>
            <w:vAlign w:val="center"/>
          </w:tcPr>
          <w:p w:rsidR="00CD171A" w:rsidRPr="009A6244" w:rsidRDefault="00FA4EA7" w:rsidP="00CD171A">
            <w:pPr>
              <w:pStyle w:val="BodyText"/>
              <w:jc w:val="right"/>
              <w:rPr>
                <w:rFonts w:ascii="Arial" w:hAnsi="Arial" w:cs="Arial"/>
                <w:color w:val="auto"/>
                <w:sz w:val="22"/>
                <w:szCs w:val="22"/>
              </w:rPr>
            </w:pPr>
            <w:r>
              <w:rPr>
                <w:rFonts w:ascii="Arial" w:hAnsi="Arial" w:cs="Arial"/>
                <w:color w:val="auto"/>
                <w:sz w:val="22"/>
                <w:szCs w:val="22"/>
              </w:rPr>
              <w:t>811</w:t>
            </w:r>
          </w:p>
        </w:tc>
        <w:tc>
          <w:tcPr>
            <w:tcW w:w="1418" w:type="dxa"/>
            <w:tcBorders>
              <w:top w:val="single" w:sz="6" w:space="0" w:color="auto"/>
              <w:left w:val="single" w:sz="6" w:space="0" w:color="auto"/>
              <w:bottom w:val="single" w:sz="6" w:space="0" w:color="auto"/>
              <w:right w:val="single" w:sz="6" w:space="0" w:color="auto"/>
            </w:tcBorders>
            <w:vAlign w:val="center"/>
          </w:tcPr>
          <w:p w:rsidR="00CD171A" w:rsidRPr="009A6244" w:rsidRDefault="00FA4EA7" w:rsidP="00CD171A">
            <w:pPr>
              <w:pStyle w:val="BodyText"/>
              <w:jc w:val="right"/>
              <w:rPr>
                <w:rFonts w:ascii="Arial" w:hAnsi="Arial" w:cs="Arial"/>
                <w:color w:val="auto"/>
                <w:sz w:val="22"/>
                <w:szCs w:val="22"/>
              </w:rPr>
            </w:pPr>
            <w:r>
              <w:rPr>
                <w:rFonts w:ascii="Arial" w:hAnsi="Arial" w:cs="Arial"/>
                <w:color w:val="auto"/>
                <w:sz w:val="22"/>
                <w:szCs w:val="22"/>
              </w:rPr>
              <w:t>624</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56</w:t>
            </w:r>
          </w:p>
        </w:tc>
        <w:tc>
          <w:tcPr>
            <w:tcW w:w="992" w:type="dxa"/>
            <w:tcBorders>
              <w:top w:val="single" w:sz="6" w:space="0" w:color="auto"/>
              <w:left w:val="single" w:sz="6" w:space="0" w:color="auto"/>
              <w:bottom w:val="single" w:sz="6" w:space="0" w:color="auto"/>
              <w:right w:val="single" w:sz="6" w:space="0" w:color="auto"/>
            </w:tcBorders>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77</w:t>
            </w:r>
          </w:p>
        </w:tc>
      </w:tr>
      <w:tr w:rsidR="00CD171A" w:rsidRPr="009A6244" w:rsidTr="00FD7CEF">
        <w:trPr>
          <w:trHeight w:val="340"/>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Primici od</w:t>
            </w:r>
          </w:p>
          <w:p w:rsidR="00CD171A" w:rsidRPr="009A6244" w:rsidRDefault="00CD171A" w:rsidP="00CD171A">
            <w:pPr>
              <w:pStyle w:val="BodyText"/>
              <w:rPr>
                <w:rFonts w:ascii="Arial" w:hAnsi="Arial" w:cs="Arial"/>
                <w:sz w:val="22"/>
                <w:szCs w:val="22"/>
              </w:rPr>
            </w:pPr>
            <w:r w:rsidRPr="009A6244">
              <w:rPr>
                <w:rFonts w:ascii="Arial" w:hAnsi="Arial" w:cs="Arial"/>
                <w:sz w:val="22"/>
                <w:szCs w:val="22"/>
              </w:rPr>
              <w:t xml:space="preserve">financijske imovine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jc w:val="right"/>
              <w:rPr>
                <w:rFonts w:ascii="Arial" w:hAnsi="Arial" w:cs="Arial"/>
                <w:color w:val="auto"/>
                <w:sz w:val="22"/>
                <w:szCs w:val="22"/>
              </w:rPr>
            </w:pPr>
            <w:r w:rsidRPr="009A6244">
              <w:rPr>
                <w:rFonts w:ascii="Arial" w:hAnsi="Arial" w:cs="Arial"/>
                <w:color w:val="auto"/>
                <w:sz w:val="22"/>
                <w:szCs w:val="22"/>
              </w:rPr>
              <w:t>99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FA4EA7" w:rsidP="00CD171A">
            <w:pPr>
              <w:pStyle w:val="BodyText"/>
              <w:jc w:val="right"/>
              <w:rPr>
                <w:rFonts w:ascii="Arial" w:hAnsi="Arial" w:cs="Arial"/>
                <w:color w:val="auto"/>
                <w:sz w:val="22"/>
                <w:szCs w:val="22"/>
              </w:rPr>
            </w:pPr>
            <w:r>
              <w:rPr>
                <w:rFonts w:ascii="Arial" w:hAnsi="Arial" w:cs="Arial"/>
                <w:color w:val="auto"/>
                <w:sz w:val="22"/>
                <w:szCs w:val="22"/>
              </w:rPr>
              <w:t>640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FA4EA7" w:rsidP="00CD171A">
            <w:pPr>
              <w:pStyle w:val="BodyText"/>
              <w:jc w:val="right"/>
              <w:rPr>
                <w:rFonts w:ascii="Arial" w:hAnsi="Arial" w:cs="Arial"/>
                <w:color w:val="auto"/>
                <w:sz w:val="22"/>
                <w:szCs w:val="22"/>
              </w:rPr>
            </w:pPr>
            <w:r>
              <w:rPr>
                <w:rFonts w:ascii="Arial" w:hAnsi="Arial" w:cs="Arial"/>
                <w:color w:val="auto"/>
                <w:sz w:val="22"/>
                <w:szCs w:val="22"/>
              </w:rPr>
              <w:t>611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615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95</w:t>
            </w:r>
          </w:p>
        </w:tc>
      </w:tr>
      <w:tr w:rsidR="00CD171A" w:rsidRPr="009A6244" w:rsidTr="00FD7CEF">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Primici od zaduživanja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jc w:val="right"/>
              <w:rPr>
                <w:rFonts w:ascii="Arial" w:hAnsi="Arial" w:cs="Arial"/>
                <w:color w:val="auto"/>
                <w:sz w:val="22"/>
                <w:szCs w:val="22"/>
              </w:rPr>
            </w:pPr>
            <w:r w:rsidRPr="009A6244">
              <w:rPr>
                <w:rFonts w:ascii="Arial" w:hAnsi="Arial" w:cs="Arial"/>
                <w:color w:val="auto"/>
                <w:sz w:val="22"/>
                <w:szCs w:val="22"/>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FA4EA7" w:rsidP="00CD171A">
            <w:pPr>
              <w:pStyle w:val="BodyText"/>
              <w:jc w:val="right"/>
              <w:rPr>
                <w:rFonts w:ascii="Arial" w:hAnsi="Arial" w:cs="Arial"/>
                <w:color w:val="auto"/>
                <w:sz w:val="22"/>
                <w:szCs w:val="22"/>
              </w:rPr>
            </w:pPr>
            <w:r>
              <w:rPr>
                <w:rFonts w:ascii="Arial" w:hAnsi="Arial" w:cs="Arial"/>
                <w:color w:val="auto"/>
                <w:sz w:val="22"/>
                <w:szCs w:val="22"/>
              </w:rPr>
              <w:t>115.0</w:t>
            </w:r>
            <w:r w:rsidR="00096DD0">
              <w:rPr>
                <w:rFonts w:ascii="Arial" w:hAnsi="Arial" w:cs="Arial"/>
                <w:color w:val="auto"/>
                <w:sz w:val="22"/>
                <w:szCs w:val="22"/>
              </w:rPr>
              <w:t>6</w:t>
            </w:r>
            <w:r>
              <w:rPr>
                <w:rFonts w:ascii="Arial" w:hAnsi="Arial" w:cs="Arial"/>
                <w:color w:val="auto"/>
                <w:sz w:val="22"/>
                <w:szCs w:val="22"/>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FA4EA7" w:rsidP="00CD171A">
            <w:pPr>
              <w:pStyle w:val="BodyText"/>
              <w:jc w:val="right"/>
              <w:rPr>
                <w:rFonts w:ascii="Arial" w:hAnsi="Arial" w:cs="Arial"/>
                <w:color w:val="auto"/>
                <w:sz w:val="22"/>
                <w:szCs w:val="22"/>
              </w:rPr>
            </w:pPr>
            <w:r>
              <w:rPr>
                <w:rFonts w:ascii="Arial" w:hAnsi="Arial" w:cs="Arial"/>
                <w:color w:val="auto"/>
                <w:sz w:val="22"/>
                <w:szCs w:val="22"/>
              </w:rPr>
              <w:t>46.371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40</w:t>
            </w:r>
          </w:p>
        </w:tc>
      </w:tr>
      <w:tr w:rsidR="00CD171A" w:rsidRPr="009A6244" w:rsidTr="00FD7CEF">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Višak prihoda</w:t>
            </w:r>
            <w:r w:rsidR="00BE2045">
              <w:rPr>
                <w:rFonts w:ascii="Arial" w:hAnsi="Arial" w:cs="Arial"/>
                <w:sz w:val="22"/>
                <w:szCs w:val="22"/>
              </w:rPr>
              <w:t>(prenesen iz prethodnog razdoblja)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EA48A2" w:rsidP="00CD171A">
            <w:pPr>
              <w:pStyle w:val="BodyText"/>
              <w:jc w:val="right"/>
              <w:rPr>
                <w:rFonts w:ascii="Arial" w:hAnsi="Arial" w:cs="Arial"/>
                <w:color w:val="auto"/>
                <w:sz w:val="22"/>
                <w:szCs w:val="22"/>
              </w:rPr>
            </w:pPr>
            <w:r>
              <w:rPr>
                <w:rFonts w:ascii="Arial" w:hAnsi="Arial" w:cs="Arial"/>
                <w:color w:val="auto"/>
                <w:sz w:val="22"/>
                <w:szCs w:val="22"/>
              </w:rPr>
              <w:t>26.103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FA4EA7" w:rsidP="00CD171A">
            <w:pPr>
              <w:pStyle w:val="BodyText"/>
              <w:jc w:val="right"/>
              <w:rPr>
                <w:rFonts w:ascii="Arial" w:hAnsi="Arial" w:cs="Arial"/>
                <w:color w:val="auto"/>
                <w:sz w:val="22"/>
                <w:szCs w:val="22"/>
              </w:rPr>
            </w:pPr>
            <w:r>
              <w:rPr>
                <w:rFonts w:ascii="Arial" w:hAnsi="Arial" w:cs="Arial"/>
                <w:color w:val="auto"/>
                <w:sz w:val="22"/>
                <w:szCs w:val="22"/>
              </w:rPr>
              <w:t>34.486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EA48A2" w:rsidP="00CD171A">
            <w:pPr>
              <w:pStyle w:val="BodyText"/>
              <w:jc w:val="right"/>
              <w:rPr>
                <w:rFonts w:ascii="Arial" w:hAnsi="Arial" w:cs="Arial"/>
                <w:color w:val="auto"/>
                <w:sz w:val="22"/>
                <w:szCs w:val="22"/>
              </w:rPr>
            </w:pPr>
            <w:r>
              <w:rPr>
                <w:rFonts w:ascii="Arial" w:hAnsi="Arial" w:cs="Arial"/>
                <w:color w:val="auto"/>
                <w:sz w:val="22"/>
                <w:szCs w:val="22"/>
              </w:rPr>
              <w:t>34.486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990285" w:rsidP="00CD171A">
            <w:pPr>
              <w:pStyle w:val="BodyText"/>
              <w:jc w:val="right"/>
              <w:rPr>
                <w:rFonts w:ascii="Arial" w:hAnsi="Arial" w:cs="Arial"/>
                <w:color w:val="auto"/>
                <w:sz w:val="22"/>
                <w:szCs w:val="22"/>
              </w:rPr>
            </w:pPr>
            <w:r>
              <w:rPr>
                <w:rFonts w:ascii="Arial" w:hAnsi="Arial" w:cs="Arial"/>
                <w:color w:val="auto"/>
                <w:sz w:val="22"/>
                <w:szCs w:val="22"/>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990285" w:rsidP="00CD171A">
            <w:pPr>
              <w:pStyle w:val="BodyText"/>
              <w:jc w:val="right"/>
              <w:rPr>
                <w:rFonts w:ascii="Arial" w:hAnsi="Arial" w:cs="Arial"/>
                <w:color w:val="auto"/>
                <w:sz w:val="22"/>
                <w:szCs w:val="22"/>
              </w:rPr>
            </w:pPr>
            <w:r>
              <w:rPr>
                <w:rFonts w:ascii="Arial" w:hAnsi="Arial" w:cs="Arial"/>
                <w:color w:val="auto"/>
                <w:sz w:val="22"/>
                <w:szCs w:val="22"/>
              </w:rPr>
              <w:t>/</w:t>
            </w:r>
          </w:p>
        </w:tc>
      </w:tr>
      <w:tr w:rsidR="00CD171A" w:rsidRPr="009A6244" w:rsidTr="00166373">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CD171A" w:rsidP="00CD171A">
            <w:pPr>
              <w:pStyle w:val="BodyText"/>
              <w:rPr>
                <w:rFonts w:ascii="Arial" w:hAnsi="Arial" w:cs="Arial"/>
                <w:sz w:val="22"/>
                <w:szCs w:val="22"/>
              </w:rPr>
            </w:pPr>
            <w:r w:rsidRPr="009A6244">
              <w:rPr>
                <w:rFonts w:ascii="Arial" w:hAnsi="Arial" w:cs="Arial"/>
                <w:sz w:val="22"/>
                <w:szCs w:val="22"/>
              </w:rPr>
              <w:t>U k u p n o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2</w:t>
            </w:r>
            <w:r w:rsidR="00EA48A2">
              <w:rPr>
                <w:rFonts w:ascii="Arial" w:hAnsi="Arial" w:cs="Arial"/>
                <w:color w:val="auto"/>
                <w:sz w:val="22"/>
                <w:szCs w:val="22"/>
              </w:rPr>
              <w:t>54</w:t>
            </w:r>
            <w:r w:rsidR="00CD171A" w:rsidRPr="009A6244">
              <w:rPr>
                <w:rFonts w:ascii="Arial" w:hAnsi="Arial" w:cs="Arial"/>
                <w:color w:val="auto"/>
                <w:sz w:val="22"/>
                <w:szCs w:val="22"/>
              </w:rPr>
              <w:t>.</w:t>
            </w:r>
            <w:r w:rsidR="00EA48A2">
              <w:rPr>
                <w:rFonts w:ascii="Arial" w:hAnsi="Arial" w:cs="Arial"/>
                <w:color w:val="auto"/>
                <w:sz w:val="22"/>
                <w:szCs w:val="22"/>
              </w:rPr>
              <w:t>822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820.072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EA48A2" w:rsidP="00CD171A">
            <w:pPr>
              <w:pStyle w:val="BodyText"/>
              <w:jc w:val="right"/>
              <w:rPr>
                <w:rFonts w:ascii="Arial" w:hAnsi="Arial" w:cs="Arial"/>
                <w:color w:val="auto"/>
                <w:sz w:val="22"/>
                <w:szCs w:val="22"/>
              </w:rPr>
            </w:pPr>
            <w:r>
              <w:rPr>
                <w:rFonts w:ascii="Arial" w:hAnsi="Arial" w:cs="Arial"/>
                <w:color w:val="auto"/>
                <w:sz w:val="22"/>
                <w:szCs w:val="22"/>
              </w:rPr>
              <w:t>319</w:t>
            </w:r>
            <w:r w:rsidR="00096DD0">
              <w:rPr>
                <w:rFonts w:ascii="Arial" w:hAnsi="Arial" w:cs="Arial"/>
                <w:color w:val="auto"/>
                <w:sz w:val="22"/>
                <w:szCs w:val="22"/>
              </w:rPr>
              <w:t>.</w:t>
            </w:r>
            <w:r>
              <w:rPr>
                <w:rFonts w:ascii="Arial" w:hAnsi="Arial" w:cs="Arial"/>
                <w:color w:val="auto"/>
                <w:sz w:val="22"/>
                <w:szCs w:val="22"/>
              </w:rPr>
              <w:t>01</w:t>
            </w:r>
            <w:r w:rsidR="005A63C6">
              <w:rPr>
                <w:rFonts w:ascii="Arial" w:hAnsi="Arial" w:cs="Arial"/>
                <w:color w:val="auto"/>
                <w:sz w:val="22"/>
                <w:szCs w:val="22"/>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096DD0" w:rsidP="00CD171A">
            <w:pPr>
              <w:pStyle w:val="BodyText"/>
              <w:jc w:val="right"/>
              <w:rPr>
                <w:rFonts w:ascii="Arial" w:hAnsi="Arial" w:cs="Arial"/>
                <w:color w:val="auto"/>
                <w:sz w:val="22"/>
                <w:szCs w:val="22"/>
              </w:rPr>
            </w:pPr>
            <w:r>
              <w:rPr>
                <w:rFonts w:ascii="Arial" w:hAnsi="Arial" w:cs="Arial"/>
                <w:color w:val="auto"/>
                <w:sz w:val="22"/>
                <w:szCs w:val="22"/>
              </w:rPr>
              <w:t>12</w:t>
            </w:r>
            <w:r w:rsidR="00EA48A2">
              <w:rPr>
                <w:rFonts w:ascii="Arial" w:hAnsi="Arial" w:cs="Arial"/>
                <w:color w:val="auto"/>
                <w:sz w:val="22"/>
                <w:szCs w:val="22"/>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171A" w:rsidRPr="009A6244" w:rsidRDefault="004B2CEE" w:rsidP="00CD171A">
            <w:pPr>
              <w:pStyle w:val="BodyText"/>
              <w:jc w:val="right"/>
              <w:rPr>
                <w:rFonts w:ascii="Arial" w:hAnsi="Arial" w:cs="Arial"/>
                <w:color w:val="auto"/>
                <w:sz w:val="22"/>
                <w:szCs w:val="22"/>
              </w:rPr>
            </w:pPr>
            <w:r>
              <w:rPr>
                <w:rFonts w:ascii="Arial" w:hAnsi="Arial" w:cs="Arial"/>
                <w:color w:val="auto"/>
                <w:sz w:val="22"/>
                <w:szCs w:val="22"/>
              </w:rPr>
              <w:t>3</w:t>
            </w:r>
            <w:r w:rsidR="00EA48A2">
              <w:rPr>
                <w:rFonts w:ascii="Arial" w:hAnsi="Arial" w:cs="Arial"/>
                <w:color w:val="auto"/>
                <w:sz w:val="22"/>
                <w:szCs w:val="22"/>
              </w:rPr>
              <w:t>9</w:t>
            </w:r>
          </w:p>
        </w:tc>
      </w:tr>
    </w:tbl>
    <w:p w:rsidR="0084219B" w:rsidRPr="009A6244" w:rsidRDefault="0084219B" w:rsidP="0084219B">
      <w:pPr>
        <w:pStyle w:val="BodyText"/>
        <w:rPr>
          <w:rFonts w:ascii="Arial" w:hAnsi="Arial" w:cs="Arial"/>
          <w:sz w:val="22"/>
          <w:szCs w:val="22"/>
        </w:rPr>
      </w:pPr>
      <w:r w:rsidRPr="009A6244">
        <w:rPr>
          <w:rFonts w:ascii="Arial" w:hAnsi="Arial" w:cs="Arial"/>
          <w:sz w:val="22"/>
          <w:szCs w:val="22"/>
        </w:rPr>
        <w:tab/>
      </w:r>
    </w:p>
    <w:p w:rsidR="00B02DAF" w:rsidRPr="009A6244" w:rsidRDefault="00B02DAF" w:rsidP="0084219B">
      <w:pPr>
        <w:pStyle w:val="BodyText"/>
        <w:rPr>
          <w:rFonts w:ascii="Arial" w:hAnsi="Arial" w:cs="Arial"/>
          <w:sz w:val="22"/>
          <w:szCs w:val="22"/>
        </w:rPr>
      </w:pPr>
    </w:p>
    <w:p w:rsidR="0084219B" w:rsidRPr="009A6244" w:rsidRDefault="0084219B" w:rsidP="0007474B">
      <w:pPr>
        <w:pStyle w:val="BodyText"/>
        <w:jc w:val="left"/>
        <w:rPr>
          <w:rFonts w:ascii="Arial" w:hAnsi="Arial" w:cs="Arial"/>
          <w:bCs/>
          <w:sz w:val="22"/>
          <w:szCs w:val="22"/>
        </w:rPr>
      </w:pPr>
      <w:r w:rsidRPr="009A6244">
        <w:rPr>
          <w:rFonts w:ascii="Arial" w:hAnsi="Arial" w:cs="Arial"/>
          <w:b/>
          <w:bCs/>
          <w:sz w:val="22"/>
          <w:szCs w:val="22"/>
        </w:rPr>
        <w:t>*</w:t>
      </w:r>
      <w:r w:rsidR="00DF1CEA" w:rsidRPr="009A6244">
        <w:rPr>
          <w:rFonts w:ascii="Arial" w:hAnsi="Arial" w:cs="Arial"/>
          <w:bCs/>
          <w:sz w:val="22"/>
          <w:szCs w:val="22"/>
        </w:rPr>
        <w:t>P</w:t>
      </w:r>
      <w:r w:rsidRPr="009A6244">
        <w:rPr>
          <w:rFonts w:ascii="Arial" w:hAnsi="Arial" w:cs="Arial"/>
          <w:bCs/>
          <w:sz w:val="22"/>
          <w:szCs w:val="22"/>
        </w:rPr>
        <w:t>rihodi proračunskih korisnika Grada Dubrovnika za201</w:t>
      </w:r>
      <w:r w:rsidR="00330BCE">
        <w:rPr>
          <w:rFonts w:ascii="Arial" w:hAnsi="Arial" w:cs="Arial"/>
          <w:bCs/>
          <w:sz w:val="22"/>
          <w:szCs w:val="22"/>
        </w:rPr>
        <w:t>8</w:t>
      </w:r>
      <w:r w:rsidRPr="009A6244">
        <w:rPr>
          <w:rFonts w:ascii="Arial" w:hAnsi="Arial" w:cs="Arial"/>
          <w:bCs/>
          <w:sz w:val="22"/>
          <w:szCs w:val="22"/>
        </w:rPr>
        <w:t xml:space="preserve">. godinu planirani su u ukupnom iznosu od </w:t>
      </w:r>
      <w:r w:rsidR="00236149" w:rsidRPr="009A6244">
        <w:rPr>
          <w:rFonts w:ascii="Arial" w:hAnsi="Arial" w:cs="Arial"/>
          <w:b/>
          <w:bCs/>
          <w:color w:val="auto"/>
          <w:sz w:val="22"/>
          <w:szCs w:val="22"/>
        </w:rPr>
        <w:t>3</w:t>
      </w:r>
      <w:r w:rsidR="00A75C03">
        <w:rPr>
          <w:rFonts w:ascii="Arial" w:hAnsi="Arial" w:cs="Arial"/>
          <w:b/>
          <w:bCs/>
          <w:color w:val="auto"/>
          <w:sz w:val="22"/>
          <w:szCs w:val="22"/>
        </w:rPr>
        <w:t>8</w:t>
      </w:r>
      <w:r w:rsidR="00236149" w:rsidRPr="009A6244">
        <w:rPr>
          <w:rFonts w:ascii="Arial" w:hAnsi="Arial" w:cs="Arial"/>
          <w:b/>
          <w:bCs/>
          <w:color w:val="auto"/>
          <w:sz w:val="22"/>
          <w:szCs w:val="22"/>
        </w:rPr>
        <w:t>.</w:t>
      </w:r>
      <w:r w:rsidR="00A75C03">
        <w:rPr>
          <w:rFonts w:ascii="Arial" w:hAnsi="Arial" w:cs="Arial"/>
          <w:b/>
          <w:bCs/>
          <w:color w:val="auto"/>
          <w:sz w:val="22"/>
          <w:szCs w:val="22"/>
        </w:rPr>
        <w:t>669</w:t>
      </w:r>
      <w:r w:rsidR="00C715D1" w:rsidRPr="009A6244">
        <w:rPr>
          <w:rFonts w:ascii="Arial" w:hAnsi="Arial" w:cs="Arial"/>
          <w:b/>
          <w:bCs/>
          <w:color w:val="auto"/>
          <w:sz w:val="22"/>
          <w:szCs w:val="22"/>
        </w:rPr>
        <w:t>.</w:t>
      </w:r>
      <w:r w:rsidR="00A75C03">
        <w:rPr>
          <w:rFonts w:ascii="Arial" w:hAnsi="Arial" w:cs="Arial"/>
          <w:b/>
          <w:bCs/>
          <w:color w:val="auto"/>
          <w:sz w:val="22"/>
          <w:szCs w:val="22"/>
        </w:rPr>
        <w:t>1</w:t>
      </w:r>
      <w:r w:rsidR="00C715D1" w:rsidRPr="009A6244">
        <w:rPr>
          <w:rFonts w:ascii="Arial" w:hAnsi="Arial" w:cs="Arial"/>
          <w:b/>
          <w:bCs/>
          <w:color w:val="auto"/>
          <w:sz w:val="22"/>
          <w:szCs w:val="22"/>
        </w:rPr>
        <w:t>00</w:t>
      </w:r>
      <w:r w:rsidRPr="009A6244">
        <w:rPr>
          <w:rFonts w:ascii="Arial" w:hAnsi="Arial" w:cs="Arial"/>
          <w:b/>
          <w:bCs/>
          <w:sz w:val="22"/>
          <w:szCs w:val="22"/>
        </w:rPr>
        <w:t xml:space="preserve"> kn</w:t>
      </w:r>
      <w:r w:rsidRPr="009A6244">
        <w:rPr>
          <w:rFonts w:ascii="Arial" w:hAnsi="Arial" w:cs="Arial"/>
          <w:bCs/>
          <w:sz w:val="22"/>
          <w:szCs w:val="22"/>
        </w:rPr>
        <w:t xml:space="preserve"> i isti su iskazani u koloni 3. zajedno s planiranim prihodima Grada.</w:t>
      </w:r>
    </w:p>
    <w:p w:rsidR="005F0C48" w:rsidRPr="009A6244" w:rsidRDefault="005F0C48" w:rsidP="0007474B">
      <w:pPr>
        <w:pStyle w:val="BodyText"/>
        <w:jc w:val="left"/>
        <w:rPr>
          <w:rFonts w:ascii="Arial" w:hAnsi="Arial" w:cs="Arial"/>
          <w:bCs/>
          <w:sz w:val="22"/>
          <w:szCs w:val="22"/>
        </w:rPr>
      </w:pPr>
      <w:r w:rsidRPr="009A6244">
        <w:rPr>
          <w:rFonts w:ascii="Arial" w:hAnsi="Arial" w:cs="Arial"/>
          <w:bCs/>
          <w:sz w:val="22"/>
          <w:szCs w:val="22"/>
        </w:rPr>
        <w:t xml:space="preserve">U navedenom razdoblju ostvareni su(sukladno dostavljenim izvještajima) </w:t>
      </w:r>
      <w:r w:rsidR="00590C55" w:rsidRPr="009A6244">
        <w:rPr>
          <w:rFonts w:ascii="Arial" w:hAnsi="Arial" w:cs="Arial"/>
          <w:bCs/>
          <w:sz w:val="22"/>
          <w:szCs w:val="22"/>
        </w:rPr>
        <w:t>u iznosu od 1</w:t>
      </w:r>
      <w:r w:rsidR="006B1FCC">
        <w:rPr>
          <w:rFonts w:ascii="Arial" w:hAnsi="Arial" w:cs="Arial"/>
          <w:bCs/>
          <w:sz w:val="22"/>
          <w:szCs w:val="22"/>
        </w:rPr>
        <w:t>9</w:t>
      </w:r>
      <w:r w:rsidR="00590C55" w:rsidRPr="009A6244">
        <w:rPr>
          <w:rFonts w:ascii="Arial" w:hAnsi="Arial" w:cs="Arial"/>
          <w:bCs/>
          <w:sz w:val="22"/>
          <w:szCs w:val="22"/>
        </w:rPr>
        <w:t>.</w:t>
      </w:r>
      <w:r w:rsidR="006B1FCC">
        <w:rPr>
          <w:rFonts w:ascii="Arial" w:hAnsi="Arial" w:cs="Arial"/>
          <w:bCs/>
          <w:sz w:val="22"/>
          <w:szCs w:val="22"/>
        </w:rPr>
        <w:t>066</w:t>
      </w:r>
      <w:r w:rsidR="00590C55" w:rsidRPr="009A6244">
        <w:rPr>
          <w:rFonts w:ascii="Arial" w:hAnsi="Arial" w:cs="Arial"/>
          <w:bCs/>
          <w:sz w:val="22"/>
          <w:szCs w:val="22"/>
        </w:rPr>
        <w:t>.</w:t>
      </w:r>
      <w:r w:rsidR="006B1FCC">
        <w:rPr>
          <w:rFonts w:ascii="Arial" w:hAnsi="Arial" w:cs="Arial"/>
          <w:bCs/>
          <w:sz w:val="22"/>
          <w:szCs w:val="22"/>
        </w:rPr>
        <w:t>6</w:t>
      </w:r>
      <w:r w:rsidR="00EB3B1B" w:rsidRPr="009A6244">
        <w:rPr>
          <w:rFonts w:ascii="Arial" w:hAnsi="Arial" w:cs="Arial"/>
          <w:bCs/>
          <w:sz w:val="22"/>
          <w:szCs w:val="22"/>
        </w:rPr>
        <w:t>6</w:t>
      </w:r>
      <w:r w:rsidR="006B1FCC">
        <w:rPr>
          <w:rFonts w:ascii="Arial" w:hAnsi="Arial" w:cs="Arial"/>
          <w:bCs/>
          <w:sz w:val="22"/>
          <w:szCs w:val="22"/>
        </w:rPr>
        <w:t>7</w:t>
      </w:r>
      <w:r w:rsidR="00590C55" w:rsidRPr="009A6244">
        <w:rPr>
          <w:rFonts w:ascii="Arial" w:hAnsi="Arial" w:cs="Arial"/>
          <w:bCs/>
          <w:sz w:val="22"/>
          <w:szCs w:val="22"/>
        </w:rPr>
        <w:t xml:space="preserve"> kuna</w:t>
      </w:r>
      <w:r w:rsidR="00330BCE">
        <w:rPr>
          <w:rFonts w:ascii="Arial" w:hAnsi="Arial" w:cs="Arial"/>
          <w:bCs/>
          <w:sz w:val="22"/>
          <w:szCs w:val="22"/>
        </w:rPr>
        <w:t>, odnosno</w:t>
      </w:r>
      <w:r w:rsidR="00590C55" w:rsidRPr="009A6244">
        <w:rPr>
          <w:rFonts w:ascii="Arial" w:hAnsi="Arial" w:cs="Arial"/>
          <w:bCs/>
          <w:sz w:val="22"/>
          <w:szCs w:val="22"/>
        </w:rPr>
        <w:t xml:space="preserve">j </w:t>
      </w:r>
      <w:r w:rsidR="006B1FCC">
        <w:rPr>
          <w:rFonts w:ascii="Arial" w:hAnsi="Arial" w:cs="Arial"/>
          <w:bCs/>
          <w:sz w:val="22"/>
          <w:szCs w:val="22"/>
        </w:rPr>
        <w:t>49</w:t>
      </w:r>
      <w:r w:rsidR="00590C55" w:rsidRPr="009A6244">
        <w:rPr>
          <w:rFonts w:ascii="Arial" w:hAnsi="Arial" w:cs="Arial"/>
          <w:bCs/>
          <w:sz w:val="22"/>
          <w:szCs w:val="22"/>
        </w:rPr>
        <w:t>%</w:t>
      </w:r>
      <w:r w:rsidR="00B30ED2">
        <w:rPr>
          <w:rFonts w:ascii="Arial" w:hAnsi="Arial" w:cs="Arial"/>
          <w:bCs/>
          <w:sz w:val="22"/>
          <w:szCs w:val="22"/>
        </w:rPr>
        <w:t xml:space="preserve"> od planiranog.</w:t>
      </w:r>
    </w:p>
    <w:p w:rsidR="00D4118D" w:rsidRPr="009A6244" w:rsidRDefault="00D4118D" w:rsidP="00A029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rsidR="00401E30" w:rsidRPr="009A6244" w:rsidRDefault="00401E30" w:rsidP="00A029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rsidR="00112533" w:rsidRPr="00CE14D3" w:rsidRDefault="004D48FA" w:rsidP="0007474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E14D3">
        <w:rPr>
          <w:rFonts w:ascii="Arial" w:hAnsi="Arial" w:cs="Arial"/>
          <w:b/>
          <w:bCs/>
          <w:sz w:val="22"/>
          <w:szCs w:val="22"/>
        </w:rPr>
        <w:t>Porezni prihodi</w:t>
      </w:r>
      <w:r w:rsidRPr="00CE14D3">
        <w:rPr>
          <w:rFonts w:ascii="Arial" w:hAnsi="Arial" w:cs="Arial"/>
          <w:sz w:val="22"/>
          <w:szCs w:val="22"/>
        </w:rPr>
        <w:t xml:space="preserve"> ostvareni su u iznosu od </w:t>
      </w:r>
      <w:r w:rsidR="00590C55" w:rsidRPr="00CE14D3">
        <w:rPr>
          <w:rFonts w:ascii="Arial" w:hAnsi="Arial" w:cs="Arial"/>
          <w:b/>
          <w:sz w:val="22"/>
          <w:szCs w:val="22"/>
        </w:rPr>
        <w:t>8</w:t>
      </w:r>
      <w:r w:rsidR="00CE14D3" w:rsidRPr="00CE14D3">
        <w:rPr>
          <w:rFonts w:ascii="Arial" w:hAnsi="Arial" w:cs="Arial"/>
          <w:b/>
          <w:sz w:val="22"/>
          <w:szCs w:val="22"/>
        </w:rPr>
        <w:t>9</w:t>
      </w:r>
      <w:r w:rsidR="009902F2" w:rsidRPr="00CE14D3">
        <w:rPr>
          <w:rFonts w:ascii="Arial" w:hAnsi="Arial" w:cs="Arial"/>
          <w:b/>
          <w:sz w:val="22"/>
          <w:szCs w:val="22"/>
        </w:rPr>
        <w:t>.</w:t>
      </w:r>
      <w:r w:rsidR="00590C55" w:rsidRPr="00CE14D3">
        <w:rPr>
          <w:rFonts w:ascii="Arial" w:hAnsi="Arial" w:cs="Arial"/>
          <w:b/>
          <w:sz w:val="22"/>
          <w:szCs w:val="22"/>
        </w:rPr>
        <w:t>0</w:t>
      </w:r>
      <w:r w:rsidR="00CE14D3" w:rsidRPr="00CE14D3">
        <w:rPr>
          <w:rFonts w:ascii="Arial" w:hAnsi="Arial" w:cs="Arial"/>
          <w:b/>
          <w:sz w:val="22"/>
          <w:szCs w:val="22"/>
        </w:rPr>
        <w:t>08</w:t>
      </w:r>
      <w:r w:rsidR="0067016B" w:rsidRPr="00CE14D3">
        <w:rPr>
          <w:rFonts w:ascii="Arial" w:hAnsi="Arial" w:cs="Arial"/>
          <w:b/>
          <w:sz w:val="22"/>
          <w:szCs w:val="22"/>
        </w:rPr>
        <w:t>.</w:t>
      </w:r>
      <w:r w:rsidR="00CE14D3" w:rsidRPr="00CE14D3">
        <w:rPr>
          <w:rFonts w:ascii="Arial" w:hAnsi="Arial" w:cs="Arial"/>
          <w:b/>
          <w:sz w:val="22"/>
          <w:szCs w:val="22"/>
        </w:rPr>
        <w:t>392</w:t>
      </w:r>
      <w:r w:rsidRPr="00CE14D3">
        <w:rPr>
          <w:rFonts w:ascii="Arial" w:hAnsi="Arial" w:cs="Arial"/>
          <w:sz w:val="22"/>
          <w:szCs w:val="22"/>
        </w:rPr>
        <w:t>kun</w:t>
      </w:r>
      <w:r w:rsidR="0067016B" w:rsidRPr="00CE14D3">
        <w:rPr>
          <w:rFonts w:ascii="Arial" w:hAnsi="Arial" w:cs="Arial"/>
          <w:sz w:val="22"/>
          <w:szCs w:val="22"/>
        </w:rPr>
        <w:t>e</w:t>
      </w:r>
      <w:r w:rsidRPr="00CE14D3">
        <w:rPr>
          <w:rFonts w:ascii="Arial" w:hAnsi="Arial" w:cs="Arial"/>
          <w:sz w:val="22"/>
          <w:szCs w:val="22"/>
        </w:rPr>
        <w:t xml:space="preserve"> što je </w:t>
      </w:r>
      <w:r w:rsidR="00590C55" w:rsidRPr="00CE14D3">
        <w:rPr>
          <w:rFonts w:ascii="Arial" w:hAnsi="Arial" w:cs="Arial"/>
          <w:sz w:val="22"/>
          <w:szCs w:val="22"/>
        </w:rPr>
        <w:t>5</w:t>
      </w:r>
      <w:r w:rsidR="00CE14D3" w:rsidRPr="00CE14D3">
        <w:rPr>
          <w:rFonts w:ascii="Arial" w:hAnsi="Arial" w:cs="Arial"/>
          <w:sz w:val="22"/>
          <w:szCs w:val="22"/>
        </w:rPr>
        <w:t>0</w:t>
      </w:r>
      <w:r w:rsidRPr="00CE14D3">
        <w:rPr>
          <w:rFonts w:ascii="Arial" w:hAnsi="Arial" w:cs="Arial"/>
          <w:sz w:val="22"/>
          <w:szCs w:val="22"/>
        </w:rPr>
        <w:t xml:space="preserve">% od ukupno planiranog, </w:t>
      </w:r>
    </w:p>
    <w:p w:rsidR="00B02DAF" w:rsidRPr="009A6244" w:rsidRDefault="001A18DA" w:rsidP="0007474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CE14D3">
        <w:rPr>
          <w:rFonts w:ascii="Arial" w:hAnsi="Arial" w:cs="Arial"/>
          <w:sz w:val="22"/>
          <w:szCs w:val="22"/>
        </w:rPr>
        <w:t xml:space="preserve">a kako je naplata istih u nadležnosti RH, </w:t>
      </w:r>
      <w:r w:rsidR="00DD6D36" w:rsidRPr="00CE14D3">
        <w:rPr>
          <w:rFonts w:ascii="Arial" w:hAnsi="Arial" w:cs="Arial"/>
          <w:sz w:val="22"/>
          <w:szCs w:val="22"/>
        </w:rPr>
        <w:t>Grad nije u mogućnosti ut</w:t>
      </w:r>
      <w:r w:rsidR="008206B5" w:rsidRPr="00CE14D3">
        <w:rPr>
          <w:rFonts w:ascii="Arial" w:hAnsi="Arial" w:cs="Arial"/>
          <w:sz w:val="22"/>
          <w:szCs w:val="22"/>
        </w:rPr>
        <w:t>je</w:t>
      </w:r>
      <w:r w:rsidR="00DD6D36" w:rsidRPr="00CE14D3">
        <w:rPr>
          <w:rFonts w:ascii="Arial" w:hAnsi="Arial" w:cs="Arial"/>
          <w:sz w:val="22"/>
          <w:szCs w:val="22"/>
        </w:rPr>
        <w:t>cati na visinu ovih prihoda.</w:t>
      </w:r>
      <w:r w:rsidR="00A734B0" w:rsidRPr="00CE14D3">
        <w:rPr>
          <w:rFonts w:ascii="Arial" w:hAnsi="Arial" w:cs="Arial"/>
          <w:sz w:val="22"/>
          <w:szCs w:val="22"/>
        </w:rPr>
        <w:t xml:space="preserve"> Porezi č</w:t>
      </w:r>
      <w:r w:rsidR="0058478A" w:rsidRPr="00CE14D3">
        <w:rPr>
          <w:rFonts w:ascii="Arial" w:hAnsi="Arial" w:cs="Arial"/>
          <w:sz w:val="22"/>
          <w:szCs w:val="22"/>
        </w:rPr>
        <w:t xml:space="preserve">ine </w:t>
      </w:r>
      <w:r w:rsidR="00C26553" w:rsidRPr="00CE14D3">
        <w:rPr>
          <w:rFonts w:ascii="Arial" w:hAnsi="Arial" w:cs="Arial"/>
          <w:sz w:val="22"/>
          <w:szCs w:val="22"/>
        </w:rPr>
        <w:t>3</w:t>
      </w:r>
      <w:r w:rsidR="00CE14D3" w:rsidRPr="00CE14D3">
        <w:rPr>
          <w:rFonts w:ascii="Arial" w:hAnsi="Arial" w:cs="Arial"/>
          <w:sz w:val="22"/>
          <w:szCs w:val="22"/>
        </w:rPr>
        <w:t>1,28</w:t>
      </w:r>
      <w:r w:rsidR="0058478A" w:rsidRPr="00CE14D3">
        <w:rPr>
          <w:rFonts w:ascii="Arial" w:hAnsi="Arial" w:cs="Arial"/>
          <w:sz w:val="22"/>
          <w:szCs w:val="22"/>
        </w:rPr>
        <w:t xml:space="preserve">% </w:t>
      </w:r>
      <w:r w:rsidR="009902F2" w:rsidRPr="00CE14D3">
        <w:rPr>
          <w:rFonts w:ascii="Arial" w:hAnsi="Arial" w:cs="Arial"/>
          <w:sz w:val="22"/>
          <w:szCs w:val="22"/>
        </w:rPr>
        <w:t xml:space="preserve">od </w:t>
      </w:r>
      <w:r w:rsidR="0058478A" w:rsidRPr="00CE14D3">
        <w:rPr>
          <w:rFonts w:ascii="Arial" w:hAnsi="Arial" w:cs="Arial"/>
          <w:sz w:val="22"/>
          <w:szCs w:val="22"/>
        </w:rPr>
        <w:t>ukupno ostvarenih prihoda</w:t>
      </w:r>
      <w:r w:rsidR="00CE14D3" w:rsidRPr="00CE14D3">
        <w:rPr>
          <w:rFonts w:ascii="Arial" w:hAnsi="Arial" w:cs="Arial"/>
          <w:sz w:val="22"/>
          <w:szCs w:val="22"/>
        </w:rPr>
        <w:t xml:space="preserve"> i primitaka za polugodišnje razdoblje</w:t>
      </w:r>
      <w:r w:rsidR="0058478A" w:rsidRPr="00CE14D3">
        <w:rPr>
          <w:rFonts w:ascii="Arial" w:hAnsi="Arial" w:cs="Arial"/>
          <w:sz w:val="22"/>
          <w:szCs w:val="22"/>
        </w:rPr>
        <w:t>.</w:t>
      </w:r>
      <w:r w:rsidR="00446AB2" w:rsidRPr="00CE14D3">
        <w:rPr>
          <w:rFonts w:ascii="Arial" w:hAnsi="Arial" w:cs="Arial"/>
          <w:sz w:val="22"/>
          <w:szCs w:val="22"/>
        </w:rPr>
        <w:t xml:space="preserve">Interesantno je pogledati ostvarenje po pojedinim </w:t>
      </w:r>
      <w:r w:rsidR="00446AB2" w:rsidRPr="00CE14D3">
        <w:rPr>
          <w:rFonts w:ascii="Arial" w:hAnsi="Arial" w:cs="Arial"/>
          <w:color w:val="auto"/>
          <w:sz w:val="22"/>
          <w:szCs w:val="22"/>
        </w:rPr>
        <w:t>skupinama</w:t>
      </w:r>
      <w:r w:rsidR="0007474B" w:rsidRPr="00CE14D3">
        <w:rPr>
          <w:rFonts w:ascii="Arial" w:hAnsi="Arial" w:cs="Arial"/>
          <w:color w:val="auto"/>
          <w:sz w:val="22"/>
          <w:szCs w:val="22"/>
        </w:rPr>
        <w:t xml:space="preserve"> iskazane</w:t>
      </w:r>
      <w:r w:rsidR="00590C55" w:rsidRPr="00CE14D3">
        <w:rPr>
          <w:rFonts w:ascii="Arial" w:hAnsi="Arial" w:cs="Arial"/>
          <w:color w:val="auto"/>
          <w:sz w:val="22"/>
          <w:szCs w:val="22"/>
        </w:rPr>
        <w:t xml:space="preserve"> u tablici br. 2</w:t>
      </w:r>
      <w:r w:rsidR="0007474B" w:rsidRPr="00CE14D3">
        <w:rPr>
          <w:rFonts w:ascii="Arial" w:hAnsi="Arial" w:cs="Arial"/>
          <w:color w:val="auto"/>
          <w:sz w:val="22"/>
          <w:szCs w:val="22"/>
        </w:rPr>
        <w:t>.</w:t>
      </w:r>
    </w:p>
    <w:p w:rsidR="00B02DAF" w:rsidRPr="009A6244" w:rsidRDefault="00B02DAF" w:rsidP="008F40CA">
      <w:pPr>
        <w:pStyle w:val="BodyTextIndent"/>
        <w:ind w:firstLine="0"/>
        <w:rPr>
          <w:rFonts w:ascii="Arial" w:hAnsi="Arial" w:cs="Arial"/>
          <w:b/>
          <w:sz w:val="22"/>
          <w:szCs w:val="22"/>
        </w:rPr>
      </w:pPr>
    </w:p>
    <w:p w:rsidR="00B02DAF" w:rsidRPr="009A6244" w:rsidRDefault="00B02DAF" w:rsidP="008F40CA">
      <w:pPr>
        <w:pStyle w:val="BodyTextIndent"/>
        <w:ind w:firstLine="0"/>
        <w:rPr>
          <w:rFonts w:ascii="Arial" w:hAnsi="Arial" w:cs="Arial"/>
          <w:b/>
          <w:sz w:val="22"/>
          <w:szCs w:val="22"/>
        </w:rPr>
      </w:pPr>
    </w:p>
    <w:p w:rsidR="00B02DAF" w:rsidRPr="009A6244" w:rsidRDefault="00B02DAF" w:rsidP="008F40CA">
      <w:pPr>
        <w:pStyle w:val="BodyTextIndent"/>
        <w:ind w:firstLine="0"/>
        <w:rPr>
          <w:rFonts w:ascii="Arial" w:hAnsi="Arial" w:cs="Arial"/>
          <w:b/>
          <w:sz w:val="22"/>
          <w:szCs w:val="22"/>
        </w:rPr>
      </w:pPr>
    </w:p>
    <w:p w:rsidR="00B02DAF" w:rsidRPr="009A6244" w:rsidRDefault="00B02DAF" w:rsidP="008F40CA">
      <w:pPr>
        <w:pStyle w:val="BodyTextIndent"/>
        <w:ind w:firstLine="0"/>
        <w:rPr>
          <w:rFonts w:ascii="Arial" w:hAnsi="Arial" w:cs="Arial"/>
          <w:b/>
          <w:sz w:val="22"/>
          <w:szCs w:val="22"/>
        </w:rPr>
      </w:pPr>
    </w:p>
    <w:p w:rsidR="004D48FA" w:rsidRPr="009A6244" w:rsidRDefault="004D48FA" w:rsidP="008F40CA">
      <w:pPr>
        <w:pStyle w:val="BodyTextIndent"/>
        <w:ind w:firstLine="0"/>
        <w:rPr>
          <w:rFonts w:ascii="Arial" w:hAnsi="Arial" w:cs="Arial"/>
          <w:sz w:val="22"/>
          <w:szCs w:val="22"/>
        </w:rPr>
      </w:pPr>
      <w:r w:rsidRPr="009A6244">
        <w:rPr>
          <w:rFonts w:ascii="Arial" w:hAnsi="Arial" w:cs="Arial"/>
          <w:b/>
          <w:sz w:val="22"/>
          <w:szCs w:val="22"/>
        </w:rPr>
        <w:t>Tab</w:t>
      </w:r>
      <w:r w:rsidR="00A61A3E" w:rsidRPr="009A6244">
        <w:rPr>
          <w:rFonts w:ascii="Arial" w:hAnsi="Arial" w:cs="Arial"/>
          <w:b/>
          <w:sz w:val="22"/>
          <w:szCs w:val="22"/>
        </w:rPr>
        <w:t>lic</w:t>
      </w:r>
      <w:r w:rsidRPr="009A6244">
        <w:rPr>
          <w:rFonts w:ascii="Arial" w:hAnsi="Arial" w:cs="Arial"/>
          <w:b/>
          <w:sz w:val="22"/>
          <w:szCs w:val="22"/>
        </w:rPr>
        <w:t xml:space="preserve">a br. 2.   </w:t>
      </w:r>
      <w:r w:rsidRPr="009A6244">
        <w:rPr>
          <w:rFonts w:ascii="Arial" w:hAnsi="Arial" w:cs="Arial"/>
          <w:sz w:val="22"/>
          <w:szCs w:val="22"/>
        </w:rPr>
        <w:t>u  000 kuna</w:t>
      </w:r>
    </w:p>
    <w:p w:rsidR="00401E30" w:rsidRPr="009A6244" w:rsidRDefault="00401E30" w:rsidP="008F40CA">
      <w:pPr>
        <w:pStyle w:val="BodyTextIndent"/>
        <w:ind w:firstLine="0"/>
        <w:rPr>
          <w:rFonts w:ascii="Arial" w:hAnsi="Arial" w:cs="Arial"/>
          <w:sz w:val="22"/>
          <w:szCs w:val="22"/>
        </w:rPr>
      </w:pPr>
    </w:p>
    <w:tbl>
      <w:tblPr>
        <w:tblW w:w="893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552"/>
        <w:gridCol w:w="1559"/>
        <w:gridCol w:w="1276"/>
        <w:gridCol w:w="1559"/>
        <w:gridCol w:w="992"/>
        <w:gridCol w:w="993"/>
      </w:tblGrid>
      <w:tr w:rsidR="001043A5" w:rsidRPr="009A6244" w:rsidTr="001043A5">
        <w:tc>
          <w:tcPr>
            <w:tcW w:w="2552"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 xml:space="preserve">POREZNI </w:t>
            </w:r>
          </w:p>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PRIHODI</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Ostvarenje</w:t>
            </w:r>
          </w:p>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 xml:space="preserve">01. - 06. </w:t>
            </w:r>
            <w:r w:rsidR="000370F4">
              <w:rPr>
                <w:rFonts w:ascii="Arial" w:hAnsi="Arial" w:cs="Arial"/>
                <w:b/>
                <w:sz w:val="22"/>
                <w:szCs w:val="22"/>
              </w:rPr>
              <w:t>20</w:t>
            </w:r>
            <w:r w:rsidRPr="009A6244">
              <w:rPr>
                <w:rFonts w:ascii="Arial" w:hAnsi="Arial" w:cs="Arial"/>
                <w:b/>
                <w:sz w:val="22"/>
                <w:szCs w:val="22"/>
              </w:rPr>
              <w:t>18 .</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Plan</w:t>
            </w:r>
          </w:p>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201</w:t>
            </w:r>
            <w:r>
              <w:rPr>
                <w:rFonts w:ascii="Arial" w:hAnsi="Arial" w:cs="Arial"/>
                <w:b/>
                <w:sz w:val="22"/>
                <w:szCs w:val="22"/>
              </w:rPr>
              <w:t>9</w:t>
            </w:r>
            <w:r w:rsidRPr="009A6244">
              <w:rPr>
                <w:rFonts w:ascii="Arial" w:hAnsi="Arial" w:cs="Arial"/>
                <w:b/>
                <w:sz w:val="22"/>
                <w:szCs w:val="22"/>
              </w:rPr>
              <w:t>.</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Ostvarenje</w:t>
            </w:r>
          </w:p>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 xml:space="preserve">01. - 06. </w:t>
            </w:r>
            <w:r w:rsidR="000370F4">
              <w:rPr>
                <w:rFonts w:ascii="Arial" w:hAnsi="Arial" w:cs="Arial"/>
                <w:b/>
                <w:sz w:val="22"/>
                <w:szCs w:val="22"/>
              </w:rPr>
              <w:t>20</w:t>
            </w:r>
            <w:r w:rsidRPr="009A6244">
              <w:rPr>
                <w:rFonts w:ascii="Arial" w:hAnsi="Arial" w:cs="Arial"/>
                <w:b/>
                <w:sz w:val="22"/>
                <w:szCs w:val="22"/>
              </w:rPr>
              <w:t>1</w:t>
            </w:r>
            <w:r>
              <w:rPr>
                <w:rFonts w:ascii="Arial" w:hAnsi="Arial" w:cs="Arial"/>
                <w:b/>
                <w:sz w:val="22"/>
                <w:szCs w:val="22"/>
              </w:rPr>
              <w:t>9</w:t>
            </w:r>
            <w:r w:rsidRPr="009A6244">
              <w:rPr>
                <w:rFonts w:ascii="Arial" w:hAnsi="Arial" w:cs="Arial"/>
                <w:b/>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4/2</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4/3</w:t>
            </w:r>
          </w:p>
        </w:tc>
      </w:tr>
      <w:tr w:rsidR="001043A5" w:rsidRPr="009A6244" w:rsidTr="001043A5">
        <w:tc>
          <w:tcPr>
            <w:tcW w:w="2552"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1</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2</w:t>
            </w:r>
          </w:p>
        </w:tc>
        <w:tc>
          <w:tcPr>
            <w:tcW w:w="1276"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3</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4</w:t>
            </w:r>
          </w:p>
        </w:tc>
        <w:tc>
          <w:tcPr>
            <w:tcW w:w="992"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5</w:t>
            </w:r>
          </w:p>
        </w:tc>
        <w:tc>
          <w:tcPr>
            <w:tcW w:w="993"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6</w:t>
            </w:r>
          </w:p>
        </w:tc>
      </w:tr>
      <w:tr w:rsidR="001043A5" w:rsidRPr="009A6244" w:rsidTr="001043A5">
        <w:tc>
          <w:tcPr>
            <w:tcW w:w="2552"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Porez i prirez na dohodak</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66.359</w:t>
            </w:r>
          </w:p>
        </w:tc>
        <w:tc>
          <w:tcPr>
            <w:tcW w:w="1276"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w:t>
            </w:r>
            <w:r>
              <w:rPr>
                <w:rFonts w:ascii="Arial" w:hAnsi="Arial" w:cs="Arial"/>
                <w:color w:val="auto"/>
                <w:sz w:val="22"/>
                <w:szCs w:val="22"/>
              </w:rPr>
              <w:t>37</w:t>
            </w:r>
            <w:r w:rsidRPr="009A6244">
              <w:rPr>
                <w:rFonts w:ascii="Arial" w:hAnsi="Arial" w:cs="Arial"/>
                <w:color w:val="auto"/>
                <w:sz w:val="22"/>
                <w:szCs w:val="22"/>
              </w:rPr>
              <w:t>.</w:t>
            </w:r>
            <w:r>
              <w:rPr>
                <w:rFonts w:ascii="Arial" w:hAnsi="Arial" w:cs="Arial"/>
                <w:color w:val="auto"/>
                <w:sz w:val="22"/>
                <w:szCs w:val="22"/>
              </w:rPr>
              <w:t>9</w:t>
            </w:r>
            <w:r w:rsidRPr="009A6244">
              <w:rPr>
                <w:rFonts w:ascii="Arial" w:hAnsi="Arial" w:cs="Arial"/>
                <w:color w:val="auto"/>
                <w:sz w:val="22"/>
                <w:szCs w:val="22"/>
              </w:rPr>
              <w:t>00</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361257"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73</w:t>
            </w:r>
            <w:r w:rsidR="001043A5" w:rsidRPr="009A6244">
              <w:rPr>
                <w:rFonts w:ascii="Arial" w:hAnsi="Arial" w:cs="Arial"/>
                <w:color w:val="auto"/>
                <w:sz w:val="22"/>
                <w:szCs w:val="22"/>
              </w:rPr>
              <w:t>.</w:t>
            </w:r>
            <w:r>
              <w:rPr>
                <w:rFonts w:ascii="Arial" w:hAnsi="Arial" w:cs="Arial"/>
                <w:color w:val="auto"/>
                <w:sz w:val="22"/>
                <w:szCs w:val="22"/>
              </w:rPr>
              <w:t>426</w:t>
            </w:r>
          </w:p>
        </w:tc>
        <w:tc>
          <w:tcPr>
            <w:tcW w:w="992"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1</w:t>
            </w:r>
            <w:r w:rsidR="00361257">
              <w:rPr>
                <w:rFonts w:ascii="Arial" w:hAnsi="Arial" w:cs="Arial"/>
                <w:color w:val="auto"/>
                <w:sz w:val="22"/>
                <w:szCs w:val="22"/>
              </w:rPr>
              <w:t>11</w:t>
            </w:r>
          </w:p>
        </w:tc>
        <w:tc>
          <w:tcPr>
            <w:tcW w:w="993"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5</w:t>
            </w:r>
            <w:r w:rsidR="00361257">
              <w:rPr>
                <w:rFonts w:ascii="Arial" w:hAnsi="Arial" w:cs="Arial"/>
                <w:color w:val="auto"/>
                <w:sz w:val="22"/>
                <w:szCs w:val="22"/>
              </w:rPr>
              <w:t>3</w:t>
            </w:r>
          </w:p>
        </w:tc>
      </w:tr>
      <w:tr w:rsidR="001043A5" w:rsidRPr="009A6244" w:rsidTr="001043A5">
        <w:trPr>
          <w:trHeight w:val="397"/>
        </w:trPr>
        <w:tc>
          <w:tcPr>
            <w:tcW w:w="2552"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A6244">
              <w:rPr>
                <w:rFonts w:ascii="Arial" w:hAnsi="Arial" w:cs="Arial"/>
                <w:sz w:val="22"/>
                <w:szCs w:val="22"/>
              </w:rPr>
              <w:t>Porez na imovinu</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13.895</w:t>
            </w:r>
          </w:p>
        </w:tc>
        <w:tc>
          <w:tcPr>
            <w:tcW w:w="1276"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2</w:t>
            </w:r>
            <w:r>
              <w:rPr>
                <w:rFonts w:ascii="Arial" w:hAnsi="Arial" w:cs="Arial"/>
                <w:color w:val="auto"/>
                <w:sz w:val="22"/>
                <w:szCs w:val="22"/>
              </w:rPr>
              <w:t>6</w:t>
            </w:r>
            <w:r w:rsidRPr="009A6244">
              <w:rPr>
                <w:rFonts w:ascii="Arial" w:hAnsi="Arial" w:cs="Arial"/>
                <w:color w:val="auto"/>
                <w:sz w:val="22"/>
                <w:szCs w:val="22"/>
              </w:rPr>
              <w:t>.</w:t>
            </w:r>
            <w:r>
              <w:rPr>
                <w:rFonts w:ascii="Arial" w:hAnsi="Arial" w:cs="Arial"/>
                <w:color w:val="auto"/>
                <w:sz w:val="22"/>
                <w:szCs w:val="22"/>
              </w:rPr>
              <w:t>600</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w:t>
            </w:r>
            <w:r w:rsidR="00361257">
              <w:rPr>
                <w:rFonts w:ascii="Arial" w:hAnsi="Arial" w:cs="Arial"/>
                <w:color w:val="auto"/>
                <w:sz w:val="22"/>
                <w:szCs w:val="22"/>
              </w:rPr>
              <w:t>2</w:t>
            </w:r>
            <w:r w:rsidRPr="009A6244">
              <w:rPr>
                <w:rFonts w:ascii="Arial" w:hAnsi="Arial" w:cs="Arial"/>
                <w:color w:val="auto"/>
                <w:sz w:val="22"/>
                <w:szCs w:val="22"/>
              </w:rPr>
              <w:t>.</w:t>
            </w:r>
            <w:r w:rsidR="00361257">
              <w:rPr>
                <w:rFonts w:ascii="Arial" w:hAnsi="Arial" w:cs="Arial"/>
                <w:color w:val="auto"/>
                <w:sz w:val="22"/>
                <w:szCs w:val="22"/>
              </w:rPr>
              <w:t>624</w:t>
            </w:r>
          </w:p>
        </w:tc>
        <w:tc>
          <w:tcPr>
            <w:tcW w:w="992" w:type="dxa"/>
            <w:tcBorders>
              <w:top w:val="single" w:sz="12" w:space="0" w:color="auto"/>
              <w:left w:val="single" w:sz="12" w:space="0" w:color="auto"/>
              <w:bottom w:val="single" w:sz="12" w:space="0" w:color="auto"/>
              <w:right w:val="single" w:sz="12" w:space="0" w:color="auto"/>
            </w:tcBorders>
            <w:vAlign w:val="center"/>
          </w:tcPr>
          <w:p w:rsidR="001043A5" w:rsidRPr="009A6244" w:rsidRDefault="00361257"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91</w:t>
            </w:r>
          </w:p>
        </w:tc>
        <w:tc>
          <w:tcPr>
            <w:tcW w:w="993" w:type="dxa"/>
            <w:tcBorders>
              <w:top w:val="single" w:sz="12" w:space="0" w:color="auto"/>
              <w:left w:val="single" w:sz="12" w:space="0" w:color="auto"/>
              <w:bottom w:val="single" w:sz="12" w:space="0" w:color="auto"/>
              <w:right w:val="single" w:sz="12" w:space="0" w:color="auto"/>
            </w:tcBorders>
            <w:vAlign w:val="center"/>
          </w:tcPr>
          <w:p w:rsidR="001043A5" w:rsidRPr="009A6244" w:rsidRDefault="00361257"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47</w:t>
            </w:r>
          </w:p>
        </w:tc>
      </w:tr>
      <w:tr w:rsidR="001043A5" w:rsidRPr="009A6244" w:rsidTr="001043A5">
        <w:trPr>
          <w:trHeight w:val="397"/>
        </w:trPr>
        <w:tc>
          <w:tcPr>
            <w:tcW w:w="2552"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A6244">
              <w:rPr>
                <w:rFonts w:ascii="Arial" w:hAnsi="Arial" w:cs="Arial"/>
                <w:sz w:val="22"/>
                <w:szCs w:val="22"/>
              </w:rPr>
              <w:t>Porez na robu i usluge</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2.832</w:t>
            </w:r>
          </w:p>
        </w:tc>
        <w:tc>
          <w:tcPr>
            <w:tcW w:w="1276"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w:t>
            </w:r>
            <w:r>
              <w:rPr>
                <w:rFonts w:ascii="Arial" w:hAnsi="Arial" w:cs="Arial"/>
                <w:color w:val="auto"/>
                <w:sz w:val="22"/>
                <w:szCs w:val="22"/>
              </w:rPr>
              <w:t>3</w:t>
            </w:r>
            <w:r w:rsidRPr="009A6244">
              <w:rPr>
                <w:rFonts w:ascii="Arial" w:hAnsi="Arial" w:cs="Arial"/>
                <w:color w:val="auto"/>
                <w:sz w:val="22"/>
                <w:szCs w:val="22"/>
              </w:rPr>
              <w:t>.</w:t>
            </w:r>
            <w:r>
              <w:rPr>
                <w:rFonts w:ascii="Arial" w:hAnsi="Arial" w:cs="Arial"/>
                <w:color w:val="auto"/>
                <w:sz w:val="22"/>
                <w:szCs w:val="22"/>
              </w:rPr>
              <w:t>810</w:t>
            </w:r>
          </w:p>
        </w:tc>
        <w:tc>
          <w:tcPr>
            <w:tcW w:w="1559"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2.</w:t>
            </w:r>
            <w:r w:rsidR="00361257">
              <w:rPr>
                <w:rFonts w:ascii="Arial" w:hAnsi="Arial" w:cs="Arial"/>
                <w:color w:val="auto"/>
                <w:sz w:val="22"/>
                <w:szCs w:val="22"/>
              </w:rPr>
              <w:t>958</w:t>
            </w:r>
          </w:p>
        </w:tc>
        <w:tc>
          <w:tcPr>
            <w:tcW w:w="992"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10</w:t>
            </w:r>
            <w:r w:rsidR="00361257">
              <w:rPr>
                <w:rFonts w:ascii="Arial" w:hAnsi="Arial" w:cs="Arial"/>
                <w:color w:val="auto"/>
                <w:sz w:val="22"/>
                <w:szCs w:val="22"/>
              </w:rPr>
              <w:t>4</w:t>
            </w:r>
          </w:p>
        </w:tc>
        <w:tc>
          <w:tcPr>
            <w:tcW w:w="993" w:type="dxa"/>
            <w:tcBorders>
              <w:top w:val="single" w:sz="12" w:space="0" w:color="auto"/>
              <w:left w:val="single" w:sz="12" w:space="0" w:color="auto"/>
              <w:bottom w:val="single" w:sz="12" w:space="0" w:color="auto"/>
              <w:right w:val="single" w:sz="12" w:space="0" w:color="auto"/>
            </w:tcBorders>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2</w:t>
            </w:r>
            <w:r w:rsidR="00361257">
              <w:rPr>
                <w:rFonts w:ascii="Arial" w:hAnsi="Arial" w:cs="Arial"/>
                <w:color w:val="auto"/>
                <w:sz w:val="22"/>
                <w:szCs w:val="22"/>
              </w:rPr>
              <w:t>1</w:t>
            </w:r>
          </w:p>
        </w:tc>
      </w:tr>
      <w:tr w:rsidR="001043A5" w:rsidRPr="009A6244" w:rsidTr="001043A5">
        <w:trPr>
          <w:trHeight w:val="397"/>
        </w:trPr>
        <w:tc>
          <w:tcPr>
            <w:tcW w:w="2552"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9A6244">
              <w:rPr>
                <w:rFonts w:ascii="Arial" w:hAnsi="Arial" w:cs="Arial"/>
                <w:b/>
                <w:sz w:val="22"/>
                <w:szCs w:val="22"/>
              </w:rPr>
              <w:t>U k u p n o</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sidRPr="009A6244">
              <w:rPr>
                <w:rFonts w:ascii="Arial" w:hAnsi="Arial" w:cs="Arial"/>
                <w:b/>
                <w:color w:val="auto"/>
                <w:sz w:val="22"/>
                <w:szCs w:val="22"/>
              </w:rPr>
              <w:t>83.086</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sidRPr="009A6244">
              <w:rPr>
                <w:rFonts w:ascii="Arial" w:hAnsi="Arial" w:cs="Arial"/>
                <w:b/>
                <w:color w:val="auto"/>
                <w:sz w:val="22"/>
                <w:szCs w:val="22"/>
              </w:rPr>
              <w:t>1</w:t>
            </w:r>
            <w:r w:rsidR="00361257">
              <w:rPr>
                <w:rFonts w:ascii="Arial" w:hAnsi="Arial" w:cs="Arial"/>
                <w:b/>
                <w:color w:val="auto"/>
                <w:sz w:val="22"/>
                <w:szCs w:val="22"/>
              </w:rPr>
              <w:t>78</w:t>
            </w:r>
            <w:r w:rsidRPr="009A6244">
              <w:rPr>
                <w:rFonts w:ascii="Arial" w:hAnsi="Arial" w:cs="Arial"/>
                <w:b/>
                <w:color w:val="auto"/>
                <w:sz w:val="22"/>
                <w:szCs w:val="22"/>
              </w:rPr>
              <w:t>.</w:t>
            </w:r>
            <w:r w:rsidR="00361257">
              <w:rPr>
                <w:rFonts w:ascii="Arial" w:hAnsi="Arial" w:cs="Arial"/>
                <w:b/>
                <w:color w:val="auto"/>
                <w:sz w:val="22"/>
                <w:szCs w:val="22"/>
              </w:rPr>
              <w:t>310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sidRPr="009A6244">
              <w:rPr>
                <w:rFonts w:ascii="Arial" w:hAnsi="Arial" w:cs="Arial"/>
                <w:b/>
                <w:color w:val="auto"/>
                <w:sz w:val="22"/>
                <w:szCs w:val="22"/>
              </w:rPr>
              <w:t>8</w:t>
            </w:r>
            <w:r w:rsidR="00361257">
              <w:rPr>
                <w:rFonts w:ascii="Arial" w:hAnsi="Arial" w:cs="Arial"/>
                <w:b/>
                <w:color w:val="auto"/>
                <w:sz w:val="22"/>
                <w:szCs w:val="22"/>
              </w:rPr>
              <w:t>9</w:t>
            </w:r>
            <w:r w:rsidRPr="009A6244">
              <w:rPr>
                <w:rFonts w:ascii="Arial" w:hAnsi="Arial" w:cs="Arial"/>
                <w:b/>
                <w:color w:val="auto"/>
                <w:sz w:val="22"/>
                <w:szCs w:val="22"/>
              </w:rPr>
              <w:t>.0</w:t>
            </w:r>
            <w:r w:rsidR="00361257">
              <w:rPr>
                <w:rFonts w:ascii="Arial" w:hAnsi="Arial" w:cs="Arial"/>
                <w:b/>
                <w:color w:val="auto"/>
                <w:sz w:val="22"/>
                <w:szCs w:val="22"/>
              </w:rPr>
              <w:t>08</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1043A5"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1</w:t>
            </w:r>
            <w:r w:rsidR="00361257">
              <w:rPr>
                <w:rFonts w:ascii="Arial" w:hAnsi="Arial" w:cs="Arial"/>
                <w:b/>
                <w:color w:val="auto"/>
                <w:sz w:val="22"/>
                <w:szCs w:val="22"/>
              </w:rPr>
              <w:t>07</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1043A5" w:rsidRPr="009A6244" w:rsidRDefault="00CE14D3" w:rsidP="001043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Pr>
                <w:rFonts w:ascii="Arial" w:hAnsi="Arial" w:cs="Arial"/>
                <w:b/>
                <w:color w:val="auto"/>
                <w:sz w:val="22"/>
                <w:szCs w:val="22"/>
              </w:rPr>
              <w:t>50</w:t>
            </w:r>
          </w:p>
        </w:tc>
      </w:tr>
    </w:tbl>
    <w:p w:rsidR="00021702" w:rsidRPr="009A6244" w:rsidRDefault="004D48FA" w:rsidP="00C6229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A6244">
        <w:rPr>
          <w:rFonts w:ascii="Arial" w:hAnsi="Arial" w:cs="Arial"/>
          <w:sz w:val="22"/>
          <w:szCs w:val="22"/>
        </w:rPr>
        <w:tab/>
      </w:r>
    </w:p>
    <w:p w:rsidR="0007474B" w:rsidRDefault="0007474B" w:rsidP="0067301E">
      <w:pPr>
        <w:pStyle w:val="BodyText"/>
        <w:rPr>
          <w:rFonts w:ascii="Arial" w:hAnsi="Arial" w:cs="Arial"/>
          <w:b/>
          <w:bCs/>
          <w:sz w:val="22"/>
          <w:szCs w:val="22"/>
        </w:rPr>
      </w:pPr>
    </w:p>
    <w:p w:rsidR="00021702" w:rsidRPr="009A6244" w:rsidRDefault="00021702" w:rsidP="0067301E">
      <w:pPr>
        <w:pStyle w:val="BodyText"/>
        <w:rPr>
          <w:rFonts w:ascii="Arial" w:hAnsi="Arial" w:cs="Arial"/>
          <w:bCs/>
          <w:sz w:val="22"/>
          <w:szCs w:val="22"/>
        </w:rPr>
      </w:pPr>
      <w:r w:rsidRPr="009A6244">
        <w:rPr>
          <w:rFonts w:ascii="Arial" w:hAnsi="Arial" w:cs="Arial"/>
          <w:b/>
          <w:bCs/>
          <w:sz w:val="22"/>
          <w:szCs w:val="22"/>
        </w:rPr>
        <w:t xml:space="preserve">Porez i prirez na dohodak </w:t>
      </w:r>
      <w:r w:rsidRPr="009A6244">
        <w:rPr>
          <w:rFonts w:ascii="Arial" w:hAnsi="Arial" w:cs="Arial"/>
          <w:bCs/>
          <w:sz w:val="22"/>
          <w:szCs w:val="22"/>
        </w:rPr>
        <w:t>ostvaren je sa 5</w:t>
      </w:r>
      <w:r w:rsidR="00B04E1D">
        <w:rPr>
          <w:rFonts w:ascii="Arial" w:hAnsi="Arial" w:cs="Arial"/>
          <w:bCs/>
          <w:sz w:val="22"/>
          <w:szCs w:val="22"/>
        </w:rPr>
        <w:t>3</w:t>
      </w:r>
      <w:r w:rsidRPr="009A6244">
        <w:rPr>
          <w:rFonts w:ascii="Arial" w:hAnsi="Arial" w:cs="Arial"/>
          <w:bCs/>
          <w:sz w:val="22"/>
          <w:szCs w:val="22"/>
        </w:rPr>
        <w:t>% od planiranog, te</w:t>
      </w:r>
      <w:r w:rsidR="0007474B">
        <w:rPr>
          <w:rFonts w:ascii="Arial" w:hAnsi="Arial" w:cs="Arial"/>
          <w:bCs/>
          <w:sz w:val="22"/>
          <w:szCs w:val="22"/>
        </w:rPr>
        <w:t xml:space="preserve"> je</w:t>
      </w:r>
      <w:r w:rsidRPr="009A6244">
        <w:rPr>
          <w:rFonts w:ascii="Arial" w:hAnsi="Arial" w:cs="Arial"/>
          <w:bCs/>
          <w:sz w:val="22"/>
          <w:szCs w:val="22"/>
        </w:rPr>
        <w:t xml:space="preserve"> za</w:t>
      </w:r>
      <w:r w:rsidR="00A5717A">
        <w:rPr>
          <w:rFonts w:ascii="Arial" w:hAnsi="Arial" w:cs="Arial"/>
          <w:bCs/>
          <w:sz w:val="22"/>
          <w:szCs w:val="22"/>
        </w:rPr>
        <w:t>7</w:t>
      </w:r>
      <w:r w:rsidR="00B9200B" w:rsidRPr="009A6244">
        <w:rPr>
          <w:rFonts w:ascii="Arial" w:hAnsi="Arial" w:cs="Arial"/>
          <w:bCs/>
          <w:sz w:val="22"/>
          <w:szCs w:val="22"/>
        </w:rPr>
        <w:t>.</w:t>
      </w:r>
      <w:r w:rsidR="00A5717A">
        <w:rPr>
          <w:rFonts w:ascii="Arial" w:hAnsi="Arial" w:cs="Arial"/>
          <w:bCs/>
          <w:sz w:val="22"/>
          <w:szCs w:val="22"/>
        </w:rPr>
        <w:t>067</w:t>
      </w:r>
      <w:r w:rsidR="004553DD" w:rsidRPr="009A6244">
        <w:rPr>
          <w:rFonts w:ascii="Arial" w:hAnsi="Arial" w:cs="Arial"/>
          <w:bCs/>
          <w:sz w:val="22"/>
          <w:szCs w:val="22"/>
        </w:rPr>
        <w:t>.</w:t>
      </w:r>
      <w:r w:rsidR="00A5717A">
        <w:rPr>
          <w:rFonts w:ascii="Arial" w:hAnsi="Arial" w:cs="Arial"/>
          <w:bCs/>
          <w:sz w:val="22"/>
          <w:szCs w:val="22"/>
        </w:rPr>
        <w:t>709</w:t>
      </w:r>
      <w:r w:rsidRPr="009A6244">
        <w:rPr>
          <w:rFonts w:ascii="Arial" w:hAnsi="Arial" w:cs="Arial"/>
          <w:bCs/>
          <w:sz w:val="22"/>
          <w:szCs w:val="22"/>
        </w:rPr>
        <w:t xml:space="preserve"> kn viš</w:t>
      </w:r>
      <w:r w:rsidR="008F30F2" w:rsidRPr="009A6244">
        <w:rPr>
          <w:rFonts w:ascii="Arial" w:hAnsi="Arial" w:cs="Arial"/>
          <w:bCs/>
          <w:sz w:val="22"/>
          <w:szCs w:val="22"/>
        </w:rPr>
        <w:t>i</w:t>
      </w:r>
      <w:r w:rsidRPr="009A6244">
        <w:rPr>
          <w:rFonts w:ascii="Arial" w:hAnsi="Arial" w:cs="Arial"/>
          <w:bCs/>
          <w:sz w:val="22"/>
          <w:szCs w:val="22"/>
        </w:rPr>
        <w:t xml:space="preserve"> od ostvarenog</w:t>
      </w:r>
      <w:r w:rsidR="004553DD" w:rsidRPr="009A6244">
        <w:rPr>
          <w:rFonts w:ascii="Arial" w:hAnsi="Arial" w:cs="Arial"/>
          <w:bCs/>
          <w:sz w:val="22"/>
          <w:szCs w:val="22"/>
        </w:rPr>
        <w:t xml:space="preserve"> za isto razdoblje</w:t>
      </w:r>
      <w:r w:rsidRPr="009A6244">
        <w:rPr>
          <w:rFonts w:ascii="Arial" w:hAnsi="Arial" w:cs="Arial"/>
          <w:bCs/>
          <w:sz w:val="22"/>
          <w:szCs w:val="22"/>
        </w:rPr>
        <w:t xml:space="preserve"> prethodne godine.</w:t>
      </w:r>
    </w:p>
    <w:p w:rsidR="00573226" w:rsidRPr="009A6244" w:rsidRDefault="00573226" w:rsidP="0067301E">
      <w:pPr>
        <w:pStyle w:val="BodyText"/>
        <w:rPr>
          <w:rFonts w:ascii="Arial" w:hAnsi="Arial" w:cs="Arial"/>
          <w:sz w:val="22"/>
          <w:szCs w:val="22"/>
        </w:rPr>
      </w:pPr>
    </w:p>
    <w:p w:rsidR="00F52916" w:rsidRPr="009A6244" w:rsidRDefault="00E7162E" w:rsidP="0067301E">
      <w:pPr>
        <w:pStyle w:val="BodyText"/>
        <w:rPr>
          <w:rFonts w:ascii="Arial" w:hAnsi="Arial" w:cs="Arial"/>
          <w:sz w:val="22"/>
          <w:szCs w:val="22"/>
        </w:rPr>
      </w:pPr>
      <w:r w:rsidRPr="009A6244">
        <w:rPr>
          <w:rFonts w:ascii="Arial" w:hAnsi="Arial" w:cs="Arial"/>
          <w:b/>
          <w:sz w:val="22"/>
          <w:szCs w:val="22"/>
        </w:rPr>
        <w:t>P</w:t>
      </w:r>
      <w:r w:rsidR="004D48FA" w:rsidRPr="009A6244">
        <w:rPr>
          <w:rFonts w:ascii="Arial" w:hAnsi="Arial" w:cs="Arial"/>
          <w:b/>
          <w:sz w:val="22"/>
          <w:szCs w:val="22"/>
        </w:rPr>
        <w:t>orez</w:t>
      </w:r>
      <w:r w:rsidR="00B22238" w:rsidRPr="009A6244">
        <w:rPr>
          <w:rFonts w:ascii="Arial" w:hAnsi="Arial" w:cs="Arial"/>
          <w:b/>
          <w:sz w:val="22"/>
          <w:szCs w:val="22"/>
        </w:rPr>
        <w:t>i</w:t>
      </w:r>
      <w:r w:rsidR="004D48FA" w:rsidRPr="009A6244">
        <w:rPr>
          <w:rFonts w:ascii="Arial" w:hAnsi="Arial" w:cs="Arial"/>
          <w:b/>
          <w:sz w:val="22"/>
          <w:szCs w:val="22"/>
        </w:rPr>
        <w:t xml:space="preserve"> na </w:t>
      </w:r>
      <w:r w:rsidR="0058478A" w:rsidRPr="009A6244">
        <w:rPr>
          <w:rFonts w:ascii="Arial" w:hAnsi="Arial" w:cs="Arial"/>
          <w:b/>
          <w:sz w:val="22"/>
          <w:szCs w:val="22"/>
        </w:rPr>
        <w:t>imovinu</w:t>
      </w:r>
      <w:r w:rsidR="00C71B4A" w:rsidRPr="009A6244">
        <w:rPr>
          <w:rFonts w:ascii="Arial" w:hAnsi="Arial" w:cs="Arial"/>
          <w:sz w:val="22"/>
          <w:szCs w:val="22"/>
        </w:rPr>
        <w:t>odnos</w:t>
      </w:r>
      <w:r w:rsidR="009453DA" w:rsidRPr="009A6244">
        <w:rPr>
          <w:rFonts w:ascii="Arial" w:hAnsi="Arial" w:cs="Arial"/>
          <w:sz w:val="22"/>
          <w:szCs w:val="22"/>
        </w:rPr>
        <w:t>e</w:t>
      </w:r>
      <w:r w:rsidR="00C71B4A" w:rsidRPr="009A6244">
        <w:rPr>
          <w:rFonts w:ascii="Arial" w:hAnsi="Arial" w:cs="Arial"/>
          <w:sz w:val="22"/>
          <w:szCs w:val="22"/>
        </w:rPr>
        <w:t xml:space="preserve"> se na porez na kuće za odmor</w:t>
      </w:r>
      <w:r w:rsidR="00B46A51" w:rsidRPr="009A6244">
        <w:rPr>
          <w:rFonts w:ascii="Arial" w:hAnsi="Arial" w:cs="Arial"/>
          <w:sz w:val="22"/>
          <w:szCs w:val="22"/>
        </w:rPr>
        <w:t>,</w:t>
      </w:r>
      <w:r w:rsidR="00C71B4A" w:rsidRPr="009A6244">
        <w:rPr>
          <w:rFonts w:ascii="Arial" w:hAnsi="Arial" w:cs="Arial"/>
          <w:sz w:val="22"/>
          <w:szCs w:val="22"/>
        </w:rPr>
        <w:t xml:space="preserve"> planiran u iznosu </w:t>
      </w:r>
      <w:r w:rsidR="00FA0580">
        <w:rPr>
          <w:rFonts w:ascii="Arial" w:hAnsi="Arial" w:cs="Arial"/>
          <w:sz w:val="22"/>
          <w:szCs w:val="22"/>
        </w:rPr>
        <w:t>60</w:t>
      </w:r>
      <w:r w:rsidR="001A684F" w:rsidRPr="009A6244">
        <w:rPr>
          <w:rFonts w:ascii="Arial" w:hAnsi="Arial" w:cs="Arial"/>
          <w:sz w:val="22"/>
          <w:szCs w:val="22"/>
        </w:rPr>
        <w:t>0.000</w:t>
      </w:r>
      <w:r w:rsidR="00FB1CB8" w:rsidRPr="009A6244">
        <w:rPr>
          <w:rFonts w:ascii="Arial" w:hAnsi="Arial" w:cs="Arial"/>
          <w:sz w:val="22"/>
          <w:szCs w:val="22"/>
        </w:rPr>
        <w:t xml:space="preserve"> kn </w:t>
      </w:r>
      <w:r w:rsidR="00C71B4A" w:rsidRPr="009A6244">
        <w:rPr>
          <w:rFonts w:ascii="Arial" w:hAnsi="Arial" w:cs="Arial"/>
          <w:sz w:val="22"/>
          <w:szCs w:val="22"/>
        </w:rPr>
        <w:t xml:space="preserve">i  porez na promet nekretninaplaniran u iznosu </w:t>
      </w:r>
      <w:r w:rsidR="00FA0580">
        <w:rPr>
          <w:rFonts w:ascii="Arial" w:hAnsi="Arial" w:cs="Arial"/>
          <w:sz w:val="22"/>
          <w:szCs w:val="22"/>
        </w:rPr>
        <w:t>26</w:t>
      </w:r>
      <w:r w:rsidR="00FB1CB8" w:rsidRPr="009A6244">
        <w:rPr>
          <w:rFonts w:ascii="Arial" w:hAnsi="Arial" w:cs="Arial"/>
          <w:sz w:val="22"/>
          <w:szCs w:val="22"/>
        </w:rPr>
        <w:t>.</w:t>
      </w:r>
      <w:r w:rsidR="00FA0580">
        <w:rPr>
          <w:rFonts w:ascii="Arial" w:hAnsi="Arial" w:cs="Arial"/>
          <w:sz w:val="22"/>
          <w:szCs w:val="22"/>
        </w:rPr>
        <w:t>0</w:t>
      </w:r>
      <w:r w:rsidR="0053389C" w:rsidRPr="009A6244">
        <w:rPr>
          <w:rFonts w:ascii="Arial" w:hAnsi="Arial" w:cs="Arial"/>
          <w:sz w:val="22"/>
          <w:szCs w:val="22"/>
        </w:rPr>
        <w:t>00</w:t>
      </w:r>
      <w:r w:rsidR="00FB1CB8" w:rsidRPr="009A6244">
        <w:rPr>
          <w:rFonts w:ascii="Arial" w:hAnsi="Arial" w:cs="Arial"/>
          <w:sz w:val="22"/>
          <w:szCs w:val="22"/>
        </w:rPr>
        <w:t>.</w:t>
      </w:r>
      <w:r w:rsidR="001A684F" w:rsidRPr="009A6244">
        <w:rPr>
          <w:rFonts w:ascii="Arial" w:hAnsi="Arial" w:cs="Arial"/>
          <w:sz w:val="22"/>
          <w:szCs w:val="22"/>
        </w:rPr>
        <w:t>000</w:t>
      </w:r>
      <w:r w:rsidR="00C71B4A" w:rsidRPr="009A6244">
        <w:rPr>
          <w:rFonts w:ascii="Arial" w:hAnsi="Arial" w:cs="Arial"/>
          <w:sz w:val="22"/>
          <w:szCs w:val="22"/>
        </w:rPr>
        <w:t xml:space="preserve"> kn</w:t>
      </w:r>
      <w:r w:rsidR="00B46A51" w:rsidRPr="009A6244">
        <w:rPr>
          <w:rFonts w:ascii="Arial" w:hAnsi="Arial" w:cs="Arial"/>
          <w:sz w:val="22"/>
          <w:szCs w:val="22"/>
        </w:rPr>
        <w:t xml:space="preserve">. </w:t>
      </w:r>
    </w:p>
    <w:p w:rsidR="00FB2EC1" w:rsidRPr="009A6244" w:rsidRDefault="00F52916" w:rsidP="0067301E">
      <w:pPr>
        <w:pStyle w:val="BodyText"/>
        <w:rPr>
          <w:rFonts w:ascii="Arial" w:hAnsi="Arial" w:cs="Arial"/>
          <w:sz w:val="22"/>
          <w:szCs w:val="22"/>
        </w:rPr>
      </w:pPr>
      <w:r w:rsidRPr="009A6244">
        <w:rPr>
          <w:rFonts w:ascii="Arial" w:hAnsi="Arial" w:cs="Arial"/>
          <w:sz w:val="22"/>
          <w:szCs w:val="22"/>
        </w:rPr>
        <w:t xml:space="preserve">Porez na kuće za odmor, nenamjenski je prihod Grada propisan gradskom odlukom, a temeljem Zakona o financiranju jedinica lokalne i područne (regionalne) samouprave. </w:t>
      </w:r>
      <w:r w:rsidR="00B46A51" w:rsidRPr="009A6244">
        <w:rPr>
          <w:rFonts w:ascii="Arial" w:hAnsi="Arial" w:cs="Arial"/>
          <w:sz w:val="22"/>
          <w:szCs w:val="22"/>
        </w:rPr>
        <w:t>Ostvarenje</w:t>
      </w:r>
      <w:r w:rsidRPr="009A6244">
        <w:rPr>
          <w:rFonts w:ascii="Arial" w:hAnsi="Arial" w:cs="Arial"/>
          <w:sz w:val="22"/>
          <w:szCs w:val="22"/>
        </w:rPr>
        <w:t xml:space="preserve"> ovog p</w:t>
      </w:r>
      <w:r w:rsidR="00B46A51" w:rsidRPr="009A6244">
        <w:rPr>
          <w:rFonts w:ascii="Arial" w:hAnsi="Arial" w:cs="Arial"/>
          <w:sz w:val="22"/>
          <w:szCs w:val="22"/>
        </w:rPr>
        <w:t xml:space="preserve">oreza iznosi </w:t>
      </w:r>
      <w:r w:rsidR="00592A9A">
        <w:rPr>
          <w:rFonts w:ascii="Arial" w:hAnsi="Arial" w:cs="Arial"/>
          <w:sz w:val="22"/>
          <w:szCs w:val="22"/>
        </w:rPr>
        <w:t>4</w:t>
      </w:r>
      <w:r w:rsidR="00B46A51" w:rsidRPr="009A6244">
        <w:rPr>
          <w:rFonts w:ascii="Arial" w:hAnsi="Arial" w:cs="Arial"/>
          <w:sz w:val="22"/>
          <w:szCs w:val="22"/>
        </w:rPr>
        <w:t>%</w:t>
      </w:r>
      <w:r w:rsidR="00CE7ABD" w:rsidRPr="009A6244">
        <w:rPr>
          <w:rFonts w:ascii="Arial" w:hAnsi="Arial" w:cs="Arial"/>
          <w:sz w:val="22"/>
          <w:szCs w:val="22"/>
        </w:rPr>
        <w:t xml:space="preserve">od </w:t>
      </w:r>
      <w:r w:rsidRPr="009A6244">
        <w:rPr>
          <w:rFonts w:ascii="Arial" w:hAnsi="Arial" w:cs="Arial"/>
          <w:sz w:val="22"/>
          <w:szCs w:val="22"/>
        </w:rPr>
        <w:t>planiranog</w:t>
      </w:r>
      <w:r w:rsidR="00B46A51" w:rsidRPr="009A6244">
        <w:rPr>
          <w:rFonts w:ascii="Arial" w:hAnsi="Arial" w:cs="Arial"/>
          <w:sz w:val="22"/>
          <w:szCs w:val="22"/>
        </w:rPr>
        <w:t xml:space="preserve">, a najveći dio uplata </w:t>
      </w:r>
      <w:r w:rsidR="00446AB2" w:rsidRPr="009A6244">
        <w:rPr>
          <w:rFonts w:ascii="Arial" w:hAnsi="Arial" w:cs="Arial"/>
          <w:sz w:val="22"/>
          <w:szCs w:val="22"/>
        </w:rPr>
        <w:t>dogoditi će se u drugom dijelu godine</w:t>
      </w:r>
      <w:r w:rsidR="007A4C0D" w:rsidRPr="009A6244">
        <w:rPr>
          <w:rFonts w:ascii="Arial" w:hAnsi="Arial" w:cs="Arial"/>
          <w:sz w:val="22"/>
          <w:szCs w:val="22"/>
        </w:rPr>
        <w:t>,</w:t>
      </w:r>
      <w:r w:rsidR="00B46A51" w:rsidRPr="009A6244">
        <w:rPr>
          <w:rFonts w:ascii="Arial" w:hAnsi="Arial" w:cs="Arial"/>
          <w:sz w:val="22"/>
          <w:szCs w:val="22"/>
        </w:rPr>
        <w:t xml:space="preserve"> nakon što s</w:t>
      </w:r>
      <w:r w:rsidR="004B6739" w:rsidRPr="009A6244">
        <w:rPr>
          <w:rFonts w:ascii="Arial" w:hAnsi="Arial" w:cs="Arial"/>
          <w:sz w:val="22"/>
          <w:szCs w:val="22"/>
        </w:rPr>
        <w:t>u</w:t>
      </w:r>
      <w:r w:rsidR="00316866">
        <w:rPr>
          <w:rFonts w:ascii="Arial" w:hAnsi="Arial" w:cs="Arial"/>
          <w:sz w:val="22"/>
          <w:szCs w:val="22"/>
        </w:rPr>
        <w:t>krajem</w:t>
      </w:r>
      <w:r w:rsidR="00D60762">
        <w:rPr>
          <w:rFonts w:ascii="Arial" w:hAnsi="Arial" w:cs="Arial"/>
          <w:sz w:val="22"/>
          <w:szCs w:val="22"/>
        </w:rPr>
        <w:t xml:space="preserve"> srpnja</w:t>
      </w:r>
      <w:r w:rsidR="00E57452" w:rsidRPr="009A6244">
        <w:rPr>
          <w:rFonts w:ascii="Arial" w:hAnsi="Arial" w:cs="Arial"/>
          <w:sz w:val="22"/>
          <w:szCs w:val="22"/>
        </w:rPr>
        <w:t xml:space="preserve">ove godine </w:t>
      </w:r>
      <w:r w:rsidR="004B6739" w:rsidRPr="009A6244">
        <w:rPr>
          <w:rFonts w:ascii="Arial" w:hAnsi="Arial" w:cs="Arial"/>
          <w:sz w:val="22"/>
          <w:szCs w:val="22"/>
        </w:rPr>
        <w:t xml:space="preserve">obveznicima </w:t>
      </w:r>
      <w:r w:rsidR="00446AB2" w:rsidRPr="009A6244">
        <w:rPr>
          <w:rFonts w:ascii="Arial" w:hAnsi="Arial" w:cs="Arial"/>
          <w:sz w:val="22"/>
          <w:szCs w:val="22"/>
        </w:rPr>
        <w:t>po</w:t>
      </w:r>
      <w:r w:rsidR="004B6739" w:rsidRPr="009A6244">
        <w:rPr>
          <w:rFonts w:ascii="Arial" w:hAnsi="Arial" w:cs="Arial"/>
          <w:sz w:val="22"/>
          <w:szCs w:val="22"/>
        </w:rPr>
        <w:t xml:space="preserve">slana </w:t>
      </w:r>
      <w:r w:rsidR="00B46A51" w:rsidRPr="009A6244">
        <w:rPr>
          <w:rFonts w:ascii="Arial" w:hAnsi="Arial" w:cs="Arial"/>
          <w:sz w:val="22"/>
          <w:szCs w:val="22"/>
        </w:rPr>
        <w:t xml:space="preserve">nova </w:t>
      </w:r>
      <w:r w:rsidR="004B6739" w:rsidRPr="009A6244">
        <w:rPr>
          <w:rFonts w:ascii="Arial" w:hAnsi="Arial" w:cs="Arial"/>
          <w:sz w:val="22"/>
          <w:szCs w:val="22"/>
        </w:rPr>
        <w:t xml:space="preserve">godišnja </w:t>
      </w:r>
      <w:r w:rsidR="00B46A51" w:rsidRPr="009A6244">
        <w:rPr>
          <w:rFonts w:ascii="Arial" w:hAnsi="Arial" w:cs="Arial"/>
          <w:sz w:val="22"/>
          <w:szCs w:val="22"/>
        </w:rPr>
        <w:t>rješenja.</w:t>
      </w:r>
    </w:p>
    <w:p w:rsidR="00DA2DE6" w:rsidRPr="009A6244" w:rsidRDefault="00FB2EC1" w:rsidP="0067301E">
      <w:pPr>
        <w:pStyle w:val="BodyText"/>
        <w:rPr>
          <w:rFonts w:ascii="Arial" w:hAnsi="Arial" w:cs="Arial"/>
          <w:sz w:val="22"/>
          <w:szCs w:val="22"/>
        </w:rPr>
      </w:pPr>
      <w:r w:rsidRPr="009A6244">
        <w:rPr>
          <w:rFonts w:ascii="Arial" w:hAnsi="Arial" w:cs="Arial"/>
          <w:sz w:val="22"/>
          <w:szCs w:val="22"/>
        </w:rPr>
        <w:t>Temeljem Zakona o porezu na promet nekretnina (NN br. 115/16) člankom 2. utvrđeno je da prihod od poreza na promet nekretninama u cijelosti pripada JL(R)S na području koje se nekretnina nalazi</w:t>
      </w:r>
      <w:r w:rsidR="00FA0580">
        <w:rPr>
          <w:rFonts w:ascii="Arial" w:hAnsi="Arial" w:cs="Arial"/>
          <w:sz w:val="22"/>
          <w:szCs w:val="22"/>
        </w:rPr>
        <w:t>.</w:t>
      </w:r>
      <w:r w:rsidRPr="009A6244">
        <w:rPr>
          <w:rFonts w:ascii="Arial" w:hAnsi="Arial" w:cs="Arial"/>
          <w:sz w:val="22"/>
          <w:szCs w:val="22"/>
        </w:rPr>
        <w:t>I</w:t>
      </w:r>
      <w:r w:rsidR="001256AC" w:rsidRPr="009A6244">
        <w:rPr>
          <w:rFonts w:ascii="Arial" w:hAnsi="Arial" w:cs="Arial"/>
          <w:sz w:val="22"/>
          <w:szCs w:val="22"/>
        </w:rPr>
        <w:t xml:space="preserve">zvršene uplate ovog nenamjenskog prihoda su </w:t>
      </w:r>
      <w:r w:rsidR="005B29D7" w:rsidRPr="009A6244">
        <w:rPr>
          <w:rFonts w:ascii="Arial" w:hAnsi="Arial" w:cs="Arial"/>
          <w:sz w:val="22"/>
          <w:szCs w:val="22"/>
        </w:rPr>
        <w:t>1</w:t>
      </w:r>
      <w:r w:rsidR="00FA0580">
        <w:rPr>
          <w:rFonts w:ascii="Arial" w:hAnsi="Arial" w:cs="Arial"/>
          <w:sz w:val="22"/>
          <w:szCs w:val="22"/>
        </w:rPr>
        <w:t>2</w:t>
      </w:r>
      <w:r w:rsidR="0053216A" w:rsidRPr="009A6244">
        <w:rPr>
          <w:rFonts w:ascii="Arial" w:hAnsi="Arial" w:cs="Arial"/>
          <w:sz w:val="22"/>
          <w:szCs w:val="22"/>
        </w:rPr>
        <w:t>.</w:t>
      </w:r>
      <w:r w:rsidR="00FA0580">
        <w:rPr>
          <w:rFonts w:ascii="Arial" w:hAnsi="Arial" w:cs="Arial"/>
          <w:sz w:val="22"/>
          <w:szCs w:val="22"/>
        </w:rPr>
        <w:t>599</w:t>
      </w:r>
      <w:r w:rsidR="0053216A" w:rsidRPr="009A6244">
        <w:rPr>
          <w:rFonts w:ascii="Arial" w:hAnsi="Arial" w:cs="Arial"/>
          <w:sz w:val="22"/>
          <w:szCs w:val="22"/>
        </w:rPr>
        <w:t>.</w:t>
      </w:r>
      <w:r w:rsidR="00FA0580">
        <w:rPr>
          <w:rFonts w:ascii="Arial" w:hAnsi="Arial" w:cs="Arial"/>
          <w:sz w:val="22"/>
          <w:szCs w:val="22"/>
        </w:rPr>
        <w:t>160</w:t>
      </w:r>
      <w:r w:rsidR="00DA2DE6" w:rsidRPr="009A6244">
        <w:rPr>
          <w:rFonts w:ascii="Arial" w:hAnsi="Arial" w:cs="Arial"/>
          <w:sz w:val="22"/>
          <w:szCs w:val="22"/>
        </w:rPr>
        <w:t>k</w:t>
      </w:r>
      <w:r w:rsidR="001256AC" w:rsidRPr="009A6244">
        <w:rPr>
          <w:rFonts w:ascii="Arial" w:hAnsi="Arial" w:cs="Arial"/>
          <w:sz w:val="22"/>
          <w:szCs w:val="22"/>
        </w:rPr>
        <w:t xml:space="preserve">n, što daje mjesečni prosjek od </w:t>
      </w:r>
      <w:r w:rsidR="005B29D7" w:rsidRPr="009A6244">
        <w:rPr>
          <w:rFonts w:ascii="Arial" w:hAnsi="Arial" w:cs="Arial"/>
          <w:sz w:val="22"/>
          <w:szCs w:val="22"/>
        </w:rPr>
        <w:t>2</w:t>
      </w:r>
      <w:r w:rsidR="00DC6483" w:rsidRPr="009A6244">
        <w:rPr>
          <w:rFonts w:ascii="Arial" w:hAnsi="Arial" w:cs="Arial"/>
          <w:sz w:val="22"/>
          <w:szCs w:val="22"/>
        </w:rPr>
        <w:t>.</w:t>
      </w:r>
      <w:r w:rsidR="00592A9A">
        <w:rPr>
          <w:rFonts w:ascii="Arial" w:hAnsi="Arial" w:cs="Arial"/>
          <w:sz w:val="22"/>
          <w:szCs w:val="22"/>
        </w:rPr>
        <w:t>099</w:t>
      </w:r>
      <w:r w:rsidR="0053216A" w:rsidRPr="009A6244">
        <w:rPr>
          <w:rFonts w:ascii="Arial" w:hAnsi="Arial" w:cs="Arial"/>
          <w:sz w:val="22"/>
          <w:szCs w:val="22"/>
        </w:rPr>
        <w:t>.</w:t>
      </w:r>
      <w:r w:rsidR="00592A9A">
        <w:rPr>
          <w:rFonts w:ascii="Arial" w:hAnsi="Arial" w:cs="Arial"/>
          <w:sz w:val="22"/>
          <w:szCs w:val="22"/>
        </w:rPr>
        <w:t>860</w:t>
      </w:r>
      <w:r w:rsidR="001256AC" w:rsidRPr="009A6244">
        <w:rPr>
          <w:rFonts w:ascii="Arial" w:hAnsi="Arial" w:cs="Arial"/>
          <w:sz w:val="22"/>
          <w:szCs w:val="22"/>
        </w:rPr>
        <w:t xml:space="preserve"> k</w:t>
      </w:r>
      <w:r w:rsidR="00A513E1" w:rsidRPr="009A6244">
        <w:rPr>
          <w:rFonts w:ascii="Arial" w:hAnsi="Arial" w:cs="Arial"/>
          <w:sz w:val="22"/>
          <w:szCs w:val="22"/>
        </w:rPr>
        <w:t>u</w:t>
      </w:r>
      <w:r w:rsidR="001256AC" w:rsidRPr="009A6244">
        <w:rPr>
          <w:rFonts w:ascii="Arial" w:hAnsi="Arial" w:cs="Arial"/>
          <w:sz w:val="22"/>
          <w:szCs w:val="22"/>
        </w:rPr>
        <w:t>n</w:t>
      </w:r>
      <w:r w:rsidR="004876AF" w:rsidRPr="009A6244">
        <w:rPr>
          <w:rFonts w:ascii="Arial" w:hAnsi="Arial" w:cs="Arial"/>
          <w:sz w:val="22"/>
          <w:szCs w:val="22"/>
        </w:rPr>
        <w:t>a</w:t>
      </w:r>
      <w:r w:rsidR="00592A9A">
        <w:rPr>
          <w:rFonts w:ascii="Arial" w:hAnsi="Arial" w:cs="Arial"/>
          <w:sz w:val="22"/>
          <w:szCs w:val="22"/>
        </w:rPr>
        <w:t xml:space="preserve"> i ostvaren je 48% od planiranog na godišnjoj razini.</w:t>
      </w:r>
    </w:p>
    <w:p w:rsidR="00EE4B8D" w:rsidRPr="009A6244" w:rsidRDefault="00EE4B8D" w:rsidP="0067301E">
      <w:pPr>
        <w:pStyle w:val="BodyText"/>
        <w:rPr>
          <w:rFonts w:ascii="Arial" w:hAnsi="Arial" w:cs="Arial"/>
          <w:sz w:val="22"/>
          <w:szCs w:val="22"/>
        </w:rPr>
      </w:pPr>
    </w:p>
    <w:p w:rsidR="00911DB7" w:rsidRPr="009A6244" w:rsidRDefault="004D48FA" w:rsidP="0067301E">
      <w:pPr>
        <w:pStyle w:val="BodyText"/>
        <w:rPr>
          <w:rFonts w:ascii="Arial" w:hAnsi="Arial" w:cs="Arial"/>
          <w:bCs/>
          <w:sz w:val="22"/>
          <w:szCs w:val="22"/>
        </w:rPr>
      </w:pPr>
      <w:r w:rsidRPr="009A6244">
        <w:rPr>
          <w:rFonts w:ascii="Arial" w:hAnsi="Arial" w:cs="Arial"/>
          <w:b/>
          <w:bCs/>
          <w:sz w:val="22"/>
          <w:szCs w:val="22"/>
        </w:rPr>
        <w:t>Porez</w:t>
      </w:r>
      <w:r w:rsidR="00B22238" w:rsidRPr="009A6244">
        <w:rPr>
          <w:rFonts w:ascii="Arial" w:hAnsi="Arial" w:cs="Arial"/>
          <w:b/>
          <w:bCs/>
          <w:sz w:val="22"/>
          <w:szCs w:val="22"/>
        </w:rPr>
        <w:t>i</w:t>
      </w:r>
      <w:r w:rsidRPr="009A6244">
        <w:rPr>
          <w:rFonts w:ascii="Arial" w:hAnsi="Arial" w:cs="Arial"/>
          <w:b/>
          <w:bCs/>
          <w:sz w:val="22"/>
          <w:szCs w:val="22"/>
        </w:rPr>
        <w:t xml:space="preserve"> na </w:t>
      </w:r>
      <w:r w:rsidR="008B7BA1" w:rsidRPr="009A6244">
        <w:rPr>
          <w:rFonts w:ascii="Arial" w:hAnsi="Arial" w:cs="Arial"/>
          <w:b/>
          <w:bCs/>
          <w:sz w:val="22"/>
          <w:szCs w:val="22"/>
        </w:rPr>
        <w:t>robu i usluge</w:t>
      </w:r>
      <w:r w:rsidR="008A02E6" w:rsidRPr="008A02E6">
        <w:rPr>
          <w:rFonts w:ascii="Arial" w:hAnsi="Arial" w:cs="Arial"/>
          <w:bCs/>
          <w:sz w:val="22"/>
          <w:szCs w:val="22"/>
        </w:rPr>
        <w:t>je</w:t>
      </w:r>
      <w:r w:rsidR="00A659A6" w:rsidRPr="009A6244">
        <w:rPr>
          <w:rFonts w:ascii="Arial" w:hAnsi="Arial" w:cs="Arial"/>
          <w:bCs/>
          <w:sz w:val="22"/>
          <w:szCs w:val="22"/>
        </w:rPr>
        <w:t>porez na potrošnju alkoholnih i bezalkoholnih pića</w:t>
      </w:r>
      <w:r w:rsidR="00911DB7" w:rsidRPr="009A6244">
        <w:rPr>
          <w:rFonts w:ascii="Arial" w:hAnsi="Arial" w:cs="Arial"/>
          <w:bCs/>
          <w:sz w:val="22"/>
          <w:szCs w:val="22"/>
        </w:rPr>
        <w:t xml:space="preserve"> koji </w:t>
      </w:r>
      <w:r w:rsidR="008B6B4A" w:rsidRPr="009A6244">
        <w:rPr>
          <w:rFonts w:ascii="Arial" w:hAnsi="Arial" w:cs="Arial"/>
          <w:bCs/>
          <w:sz w:val="22"/>
          <w:szCs w:val="22"/>
        </w:rPr>
        <w:t>je</w:t>
      </w:r>
      <w:r w:rsidR="00911DB7" w:rsidRPr="009A6244">
        <w:rPr>
          <w:rFonts w:ascii="Arial" w:hAnsi="Arial" w:cs="Arial"/>
          <w:bCs/>
          <w:sz w:val="22"/>
          <w:szCs w:val="22"/>
        </w:rPr>
        <w:t xml:space="preserve"> nenamjenski gradski prihodi uveden gradskim odlukama, </w:t>
      </w:r>
      <w:r w:rsidR="008A02E6">
        <w:rPr>
          <w:rFonts w:ascii="Arial" w:hAnsi="Arial" w:cs="Arial"/>
          <w:bCs/>
          <w:sz w:val="22"/>
          <w:szCs w:val="22"/>
        </w:rPr>
        <w:t xml:space="preserve">a </w:t>
      </w:r>
      <w:r w:rsidR="00911DB7" w:rsidRPr="009A6244">
        <w:rPr>
          <w:rFonts w:ascii="Arial" w:hAnsi="Arial" w:cs="Arial"/>
          <w:bCs/>
          <w:sz w:val="22"/>
          <w:szCs w:val="22"/>
        </w:rPr>
        <w:t>sukladno Zakonu</w:t>
      </w:r>
      <w:r w:rsidR="00A659A6" w:rsidRPr="009A6244">
        <w:rPr>
          <w:rFonts w:ascii="Arial" w:hAnsi="Arial" w:cs="Arial"/>
          <w:bCs/>
          <w:sz w:val="22"/>
          <w:szCs w:val="22"/>
        </w:rPr>
        <w:t xml:space="preserve"> o financiranju jedinica lokalne i područne (regionalne</w:t>
      </w:r>
      <w:r w:rsidR="00004EED" w:rsidRPr="009A6244">
        <w:rPr>
          <w:rFonts w:ascii="Arial" w:hAnsi="Arial" w:cs="Arial"/>
          <w:bCs/>
          <w:sz w:val="22"/>
          <w:szCs w:val="22"/>
        </w:rPr>
        <w:t>)</w:t>
      </w:r>
      <w:r w:rsidR="0072043A" w:rsidRPr="009A6244">
        <w:rPr>
          <w:rFonts w:ascii="Arial" w:hAnsi="Arial" w:cs="Arial"/>
          <w:bCs/>
          <w:sz w:val="22"/>
          <w:szCs w:val="22"/>
        </w:rPr>
        <w:t xml:space="preserve"> samouprave</w:t>
      </w:r>
      <w:r w:rsidR="00A659A6" w:rsidRPr="009A6244">
        <w:rPr>
          <w:rFonts w:ascii="Arial" w:hAnsi="Arial" w:cs="Arial"/>
          <w:bCs/>
          <w:sz w:val="22"/>
          <w:szCs w:val="22"/>
        </w:rPr>
        <w:t xml:space="preserve">. </w:t>
      </w:r>
    </w:p>
    <w:p w:rsidR="00FC632D" w:rsidRPr="009A6244" w:rsidRDefault="00FC632D" w:rsidP="0067301E">
      <w:pPr>
        <w:pStyle w:val="BodyText"/>
        <w:rPr>
          <w:rFonts w:ascii="Arial" w:hAnsi="Arial" w:cs="Arial"/>
          <w:bCs/>
          <w:sz w:val="22"/>
          <w:szCs w:val="22"/>
        </w:rPr>
      </w:pPr>
    </w:p>
    <w:p w:rsidR="000B2719" w:rsidRDefault="00911DB7" w:rsidP="0067301E">
      <w:pPr>
        <w:pStyle w:val="BodyText"/>
        <w:rPr>
          <w:rFonts w:ascii="Arial" w:hAnsi="Arial" w:cs="Arial"/>
          <w:bCs/>
          <w:sz w:val="22"/>
          <w:szCs w:val="22"/>
        </w:rPr>
      </w:pPr>
      <w:r w:rsidRPr="009A6244">
        <w:rPr>
          <w:rFonts w:ascii="Arial" w:hAnsi="Arial" w:cs="Arial"/>
          <w:bCs/>
          <w:sz w:val="22"/>
          <w:szCs w:val="22"/>
        </w:rPr>
        <w:t xml:space="preserve">Porez na potrošnju ostvaren je </w:t>
      </w:r>
      <w:r w:rsidR="00222A04" w:rsidRPr="009A6244">
        <w:rPr>
          <w:rFonts w:ascii="Arial" w:hAnsi="Arial" w:cs="Arial"/>
          <w:bCs/>
          <w:sz w:val="22"/>
          <w:szCs w:val="22"/>
        </w:rPr>
        <w:t xml:space="preserve">u iznosu od </w:t>
      </w:r>
      <w:r w:rsidR="00DC6483" w:rsidRPr="009A6244">
        <w:rPr>
          <w:rFonts w:ascii="Arial" w:hAnsi="Arial" w:cs="Arial"/>
          <w:bCs/>
          <w:sz w:val="22"/>
          <w:szCs w:val="22"/>
        </w:rPr>
        <w:t>2.</w:t>
      </w:r>
      <w:r w:rsidR="00592A9A">
        <w:rPr>
          <w:rFonts w:ascii="Arial" w:hAnsi="Arial" w:cs="Arial"/>
          <w:bCs/>
          <w:sz w:val="22"/>
          <w:szCs w:val="22"/>
        </w:rPr>
        <w:t>954</w:t>
      </w:r>
      <w:r w:rsidR="0066118D" w:rsidRPr="009A6244">
        <w:rPr>
          <w:rFonts w:ascii="Arial" w:hAnsi="Arial" w:cs="Arial"/>
          <w:bCs/>
          <w:sz w:val="22"/>
          <w:szCs w:val="22"/>
        </w:rPr>
        <w:t>.</w:t>
      </w:r>
      <w:r w:rsidR="00592A9A">
        <w:rPr>
          <w:rFonts w:ascii="Arial" w:hAnsi="Arial" w:cs="Arial"/>
          <w:bCs/>
          <w:sz w:val="22"/>
          <w:szCs w:val="22"/>
        </w:rPr>
        <w:t>730</w:t>
      </w:r>
      <w:r w:rsidRPr="009A6244">
        <w:rPr>
          <w:rFonts w:ascii="Arial" w:hAnsi="Arial" w:cs="Arial"/>
          <w:bCs/>
          <w:sz w:val="22"/>
          <w:szCs w:val="22"/>
        </w:rPr>
        <w:t xml:space="preserve">kn </w:t>
      </w:r>
      <w:r w:rsidR="008F7A7F" w:rsidRPr="009A6244">
        <w:rPr>
          <w:rFonts w:ascii="Arial" w:hAnsi="Arial" w:cs="Arial"/>
          <w:bCs/>
          <w:sz w:val="22"/>
          <w:szCs w:val="22"/>
        </w:rPr>
        <w:t>i</w:t>
      </w:r>
      <w:r w:rsidR="0072043A" w:rsidRPr="009A6244">
        <w:rPr>
          <w:rFonts w:ascii="Arial" w:hAnsi="Arial" w:cs="Arial"/>
          <w:bCs/>
          <w:sz w:val="22"/>
          <w:szCs w:val="22"/>
        </w:rPr>
        <w:t xml:space="preserve"> tek</w:t>
      </w:r>
      <w:r w:rsidR="008F7A7F" w:rsidRPr="009A6244">
        <w:rPr>
          <w:rFonts w:ascii="Arial" w:hAnsi="Arial" w:cs="Arial"/>
          <w:bCs/>
          <w:sz w:val="22"/>
          <w:szCs w:val="22"/>
        </w:rPr>
        <w:t xml:space="preserve"> je</w:t>
      </w:r>
      <w:r w:rsidR="001A684F" w:rsidRPr="009A6244">
        <w:rPr>
          <w:rFonts w:ascii="Arial" w:hAnsi="Arial" w:cs="Arial"/>
          <w:bCs/>
          <w:sz w:val="22"/>
          <w:szCs w:val="22"/>
        </w:rPr>
        <w:t>2</w:t>
      </w:r>
      <w:r w:rsidR="00592A9A">
        <w:rPr>
          <w:rFonts w:ascii="Arial" w:hAnsi="Arial" w:cs="Arial"/>
          <w:bCs/>
          <w:sz w:val="22"/>
          <w:szCs w:val="22"/>
        </w:rPr>
        <w:t>1</w:t>
      </w:r>
      <w:r w:rsidR="00630ACB" w:rsidRPr="009A6244">
        <w:rPr>
          <w:rFonts w:ascii="Arial" w:hAnsi="Arial" w:cs="Arial"/>
          <w:bCs/>
          <w:sz w:val="22"/>
          <w:szCs w:val="22"/>
        </w:rPr>
        <w:t>,</w:t>
      </w:r>
      <w:r w:rsidR="00592A9A">
        <w:rPr>
          <w:rFonts w:ascii="Arial" w:hAnsi="Arial" w:cs="Arial"/>
          <w:bCs/>
          <w:sz w:val="22"/>
          <w:szCs w:val="22"/>
        </w:rPr>
        <w:t>4</w:t>
      </w:r>
      <w:r w:rsidRPr="009A6244">
        <w:rPr>
          <w:rFonts w:ascii="Arial" w:hAnsi="Arial" w:cs="Arial"/>
          <w:bCs/>
          <w:sz w:val="22"/>
          <w:szCs w:val="22"/>
        </w:rPr>
        <w:t xml:space="preserve">% od planiranih </w:t>
      </w:r>
      <w:r w:rsidR="0066118D" w:rsidRPr="009A6244">
        <w:rPr>
          <w:rFonts w:ascii="Arial" w:hAnsi="Arial" w:cs="Arial"/>
          <w:bCs/>
          <w:sz w:val="22"/>
          <w:szCs w:val="22"/>
        </w:rPr>
        <w:t>1</w:t>
      </w:r>
      <w:r w:rsidR="00592A9A">
        <w:rPr>
          <w:rFonts w:ascii="Arial" w:hAnsi="Arial" w:cs="Arial"/>
          <w:bCs/>
          <w:sz w:val="22"/>
          <w:szCs w:val="22"/>
        </w:rPr>
        <w:t>3</w:t>
      </w:r>
      <w:r w:rsidR="0066118D" w:rsidRPr="009A6244">
        <w:rPr>
          <w:rFonts w:ascii="Arial" w:hAnsi="Arial" w:cs="Arial"/>
          <w:bCs/>
          <w:sz w:val="22"/>
          <w:szCs w:val="22"/>
        </w:rPr>
        <w:t>.</w:t>
      </w:r>
      <w:r w:rsidR="00592A9A">
        <w:rPr>
          <w:rFonts w:ascii="Arial" w:hAnsi="Arial" w:cs="Arial"/>
          <w:bCs/>
          <w:sz w:val="22"/>
          <w:szCs w:val="22"/>
        </w:rPr>
        <w:t>8</w:t>
      </w:r>
      <w:r w:rsidR="0066118D" w:rsidRPr="009A6244">
        <w:rPr>
          <w:rFonts w:ascii="Arial" w:hAnsi="Arial" w:cs="Arial"/>
          <w:bCs/>
          <w:sz w:val="22"/>
          <w:szCs w:val="22"/>
        </w:rPr>
        <w:t>00.000</w:t>
      </w:r>
      <w:r w:rsidRPr="009A6244">
        <w:rPr>
          <w:rFonts w:ascii="Arial" w:hAnsi="Arial" w:cs="Arial"/>
          <w:bCs/>
          <w:sz w:val="22"/>
          <w:szCs w:val="22"/>
        </w:rPr>
        <w:t xml:space="preserve">kn, što je jednim dijelom </w:t>
      </w:r>
      <w:r w:rsidR="0072043A" w:rsidRPr="009A6244">
        <w:rPr>
          <w:rFonts w:ascii="Arial" w:hAnsi="Arial" w:cs="Arial"/>
          <w:bCs/>
          <w:sz w:val="22"/>
          <w:szCs w:val="22"/>
        </w:rPr>
        <w:t xml:space="preserve">posljedica </w:t>
      </w:r>
      <w:r w:rsidRPr="009A6244">
        <w:rPr>
          <w:rFonts w:ascii="Arial" w:hAnsi="Arial" w:cs="Arial"/>
          <w:bCs/>
          <w:sz w:val="22"/>
          <w:szCs w:val="22"/>
        </w:rPr>
        <w:t>sezonskog utjecaja u ostvarenju ovog prihoda</w:t>
      </w:r>
      <w:r w:rsidR="00EA3D35" w:rsidRPr="009A6244">
        <w:rPr>
          <w:rFonts w:ascii="Arial" w:hAnsi="Arial" w:cs="Arial"/>
          <w:bCs/>
          <w:sz w:val="22"/>
          <w:szCs w:val="22"/>
        </w:rPr>
        <w:t>,</w:t>
      </w:r>
      <w:r w:rsidR="0072043A" w:rsidRPr="009A6244">
        <w:rPr>
          <w:rFonts w:ascii="Arial" w:hAnsi="Arial" w:cs="Arial"/>
          <w:bCs/>
          <w:sz w:val="22"/>
          <w:szCs w:val="22"/>
        </w:rPr>
        <w:t xml:space="preserve"> te se glavnina ovog prihoda očekuje </w:t>
      </w:r>
      <w:r w:rsidR="00222A04" w:rsidRPr="009A6244">
        <w:rPr>
          <w:rFonts w:ascii="Arial" w:hAnsi="Arial" w:cs="Arial"/>
          <w:bCs/>
          <w:sz w:val="22"/>
          <w:szCs w:val="22"/>
        </w:rPr>
        <w:t xml:space="preserve">naplatiti </w:t>
      </w:r>
      <w:r w:rsidR="0072043A" w:rsidRPr="009A6244">
        <w:rPr>
          <w:rFonts w:ascii="Arial" w:hAnsi="Arial" w:cs="Arial"/>
          <w:bCs/>
          <w:sz w:val="22"/>
          <w:szCs w:val="22"/>
        </w:rPr>
        <w:t>tijekom ljetnih mjeseci</w:t>
      </w:r>
      <w:r w:rsidR="00004EED" w:rsidRPr="009A6244">
        <w:rPr>
          <w:rFonts w:ascii="Arial" w:hAnsi="Arial" w:cs="Arial"/>
          <w:bCs/>
          <w:sz w:val="22"/>
          <w:szCs w:val="22"/>
        </w:rPr>
        <w:t xml:space="preserve">. </w:t>
      </w:r>
    </w:p>
    <w:p w:rsidR="000B2719" w:rsidRDefault="000B2719" w:rsidP="0067301E">
      <w:pPr>
        <w:pStyle w:val="BodyText"/>
        <w:rPr>
          <w:rFonts w:ascii="Arial" w:hAnsi="Arial" w:cs="Arial"/>
          <w:bCs/>
          <w:sz w:val="22"/>
          <w:szCs w:val="22"/>
        </w:rPr>
      </w:pPr>
    </w:p>
    <w:p w:rsidR="00355752" w:rsidRPr="009A6244" w:rsidRDefault="00355752" w:rsidP="0067301E">
      <w:pPr>
        <w:pStyle w:val="BodyText"/>
        <w:rPr>
          <w:rFonts w:ascii="Arial" w:hAnsi="Arial" w:cs="Arial"/>
          <w:bCs/>
          <w:sz w:val="22"/>
          <w:szCs w:val="22"/>
        </w:rPr>
      </w:pPr>
      <w:r>
        <w:rPr>
          <w:rFonts w:ascii="Arial" w:hAnsi="Arial" w:cs="Arial"/>
          <w:bCs/>
          <w:sz w:val="22"/>
          <w:szCs w:val="22"/>
        </w:rPr>
        <w:t xml:space="preserve">Ostali ostvareni prihod u ovoj skupini od 3.417 kn odnosi se na naplatu po </w:t>
      </w:r>
      <w:r w:rsidR="008660B0">
        <w:rPr>
          <w:rFonts w:ascii="Arial" w:hAnsi="Arial" w:cs="Arial"/>
          <w:bCs/>
          <w:sz w:val="22"/>
          <w:szCs w:val="22"/>
        </w:rPr>
        <w:t>osnovi duga od poreza na tvrtku koji je ukinut 31.12.2016, te se ovaj prihod naplaćuje na  po osnovi dugovanja iz prethodnih razdoblja, a  isti je na godišnjoj razini planiran u ukupnom iznosu od 10.000 kn.</w:t>
      </w:r>
    </w:p>
    <w:p w:rsidR="000B2719" w:rsidRPr="009A6244" w:rsidRDefault="000B2719" w:rsidP="0067301E">
      <w:pPr>
        <w:pStyle w:val="BodyText"/>
        <w:rPr>
          <w:rFonts w:ascii="Arial" w:hAnsi="Arial" w:cs="Arial"/>
          <w:bCs/>
          <w:sz w:val="22"/>
          <w:szCs w:val="22"/>
        </w:rPr>
      </w:pPr>
    </w:p>
    <w:p w:rsidR="000B2719" w:rsidRPr="009A6244" w:rsidRDefault="000B2719" w:rsidP="0067301E">
      <w:pPr>
        <w:pStyle w:val="BodyText"/>
        <w:rPr>
          <w:rFonts w:ascii="Arial" w:hAnsi="Arial" w:cs="Arial"/>
          <w:bCs/>
          <w:sz w:val="22"/>
          <w:szCs w:val="22"/>
        </w:rPr>
      </w:pPr>
    </w:p>
    <w:p w:rsidR="008144A4" w:rsidRPr="009A6244" w:rsidRDefault="008144A4" w:rsidP="00433BB7">
      <w:pPr>
        <w:pStyle w:val="BodyText"/>
        <w:rPr>
          <w:rFonts w:ascii="Arial" w:hAnsi="Arial" w:cs="Arial"/>
          <w:bCs/>
          <w:sz w:val="22"/>
          <w:szCs w:val="22"/>
        </w:rPr>
      </w:pPr>
    </w:p>
    <w:p w:rsidR="00796095" w:rsidRPr="001E09FC" w:rsidRDefault="00E93CBF" w:rsidP="0067301E">
      <w:pPr>
        <w:pStyle w:val="BodyText"/>
        <w:rPr>
          <w:rFonts w:ascii="Arial" w:hAnsi="Arial" w:cs="Arial"/>
          <w:sz w:val="22"/>
          <w:szCs w:val="22"/>
        </w:rPr>
      </w:pPr>
      <w:r w:rsidRPr="001E09FC">
        <w:rPr>
          <w:rFonts w:ascii="Arial" w:hAnsi="Arial" w:cs="Arial"/>
          <w:b/>
          <w:bCs/>
          <w:sz w:val="22"/>
          <w:szCs w:val="22"/>
        </w:rPr>
        <w:t>NEPOREZNI PRIHODI</w:t>
      </w:r>
      <w:r w:rsidR="009548A4" w:rsidRPr="001E09FC">
        <w:rPr>
          <w:rFonts w:ascii="Arial" w:hAnsi="Arial" w:cs="Arial"/>
          <w:sz w:val="22"/>
          <w:szCs w:val="22"/>
        </w:rPr>
        <w:t xml:space="preserve">obuhvaćaju:  prihode po osnovu raznih oblika pomoći, (unutar opće države ili iz inozemstva), prihode od imovine (financijske ili nefinancijske), prihode od administrativnih pristojbi i po posebnim propisima </w:t>
      </w:r>
      <w:r w:rsidR="00A12FF9" w:rsidRPr="001E09FC">
        <w:rPr>
          <w:rFonts w:ascii="Arial" w:hAnsi="Arial" w:cs="Arial"/>
          <w:sz w:val="22"/>
          <w:szCs w:val="22"/>
        </w:rPr>
        <w:t>(</w:t>
      </w:r>
      <w:r w:rsidR="009548A4" w:rsidRPr="001E09FC">
        <w:rPr>
          <w:rFonts w:ascii="Arial" w:hAnsi="Arial" w:cs="Arial"/>
          <w:sz w:val="22"/>
          <w:szCs w:val="22"/>
        </w:rPr>
        <w:t>zakonima) i ostali prihodi.</w:t>
      </w:r>
    </w:p>
    <w:p w:rsidR="00A12FF9" w:rsidRPr="001E09FC" w:rsidRDefault="00A12FF9" w:rsidP="0067301E">
      <w:pPr>
        <w:pStyle w:val="BodyText"/>
        <w:rPr>
          <w:rFonts w:ascii="Arial" w:hAnsi="Arial" w:cs="Arial"/>
          <w:sz w:val="22"/>
          <w:szCs w:val="22"/>
        </w:rPr>
      </w:pPr>
      <w:r w:rsidRPr="001E09FC">
        <w:rPr>
          <w:rFonts w:ascii="Arial" w:hAnsi="Arial" w:cs="Arial"/>
          <w:sz w:val="22"/>
          <w:szCs w:val="22"/>
        </w:rPr>
        <w:t>Glavnina ovih prihoda utvrđuj</w:t>
      </w:r>
      <w:r w:rsidR="00796095" w:rsidRPr="001E09FC">
        <w:rPr>
          <w:rFonts w:ascii="Arial" w:hAnsi="Arial" w:cs="Arial"/>
          <w:sz w:val="22"/>
          <w:szCs w:val="22"/>
        </w:rPr>
        <w:t>e</w:t>
      </w:r>
      <w:r w:rsidRPr="001E09FC">
        <w:rPr>
          <w:rFonts w:ascii="Arial" w:hAnsi="Arial" w:cs="Arial"/>
          <w:sz w:val="22"/>
          <w:szCs w:val="22"/>
        </w:rPr>
        <w:t xml:space="preserve"> se posebnim zakonima, kako je </w:t>
      </w:r>
      <w:r w:rsidR="00796095" w:rsidRPr="001E09FC">
        <w:rPr>
          <w:rFonts w:ascii="Arial" w:hAnsi="Arial" w:cs="Arial"/>
          <w:sz w:val="22"/>
          <w:szCs w:val="22"/>
        </w:rPr>
        <w:t xml:space="preserve">to </w:t>
      </w:r>
      <w:r w:rsidRPr="001E09FC">
        <w:rPr>
          <w:rFonts w:ascii="Arial" w:hAnsi="Arial" w:cs="Arial"/>
          <w:sz w:val="22"/>
          <w:szCs w:val="22"/>
        </w:rPr>
        <w:t>predviđeno u Zakonu o financiranju jedinica lokalne i područne (regionalne) samouprave,</w:t>
      </w:r>
      <w:r w:rsidR="00796095" w:rsidRPr="001E09FC">
        <w:rPr>
          <w:rFonts w:ascii="Arial" w:hAnsi="Arial" w:cs="Arial"/>
          <w:sz w:val="22"/>
          <w:szCs w:val="22"/>
        </w:rPr>
        <w:t xml:space="preserve"> te se</w:t>
      </w:r>
      <w:r w:rsidRPr="001E09FC">
        <w:rPr>
          <w:rFonts w:ascii="Arial" w:hAnsi="Arial" w:cs="Arial"/>
          <w:sz w:val="22"/>
          <w:szCs w:val="22"/>
        </w:rPr>
        <w:t xml:space="preserve"> tako ostvareni namjenski moraju</w:t>
      </w:r>
      <w:r w:rsidR="00796095" w:rsidRPr="001E09FC">
        <w:rPr>
          <w:rFonts w:ascii="Arial" w:hAnsi="Arial" w:cs="Arial"/>
          <w:sz w:val="22"/>
          <w:szCs w:val="22"/>
        </w:rPr>
        <w:t xml:space="preserve"> i</w:t>
      </w:r>
      <w:r w:rsidRPr="001E09FC">
        <w:rPr>
          <w:rFonts w:ascii="Arial" w:hAnsi="Arial" w:cs="Arial"/>
          <w:sz w:val="22"/>
          <w:szCs w:val="22"/>
        </w:rPr>
        <w:t xml:space="preserve"> utrošiti.</w:t>
      </w:r>
    </w:p>
    <w:p w:rsidR="008144A4" w:rsidRPr="001E09FC" w:rsidRDefault="008144A4" w:rsidP="0067301E">
      <w:pPr>
        <w:pStyle w:val="BodyText"/>
        <w:rPr>
          <w:rFonts w:ascii="Arial" w:hAnsi="Arial" w:cs="Arial"/>
          <w:sz w:val="22"/>
          <w:szCs w:val="22"/>
        </w:rPr>
      </w:pPr>
    </w:p>
    <w:p w:rsidR="00D97193" w:rsidRDefault="00A12FF9" w:rsidP="00B010C2">
      <w:pPr>
        <w:pStyle w:val="BodyText"/>
        <w:rPr>
          <w:rFonts w:ascii="Arial" w:hAnsi="Arial" w:cs="Arial"/>
          <w:color w:val="auto"/>
          <w:sz w:val="22"/>
          <w:szCs w:val="22"/>
        </w:rPr>
      </w:pPr>
      <w:r w:rsidRPr="001E09FC">
        <w:rPr>
          <w:rFonts w:ascii="Arial" w:hAnsi="Arial" w:cs="Arial"/>
          <w:color w:val="auto"/>
          <w:sz w:val="22"/>
          <w:szCs w:val="22"/>
        </w:rPr>
        <w:t xml:space="preserve">Neporezni prihodi ostvareni su u </w:t>
      </w:r>
      <w:r w:rsidR="00E6630F" w:rsidRPr="001E09FC">
        <w:rPr>
          <w:rFonts w:ascii="Arial" w:hAnsi="Arial" w:cs="Arial"/>
          <w:color w:val="auto"/>
          <w:sz w:val="22"/>
          <w:szCs w:val="22"/>
        </w:rPr>
        <w:t xml:space="preserve">ukupnom </w:t>
      </w:r>
      <w:r w:rsidRPr="001E09FC">
        <w:rPr>
          <w:rFonts w:ascii="Arial" w:hAnsi="Arial" w:cs="Arial"/>
          <w:color w:val="auto"/>
          <w:sz w:val="22"/>
          <w:szCs w:val="22"/>
        </w:rPr>
        <w:t xml:space="preserve">iznosu </w:t>
      </w:r>
      <w:r w:rsidR="004D48FA" w:rsidRPr="001E09FC">
        <w:rPr>
          <w:rFonts w:ascii="Arial" w:hAnsi="Arial" w:cs="Arial"/>
          <w:color w:val="auto"/>
          <w:sz w:val="22"/>
          <w:szCs w:val="22"/>
        </w:rPr>
        <w:t xml:space="preserve">od </w:t>
      </w:r>
      <w:r w:rsidR="00A54400" w:rsidRPr="001E09FC">
        <w:rPr>
          <w:rFonts w:ascii="Arial" w:hAnsi="Arial" w:cs="Arial"/>
          <w:b/>
          <w:color w:val="auto"/>
          <w:sz w:val="22"/>
          <w:szCs w:val="22"/>
        </w:rPr>
        <w:t>14</w:t>
      </w:r>
      <w:r w:rsidR="001E09FC" w:rsidRPr="001E09FC">
        <w:rPr>
          <w:rFonts w:ascii="Arial" w:hAnsi="Arial" w:cs="Arial"/>
          <w:b/>
          <w:color w:val="auto"/>
          <w:sz w:val="22"/>
          <w:szCs w:val="22"/>
        </w:rPr>
        <w:t>7</w:t>
      </w:r>
      <w:r w:rsidR="000145B9" w:rsidRPr="001E09FC">
        <w:rPr>
          <w:rFonts w:ascii="Arial" w:hAnsi="Arial" w:cs="Arial"/>
          <w:b/>
          <w:color w:val="auto"/>
          <w:sz w:val="22"/>
          <w:szCs w:val="22"/>
        </w:rPr>
        <w:t>.</w:t>
      </w:r>
      <w:r w:rsidR="001E09FC" w:rsidRPr="001E09FC">
        <w:rPr>
          <w:rFonts w:ascii="Arial" w:hAnsi="Arial" w:cs="Arial"/>
          <w:b/>
          <w:color w:val="auto"/>
          <w:sz w:val="22"/>
          <w:szCs w:val="22"/>
        </w:rPr>
        <w:t>497</w:t>
      </w:r>
      <w:r w:rsidR="003513DC" w:rsidRPr="001E09FC">
        <w:rPr>
          <w:rFonts w:ascii="Arial" w:hAnsi="Arial" w:cs="Arial"/>
          <w:b/>
          <w:color w:val="auto"/>
          <w:sz w:val="22"/>
          <w:szCs w:val="22"/>
        </w:rPr>
        <w:t>.</w:t>
      </w:r>
      <w:r w:rsidR="001E09FC" w:rsidRPr="001E09FC">
        <w:rPr>
          <w:rFonts w:ascii="Arial" w:hAnsi="Arial" w:cs="Arial"/>
          <w:b/>
          <w:color w:val="auto"/>
          <w:sz w:val="22"/>
          <w:szCs w:val="22"/>
        </w:rPr>
        <w:t>540</w:t>
      </w:r>
      <w:r w:rsidR="00EB4592" w:rsidRPr="001E09FC">
        <w:rPr>
          <w:rFonts w:ascii="Arial" w:hAnsi="Arial" w:cs="Arial"/>
          <w:b/>
          <w:color w:val="auto"/>
          <w:sz w:val="22"/>
          <w:szCs w:val="22"/>
        </w:rPr>
        <w:t>ku</w:t>
      </w:r>
      <w:r w:rsidR="004D48FA" w:rsidRPr="001E09FC">
        <w:rPr>
          <w:rFonts w:ascii="Arial" w:hAnsi="Arial" w:cs="Arial"/>
          <w:b/>
          <w:color w:val="auto"/>
          <w:sz w:val="22"/>
          <w:szCs w:val="22"/>
        </w:rPr>
        <w:t>na</w:t>
      </w:r>
      <w:r w:rsidR="004D48FA" w:rsidRPr="001E09FC">
        <w:rPr>
          <w:rFonts w:ascii="Arial" w:hAnsi="Arial" w:cs="Arial"/>
          <w:color w:val="auto"/>
          <w:sz w:val="22"/>
          <w:szCs w:val="22"/>
        </w:rPr>
        <w:t xml:space="preserve">. Ostvarenje je </w:t>
      </w:r>
      <w:r w:rsidR="006E6715" w:rsidRPr="001E09FC">
        <w:rPr>
          <w:rFonts w:ascii="Arial" w:hAnsi="Arial" w:cs="Arial"/>
          <w:color w:val="auto"/>
          <w:sz w:val="22"/>
          <w:szCs w:val="22"/>
        </w:rPr>
        <w:t xml:space="preserve">za </w:t>
      </w:r>
      <w:r w:rsidR="001E09FC" w:rsidRPr="001E09FC">
        <w:rPr>
          <w:rFonts w:ascii="Arial" w:hAnsi="Arial" w:cs="Arial"/>
          <w:color w:val="auto"/>
          <w:sz w:val="22"/>
          <w:szCs w:val="22"/>
        </w:rPr>
        <w:t>3</w:t>
      </w:r>
      <w:r w:rsidR="00A43D62" w:rsidRPr="001E09FC">
        <w:rPr>
          <w:rFonts w:ascii="Arial" w:hAnsi="Arial" w:cs="Arial"/>
          <w:color w:val="auto"/>
          <w:sz w:val="22"/>
          <w:szCs w:val="22"/>
        </w:rPr>
        <w:t>,</w:t>
      </w:r>
      <w:r w:rsidR="00A475EC">
        <w:rPr>
          <w:rFonts w:ascii="Arial" w:hAnsi="Arial" w:cs="Arial"/>
          <w:color w:val="auto"/>
          <w:sz w:val="22"/>
          <w:szCs w:val="22"/>
        </w:rPr>
        <w:t>18</w:t>
      </w:r>
      <w:r w:rsidR="006E6715" w:rsidRPr="001E09FC">
        <w:rPr>
          <w:rFonts w:ascii="Arial" w:hAnsi="Arial" w:cs="Arial"/>
          <w:color w:val="auto"/>
          <w:sz w:val="22"/>
          <w:szCs w:val="22"/>
        </w:rPr>
        <w:t xml:space="preserve"> milijuna veće nego prethodne godine</w:t>
      </w:r>
      <w:r w:rsidR="008144A4" w:rsidRPr="001E09FC">
        <w:rPr>
          <w:rFonts w:ascii="Arial" w:hAnsi="Arial" w:cs="Arial"/>
          <w:color w:val="auto"/>
          <w:sz w:val="22"/>
          <w:szCs w:val="22"/>
        </w:rPr>
        <w:t xml:space="preserve"> u istom razdoblju</w:t>
      </w:r>
      <w:r w:rsidR="006E6715" w:rsidRPr="001E09FC">
        <w:rPr>
          <w:rFonts w:ascii="Arial" w:hAnsi="Arial" w:cs="Arial"/>
          <w:color w:val="auto"/>
          <w:sz w:val="22"/>
          <w:szCs w:val="22"/>
        </w:rPr>
        <w:t xml:space="preserve">. </w:t>
      </w:r>
      <w:r w:rsidR="00394FCF" w:rsidRPr="001E09FC">
        <w:rPr>
          <w:rFonts w:ascii="Arial" w:hAnsi="Arial" w:cs="Arial"/>
          <w:color w:val="auto"/>
          <w:sz w:val="22"/>
          <w:szCs w:val="22"/>
        </w:rPr>
        <w:t>G</w:t>
      </w:r>
      <w:r w:rsidR="004D48FA" w:rsidRPr="001E09FC">
        <w:rPr>
          <w:rFonts w:ascii="Arial" w:hAnsi="Arial" w:cs="Arial"/>
          <w:color w:val="auto"/>
          <w:sz w:val="22"/>
          <w:szCs w:val="22"/>
        </w:rPr>
        <w:t>lavninu ovih prihoda čine prihodi od komunalne naknade, komunalnog doprinosa i zakupa prostora u vlasništvu grada.</w:t>
      </w:r>
    </w:p>
    <w:p w:rsidR="009A6244" w:rsidRDefault="009A6244" w:rsidP="00B010C2">
      <w:pPr>
        <w:pStyle w:val="BodyText"/>
        <w:rPr>
          <w:rFonts w:ascii="Arial" w:hAnsi="Arial" w:cs="Arial"/>
          <w:color w:val="auto"/>
          <w:sz w:val="22"/>
          <w:szCs w:val="22"/>
        </w:rPr>
      </w:pPr>
    </w:p>
    <w:p w:rsidR="009A6244" w:rsidRPr="009A6244" w:rsidRDefault="009A6244" w:rsidP="00B010C2">
      <w:pPr>
        <w:pStyle w:val="BodyText"/>
        <w:rPr>
          <w:rFonts w:ascii="Arial" w:hAnsi="Arial" w:cs="Arial"/>
          <w:color w:val="auto"/>
          <w:sz w:val="22"/>
          <w:szCs w:val="22"/>
        </w:rPr>
      </w:pPr>
    </w:p>
    <w:p w:rsidR="00D97193" w:rsidRPr="009A6244" w:rsidRDefault="00D97193" w:rsidP="00A54012">
      <w:pPr>
        <w:rPr>
          <w:rFonts w:ascii="Arial" w:hAnsi="Arial" w:cs="Arial"/>
          <w:sz w:val="22"/>
          <w:szCs w:val="22"/>
        </w:rPr>
      </w:pPr>
    </w:p>
    <w:p w:rsidR="001E09FC" w:rsidRDefault="004D48FA" w:rsidP="008E494C">
      <w:pPr>
        <w:pStyle w:val="Heading3"/>
        <w:rPr>
          <w:rFonts w:ascii="Arial" w:hAnsi="Arial" w:cs="Arial"/>
          <w:sz w:val="22"/>
          <w:szCs w:val="22"/>
        </w:rPr>
      </w:pPr>
      <w:r w:rsidRPr="009A6244">
        <w:rPr>
          <w:rFonts w:ascii="Arial" w:hAnsi="Arial" w:cs="Arial"/>
          <w:b/>
          <w:sz w:val="22"/>
          <w:szCs w:val="22"/>
        </w:rPr>
        <w:t>Tabl</w:t>
      </w:r>
      <w:r w:rsidR="00A61A3E" w:rsidRPr="009A6244">
        <w:rPr>
          <w:rFonts w:ascii="Arial" w:hAnsi="Arial" w:cs="Arial"/>
          <w:b/>
          <w:sz w:val="22"/>
          <w:szCs w:val="22"/>
        </w:rPr>
        <w:t>ica</w:t>
      </w:r>
      <w:r w:rsidRPr="009A6244">
        <w:rPr>
          <w:rFonts w:ascii="Arial" w:hAnsi="Arial" w:cs="Arial"/>
          <w:b/>
          <w:sz w:val="22"/>
          <w:szCs w:val="22"/>
        </w:rPr>
        <w:t xml:space="preserve"> br. 3.</w:t>
      </w:r>
      <w:r w:rsidR="001E09FC">
        <w:rPr>
          <w:rFonts w:ascii="Arial" w:hAnsi="Arial" w:cs="Arial"/>
          <w:sz w:val="22"/>
          <w:szCs w:val="22"/>
        </w:rPr>
        <w:t>Neporezni prihodi- konsolidirani</w:t>
      </w:r>
      <w:r w:rsidRPr="009A6244">
        <w:rPr>
          <w:rFonts w:ascii="Arial" w:hAnsi="Arial" w:cs="Arial"/>
          <w:sz w:val="22"/>
          <w:szCs w:val="22"/>
        </w:rPr>
        <w:tab/>
      </w:r>
      <w:r w:rsidRPr="009A6244">
        <w:rPr>
          <w:rFonts w:ascii="Arial" w:hAnsi="Arial" w:cs="Arial"/>
          <w:sz w:val="22"/>
          <w:szCs w:val="22"/>
        </w:rPr>
        <w:tab/>
      </w:r>
    </w:p>
    <w:p w:rsidR="004D48FA" w:rsidRPr="009A6244" w:rsidRDefault="004D48FA" w:rsidP="008E494C">
      <w:pPr>
        <w:pStyle w:val="Heading3"/>
        <w:rPr>
          <w:rFonts w:ascii="Arial" w:hAnsi="Arial" w:cs="Arial"/>
          <w:sz w:val="22"/>
          <w:szCs w:val="22"/>
        </w:rPr>
      </w:pPr>
      <w:r w:rsidRPr="009A6244">
        <w:rPr>
          <w:rFonts w:ascii="Arial" w:hAnsi="Arial" w:cs="Arial"/>
          <w:sz w:val="22"/>
          <w:szCs w:val="22"/>
        </w:rPr>
        <w:t>u 000 kuna</w:t>
      </w:r>
    </w:p>
    <w:p w:rsidR="00CB0B03" w:rsidRPr="009A6244" w:rsidRDefault="00CB0B03" w:rsidP="00CB0B03">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417"/>
        <w:gridCol w:w="1134"/>
        <w:gridCol w:w="1418"/>
        <w:gridCol w:w="992"/>
        <w:gridCol w:w="1134"/>
      </w:tblGrid>
      <w:tr w:rsidR="001E09FC" w:rsidRPr="009A6244" w:rsidTr="001E09FC">
        <w:trPr>
          <w:trHeight w:val="340"/>
        </w:trPr>
        <w:tc>
          <w:tcPr>
            <w:tcW w:w="3119"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 xml:space="preserve">NEPOREZNI </w:t>
            </w:r>
          </w:p>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PRIHODI</w:t>
            </w:r>
          </w:p>
        </w:tc>
        <w:tc>
          <w:tcPr>
            <w:tcW w:w="1417"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Ostvarenje</w:t>
            </w:r>
          </w:p>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 xml:space="preserve">01. - 06. </w:t>
            </w:r>
            <w:r w:rsidR="00441051">
              <w:rPr>
                <w:rFonts w:ascii="Arial" w:hAnsi="Arial" w:cs="Arial"/>
                <w:b/>
                <w:sz w:val="22"/>
                <w:szCs w:val="22"/>
              </w:rPr>
              <w:t>20</w:t>
            </w:r>
            <w:r w:rsidRPr="009A6244">
              <w:rPr>
                <w:rFonts w:ascii="Arial" w:hAnsi="Arial" w:cs="Arial"/>
                <w:b/>
                <w:sz w:val="22"/>
                <w:szCs w:val="22"/>
              </w:rPr>
              <w:t>18.</w:t>
            </w:r>
          </w:p>
        </w:tc>
        <w:tc>
          <w:tcPr>
            <w:tcW w:w="1134"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Plan</w:t>
            </w:r>
          </w:p>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201</w:t>
            </w:r>
            <w:r>
              <w:rPr>
                <w:rFonts w:ascii="Arial" w:hAnsi="Arial" w:cs="Arial"/>
                <w:b/>
                <w:sz w:val="22"/>
                <w:szCs w:val="22"/>
              </w:rPr>
              <w:t>9</w:t>
            </w:r>
            <w:r w:rsidRPr="009A6244">
              <w:rPr>
                <w:rFonts w:ascii="Arial" w:hAnsi="Arial" w:cs="Arial"/>
                <w:b/>
                <w:sz w:val="22"/>
                <w:szCs w:val="22"/>
              </w:rPr>
              <w:t>.</w:t>
            </w:r>
          </w:p>
        </w:tc>
        <w:tc>
          <w:tcPr>
            <w:tcW w:w="1418"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Ostvarenje</w:t>
            </w:r>
          </w:p>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 xml:space="preserve">01. - 06. </w:t>
            </w:r>
            <w:r w:rsidR="00441051">
              <w:rPr>
                <w:rFonts w:ascii="Arial" w:hAnsi="Arial" w:cs="Arial"/>
                <w:b/>
                <w:sz w:val="22"/>
                <w:szCs w:val="22"/>
              </w:rPr>
              <w:t>20</w:t>
            </w:r>
            <w:r w:rsidRPr="009A6244">
              <w:rPr>
                <w:rFonts w:ascii="Arial" w:hAnsi="Arial" w:cs="Arial"/>
                <w:b/>
                <w:sz w:val="22"/>
                <w:szCs w:val="22"/>
              </w:rPr>
              <w:t>1</w:t>
            </w:r>
            <w:r w:rsidR="007E5E95">
              <w:rPr>
                <w:rFonts w:ascii="Arial" w:hAnsi="Arial" w:cs="Arial"/>
                <w:b/>
                <w:sz w:val="22"/>
                <w:szCs w:val="22"/>
              </w:rPr>
              <w:t>9</w:t>
            </w:r>
            <w:r w:rsidRPr="009A6244">
              <w:rPr>
                <w:rFonts w:ascii="Arial" w:hAnsi="Arial" w:cs="Arial"/>
                <w:b/>
                <w:sz w:val="22"/>
                <w:szCs w:val="22"/>
              </w:rPr>
              <w:t>.</w:t>
            </w:r>
          </w:p>
        </w:tc>
        <w:tc>
          <w:tcPr>
            <w:tcW w:w="992"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4/2</w:t>
            </w:r>
          </w:p>
        </w:tc>
        <w:tc>
          <w:tcPr>
            <w:tcW w:w="1134"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9A6244">
              <w:rPr>
                <w:rFonts w:ascii="Arial" w:hAnsi="Arial" w:cs="Arial"/>
                <w:b/>
                <w:sz w:val="22"/>
                <w:szCs w:val="22"/>
              </w:rPr>
              <w:t>4/3</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1</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2</w:t>
            </w:r>
          </w:p>
        </w:tc>
        <w:tc>
          <w:tcPr>
            <w:tcW w:w="1134"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3</w:t>
            </w:r>
          </w:p>
        </w:tc>
        <w:tc>
          <w:tcPr>
            <w:tcW w:w="1418"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4</w:t>
            </w:r>
          </w:p>
        </w:tc>
        <w:tc>
          <w:tcPr>
            <w:tcW w:w="992"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5</w:t>
            </w:r>
          </w:p>
        </w:tc>
        <w:tc>
          <w:tcPr>
            <w:tcW w:w="1134"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9A6244">
              <w:rPr>
                <w:rFonts w:ascii="Arial" w:hAnsi="Arial" w:cs="Arial"/>
                <w:sz w:val="22"/>
                <w:szCs w:val="22"/>
              </w:rPr>
              <w:t>6</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A6244">
              <w:rPr>
                <w:rFonts w:ascii="Arial" w:hAnsi="Arial" w:cs="Arial"/>
                <w:sz w:val="22"/>
                <w:szCs w:val="22"/>
              </w:rPr>
              <w:t>Pomoći od EU</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97</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4.264</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594</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612</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14</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A6244">
              <w:rPr>
                <w:rFonts w:ascii="Arial" w:hAnsi="Arial" w:cs="Arial"/>
                <w:sz w:val="22"/>
                <w:szCs w:val="22"/>
              </w:rPr>
              <w:t>Pomoći iz proračuna</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1.687</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37.74</w:t>
            </w:r>
            <w:r w:rsidR="009C6417">
              <w:rPr>
                <w:rFonts w:ascii="Arial" w:hAnsi="Arial" w:cs="Arial"/>
                <w:color w:val="auto"/>
                <w:sz w:val="22"/>
                <w:szCs w:val="22"/>
              </w:rPr>
              <w:t>8</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1.692</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100</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Ostale potpore unutar opće države (kapitalne)</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w:t>
            </w:r>
            <w:r w:rsidR="00B40B04">
              <w:rPr>
                <w:rFonts w:ascii="Arial" w:hAnsi="Arial" w:cs="Arial"/>
                <w:color w:val="auto"/>
                <w:sz w:val="22"/>
                <w:szCs w:val="22"/>
              </w:rPr>
              <w:t>400</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3.176</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1.432</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102</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45</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Pomoći izravnanja za dec. funk.i iz nenad.proračuna</w:t>
            </w:r>
          </w:p>
        </w:tc>
        <w:tc>
          <w:tcPr>
            <w:tcW w:w="1417"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5</w:t>
            </w:r>
            <w:r w:rsidR="001E09FC" w:rsidRPr="009A6244">
              <w:rPr>
                <w:rFonts w:ascii="Arial" w:hAnsi="Arial" w:cs="Arial"/>
                <w:color w:val="auto"/>
                <w:sz w:val="22"/>
                <w:szCs w:val="22"/>
              </w:rPr>
              <w:t>.</w:t>
            </w:r>
            <w:r>
              <w:rPr>
                <w:rFonts w:ascii="Arial" w:hAnsi="Arial" w:cs="Arial"/>
                <w:color w:val="auto"/>
                <w:sz w:val="22"/>
                <w:szCs w:val="22"/>
              </w:rPr>
              <w:t>307</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11.151</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5.087</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96</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46</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 xml:space="preserve">Tek.pomoći iz </w:t>
            </w:r>
            <w:r w:rsidR="00B40B04">
              <w:rPr>
                <w:rFonts w:ascii="Arial" w:hAnsi="Arial" w:cs="Arial"/>
                <w:sz w:val="22"/>
                <w:szCs w:val="22"/>
              </w:rPr>
              <w:t>pror. korisnika iz proračuna koji im nije nadležan</w:t>
            </w:r>
          </w:p>
        </w:tc>
        <w:tc>
          <w:tcPr>
            <w:tcW w:w="1417"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3.286</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8.119</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4.671</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142</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58</w:t>
            </w:r>
          </w:p>
        </w:tc>
      </w:tr>
      <w:tr w:rsidR="00B40B04" w:rsidRPr="009A6244" w:rsidTr="001E09FC">
        <w:trPr>
          <w:trHeight w:val="340"/>
        </w:trPr>
        <w:tc>
          <w:tcPr>
            <w:tcW w:w="3119" w:type="dxa"/>
            <w:vAlign w:val="center"/>
          </w:tcPr>
          <w:p w:rsidR="00B40B04" w:rsidRPr="009A6244" w:rsidRDefault="00964141"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P</w:t>
            </w:r>
            <w:r w:rsidR="00B40B04" w:rsidRPr="009A6244">
              <w:rPr>
                <w:rFonts w:ascii="Arial" w:hAnsi="Arial" w:cs="Arial"/>
                <w:sz w:val="22"/>
                <w:szCs w:val="22"/>
              </w:rPr>
              <w:t>omoći iz drž.pror.temeljem prijenosa EU sredstava</w:t>
            </w:r>
          </w:p>
        </w:tc>
        <w:tc>
          <w:tcPr>
            <w:tcW w:w="1417" w:type="dxa"/>
            <w:vAlign w:val="center"/>
          </w:tcPr>
          <w:p w:rsidR="00B40B04"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1.751</w:t>
            </w:r>
          </w:p>
        </w:tc>
        <w:tc>
          <w:tcPr>
            <w:tcW w:w="1134" w:type="dxa"/>
            <w:vAlign w:val="center"/>
          </w:tcPr>
          <w:p w:rsidR="00B40B04"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36.409</w:t>
            </w:r>
          </w:p>
        </w:tc>
        <w:tc>
          <w:tcPr>
            <w:tcW w:w="1418" w:type="dxa"/>
            <w:vAlign w:val="center"/>
          </w:tcPr>
          <w:p w:rsidR="00B40B04"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4.348</w:t>
            </w:r>
          </w:p>
        </w:tc>
        <w:tc>
          <w:tcPr>
            <w:tcW w:w="992" w:type="dxa"/>
            <w:vAlign w:val="center"/>
          </w:tcPr>
          <w:p w:rsidR="00B40B04"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248</w:t>
            </w:r>
          </w:p>
        </w:tc>
        <w:tc>
          <w:tcPr>
            <w:tcW w:w="1134" w:type="dxa"/>
            <w:vAlign w:val="center"/>
          </w:tcPr>
          <w:p w:rsidR="00B40B04"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12</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A6244">
              <w:rPr>
                <w:rFonts w:ascii="Arial" w:hAnsi="Arial" w:cs="Arial"/>
                <w:sz w:val="22"/>
                <w:szCs w:val="22"/>
              </w:rPr>
              <w:t>Prihodi od financijske imov.</w:t>
            </w:r>
            <w:r>
              <w:rPr>
                <w:rFonts w:ascii="Arial" w:hAnsi="Arial" w:cs="Arial"/>
                <w:sz w:val="22"/>
                <w:szCs w:val="22"/>
              </w:rPr>
              <w:t xml:space="preserve"> i kam</w:t>
            </w:r>
            <w:r w:rsidR="00A75C07">
              <w:rPr>
                <w:rFonts w:ascii="Arial" w:hAnsi="Arial" w:cs="Arial"/>
                <w:sz w:val="22"/>
                <w:szCs w:val="22"/>
              </w:rPr>
              <w:t>. na dane zajmove</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1.0</w:t>
            </w:r>
            <w:r w:rsidR="009C6417">
              <w:rPr>
                <w:rFonts w:ascii="Arial" w:hAnsi="Arial" w:cs="Arial"/>
                <w:color w:val="auto"/>
                <w:sz w:val="22"/>
                <w:szCs w:val="22"/>
              </w:rPr>
              <w:t>90</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w:t>
            </w:r>
            <w:r w:rsidR="009C6417">
              <w:rPr>
                <w:rFonts w:ascii="Arial" w:hAnsi="Arial" w:cs="Arial"/>
                <w:color w:val="auto"/>
                <w:sz w:val="22"/>
                <w:szCs w:val="22"/>
              </w:rPr>
              <w:t>608</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5</w:t>
            </w:r>
            <w:r w:rsidR="007E5E95">
              <w:rPr>
                <w:rFonts w:ascii="Arial" w:hAnsi="Arial" w:cs="Arial"/>
                <w:color w:val="auto"/>
                <w:sz w:val="22"/>
                <w:szCs w:val="22"/>
              </w:rPr>
              <w:t>48</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50</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12</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 xml:space="preserve">Prihodi od </w:t>
            </w:r>
          </w:p>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nefinancijske imovine</w:t>
            </w:r>
          </w:p>
        </w:tc>
        <w:tc>
          <w:tcPr>
            <w:tcW w:w="1417" w:type="dxa"/>
            <w:vAlign w:val="center"/>
          </w:tcPr>
          <w:p w:rsidR="001E09FC" w:rsidRPr="009A6244" w:rsidRDefault="001E09FC" w:rsidP="001E09FC">
            <w:pPr>
              <w:jc w:val="right"/>
              <w:rPr>
                <w:rFonts w:ascii="Arial" w:hAnsi="Arial" w:cs="Arial"/>
                <w:color w:val="auto"/>
                <w:sz w:val="22"/>
                <w:szCs w:val="22"/>
              </w:rPr>
            </w:pPr>
            <w:r w:rsidRPr="009A6244">
              <w:rPr>
                <w:rFonts w:ascii="Arial" w:hAnsi="Arial" w:cs="Arial"/>
                <w:color w:val="auto"/>
                <w:sz w:val="22"/>
                <w:szCs w:val="22"/>
              </w:rPr>
              <w:t>51.379</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219.662</w:t>
            </w:r>
          </w:p>
        </w:tc>
        <w:tc>
          <w:tcPr>
            <w:tcW w:w="1418" w:type="dxa"/>
            <w:vAlign w:val="center"/>
          </w:tcPr>
          <w:p w:rsidR="001E09FC" w:rsidRPr="009A6244" w:rsidRDefault="00B40B04" w:rsidP="001E09FC">
            <w:pPr>
              <w:jc w:val="right"/>
              <w:rPr>
                <w:rFonts w:ascii="Arial" w:hAnsi="Arial" w:cs="Arial"/>
                <w:color w:val="auto"/>
                <w:sz w:val="22"/>
                <w:szCs w:val="22"/>
              </w:rPr>
            </w:pPr>
            <w:r>
              <w:rPr>
                <w:rFonts w:ascii="Arial" w:hAnsi="Arial" w:cs="Arial"/>
                <w:color w:val="auto"/>
                <w:sz w:val="22"/>
                <w:szCs w:val="22"/>
              </w:rPr>
              <w:t>62.65</w:t>
            </w:r>
            <w:r w:rsidR="007E5E95">
              <w:rPr>
                <w:rFonts w:ascii="Arial" w:hAnsi="Arial" w:cs="Arial"/>
                <w:color w:val="auto"/>
                <w:sz w:val="22"/>
                <w:szCs w:val="22"/>
              </w:rPr>
              <w:t>1</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122</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28</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Administrativne upravne pristojbe</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10.660</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35.430</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12.785</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120</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36</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A6244">
              <w:rPr>
                <w:rFonts w:ascii="Arial" w:hAnsi="Arial" w:cs="Arial"/>
                <w:sz w:val="22"/>
                <w:szCs w:val="22"/>
              </w:rPr>
              <w:t>Prihodi po posebnim propisima</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7.023</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13.789</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8.304</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118</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60</w:t>
            </w:r>
          </w:p>
        </w:tc>
      </w:tr>
      <w:tr w:rsidR="001E09FC" w:rsidRPr="009A6244" w:rsidTr="001E09FC">
        <w:trPr>
          <w:trHeight w:val="340"/>
        </w:trPr>
        <w:tc>
          <w:tcPr>
            <w:tcW w:w="3119"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Komunalni doprinos</w:t>
            </w:r>
            <w:r w:rsidRPr="009A6244">
              <w:rPr>
                <w:rFonts w:ascii="Arial" w:hAnsi="Arial" w:cs="Arial"/>
                <w:sz w:val="22"/>
                <w:szCs w:val="22"/>
              </w:rPr>
              <w:t xml:space="preserve"> i komunalna naknada</w:t>
            </w:r>
          </w:p>
        </w:tc>
        <w:tc>
          <w:tcPr>
            <w:tcW w:w="1417" w:type="dxa"/>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28.413</w:t>
            </w:r>
          </w:p>
        </w:tc>
        <w:tc>
          <w:tcPr>
            <w:tcW w:w="1134"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79.400</w:t>
            </w:r>
          </w:p>
        </w:tc>
        <w:tc>
          <w:tcPr>
            <w:tcW w:w="1418" w:type="dxa"/>
            <w:vAlign w:val="center"/>
          </w:tcPr>
          <w:p w:rsidR="001E09FC" w:rsidRPr="009A6244" w:rsidRDefault="00B40B04"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37.033</w:t>
            </w:r>
          </w:p>
        </w:tc>
        <w:tc>
          <w:tcPr>
            <w:tcW w:w="992"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130</w:t>
            </w:r>
          </w:p>
        </w:tc>
        <w:tc>
          <w:tcPr>
            <w:tcW w:w="1134" w:type="dxa"/>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47</w:t>
            </w:r>
          </w:p>
        </w:tc>
      </w:tr>
      <w:tr w:rsidR="001E09FC" w:rsidRPr="009A6244" w:rsidTr="001E09FC">
        <w:trPr>
          <w:trHeight w:val="340"/>
        </w:trPr>
        <w:tc>
          <w:tcPr>
            <w:tcW w:w="3119"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A6244">
              <w:rPr>
                <w:rFonts w:ascii="Arial" w:hAnsi="Arial" w:cs="Arial"/>
                <w:sz w:val="22"/>
                <w:szCs w:val="22"/>
              </w:rPr>
              <w:t>Ostali prihodi(skupina 66 i 68)</w:t>
            </w:r>
          </w:p>
        </w:tc>
        <w:tc>
          <w:tcPr>
            <w:tcW w:w="1417"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32.223</w:t>
            </w:r>
          </w:p>
        </w:tc>
        <w:tc>
          <w:tcPr>
            <w:tcW w:w="1134" w:type="dxa"/>
            <w:shd w:val="clear" w:color="auto" w:fill="FFFFFF"/>
            <w:vAlign w:val="center"/>
          </w:tcPr>
          <w:p w:rsidR="001E09FC" w:rsidRPr="009A6244" w:rsidRDefault="00E9608A"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33.009</w:t>
            </w:r>
          </w:p>
        </w:tc>
        <w:tc>
          <w:tcPr>
            <w:tcW w:w="1418" w:type="dxa"/>
            <w:shd w:val="clear" w:color="auto" w:fill="FFFFFF"/>
            <w:vAlign w:val="center"/>
          </w:tcPr>
          <w:p w:rsidR="001E09FC" w:rsidRPr="009A6244" w:rsidRDefault="00E9608A"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8.353</w:t>
            </w:r>
          </w:p>
        </w:tc>
        <w:tc>
          <w:tcPr>
            <w:tcW w:w="992" w:type="dxa"/>
            <w:shd w:val="clear" w:color="auto" w:fill="FFFFFF"/>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26</w:t>
            </w:r>
          </w:p>
        </w:tc>
        <w:tc>
          <w:tcPr>
            <w:tcW w:w="1134" w:type="dxa"/>
            <w:shd w:val="clear" w:color="auto" w:fill="FFFFFF"/>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25</w:t>
            </w:r>
          </w:p>
        </w:tc>
      </w:tr>
      <w:tr w:rsidR="001E09FC" w:rsidRPr="009A6244" w:rsidTr="001E09FC">
        <w:trPr>
          <w:trHeight w:val="469"/>
        </w:trPr>
        <w:tc>
          <w:tcPr>
            <w:tcW w:w="3119" w:type="dxa"/>
            <w:shd w:val="clear" w:color="auto" w:fill="FFFFFF"/>
            <w:vAlign w:val="center"/>
          </w:tcPr>
          <w:p w:rsidR="001E09FC" w:rsidRPr="009A6244" w:rsidRDefault="001E09FC"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9A6244">
              <w:rPr>
                <w:rFonts w:ascii="Arial" w:hAnsi="Arial" w:cs="Arial"/>
                <w:b/>
                <w:sz w:val="22"/>
                <w:szCs w:val="22"/>
              </w:rPr>
              <w:t>U k u p n o</w:t>
            </w:r>
          </w:p>
        </w:tc>
        <w:tc>
          <w:tcPr>
            <w:tcW w:w="1417" w:type="dxa"/>
            <w:shd w:val="clear" w:color="auto" w:fill="FFFFFF"/>
            <w:vAlign w:val="center"/>
          </w:tcPr>
          <w:p w:rsidR="001E09FC" w:rsidRPr="009A6244" w:rsidRDefault="00316E2B"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Pr>
                <w:rFonts w:ascii="Arial" w:hAnsi="Arial" w:cs="Arial"/>
                <w:b/>
                <w:color w:val="auto"/>
                <w:sz w:val="22"/>
                <w:szCs w:val="22"/>
              </w:rPr>
              <w:t>144.316</w:t>
            </w:r>
          </w:p>
        </w:tc>
        <w:tc>
          <w:tcPr>
            <w:tcW w:w="1134" w:type="dxa"/>
            <w:shd w:val="clear" w:color="auto" w:fill="FFFFFF"/>
            <w:vAlign w:val="center"/>
          </w:tcPr>
          <w:p w:rsidR="001E09FC" w:rsidRPr="009A6244" w:rsidRDefault="009C6417"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Pr>
                <w:rFonts w:ascii="Arial" w:hAnsi="Arial" w:cs="Arial"/>
                <w:b/>
                <w:color w:val="auto"/>
                <w:sz w:val="22"/>
                <w:szCs w:val="22"/>
              </w:rPr>
              <w:t>486.765</w:t>
            </w:r>
          </w:p>
        </w:tc>
        <w:tc>
          <w:tcPr>
            <w:tcW w:w="1418" w:type="dxa"/>
            <w:shd w:val="clear" w:color="auto" w:fill="FFFFFF"/>
            <w:vAlign w:val="center"/>
          </w:tcPr>
          <w:p w:rsidR="001E09FC" w:rsidRPr="009A6244" w:rsidRDefault="007E5E95"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Pr>
                <w:rFonts w:ascii="Arial" w:hAnsi="Arial" w:cs="Arial"/>
                <w:b/>
                <w:color w:val="auto"/>
                <w:sz w:val="22"/>
                <w:szCs w:val="22"/>
              </w:rPr>
              <w:t>147</w:t>
            </w:r>
            <w:r w:rsidR="00316E2B">
              <w:rPr>
                <w:rFonts w:ascii="Arial" w:hAnsi="Arial" w:cs="Arial"/>
                <w:b/>
                <w:color w:val="auto"/>
                <w:sz w:val="22"/>
                <w:szCs w:val="22"/>
              </w:rPr>
              <w:t>.</w:t>
            </w:r>
            <w:r>
              <w:rPr>
                <w:rFonts w:ascii="Arial" w:hAnsi="Arial" w:cs="Arial"/>
                <w:b/>
                <w:color w:val="auto"/>
                <w:sz w:val="22"/>
                <w:szCs w:val="22"/>
              </w:rPr>
              <w:t>498</w:t>
            </w:r>
          </w:p>
        </w:tc>
        <w:tc>
          <w:tcPr>
            <w:tcW w:w="992" w:type="dxa"/>
            <w:shd w:val="clear" w:color="auto" w:fill="FFFFFF"/>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Pr>
                <w:rFonts w:ascii="Arial" w:hAnsi="Arial" w:cs="Arial"/>
                <w:b/>
                <w:color w:val="auto"/>
                <w:sz w:val="22"/>
                <w:szCs w:val="22"/>
              </w:rPr>
              <w:t>102</w:t>
            </w:r>
          </w:p>
        </w:tc>
        <w:tc>
          <w:tcPr>
            <w:tcW w:w="1134" w:type="dxa"/>
            <w:shd w:val="clear" w:color="auto" w:fill="FFFFFF"/>
            <w:vAlign w:val="center"/>
          </w:tcPr>
          <w:p w:rsidR="001E09FC" w:rsidRPr="009A6244" w:rsidRDefault="00464C1D" w:rsidP="001E09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Pr>
                <w:rFonts w:ascii="Arial" w:hAnsi="Arial" w:cs="Arial"/>
                <w:b/>
                <w:color w:val="auto"/>
                <w:sz w:val="22"/>
                <w:szCs w:val="22"/>
              </w:rPr>
              <w:t>30</w:t>
            </w:r>
          </w:p>
        </w:tc>
      </w:tr>
    </w:tbl>
    <w:p w:rsidR="00A863A5" w:rsidRPr="009A6244" w:rsidRDefault="00A863A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C00000"/>
          <w:sz w:val="22"/>
          <w:szCs w:val="22"/>
        </w:rPr>
      </w:pPr>
    </w:p>
    <w:p w:rsidR="002933CC" w:rsidRPr="00FC3916" w:rsidRDefault="00F4749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FC3916">
        <w:rPr>
          <w:rFonts w:ascii="Arial" w:hAnsi="Arial" w:cs="Arial"/>
          <w:b/>
          <w:color w:val="auto"/>
          <w:sz w:val="22"/>
          <w:szCs w:val="22"/>
        </w:rPr>
        <w:t xml:space="preserve">Pomoći </w:t>
      </w:r>
      <w:r w:rsidR="00D0575A" w:rsidRPr="00FC3916">
        <w:rPr>
          <w:rFonts w:ascii="Arial" w:hAnsi="Arial" w:cs="Arial"/>
          <w:b/>
          <w:color w:val="auto"/>
          <w:sz w:val="22"/>
          <w:szCs w:val="22"/>
        </w:rPr>
        <w:t>o</w:t>
      </w:r>
      <w:r w:rsidR="00F4335A" w:rsidRPr="00FC3916">
        <w:rPr>
          <w:rFonts w:ascii="Arial" w:hAnsi="Arial" w:cs="Arial"/>
          <w:b/>
          <w:color w:val="auto"/>
          <w:sz w:val="22"/>
          <w:szCs w:val="22"/>
        </w:rPr>
        <w:t>d</w:t>
      </w:r>
      <w:r w:rsidR="00D0575A" w:rsidRPr="00FC3916">
        <w:rPr>
          <w:rFonts w:ascii="Arial" w:hAnsi="Arial" w:cs="Arial"/>
          <w:b/>
          <w:color w:val="auto"/>
          <w:sz w:val="22"/>
          <w:szCs w:val="22"/>
        </w:rPr>
        <w:t xml:space="preserve"> organizacija i tijela</w:t>
      </w:r>
      <w:r w:rsidRPr="00FC3916">
        <w:rPr>
          <w:rFonts w:ascii="Arial" w:hAnsi="Arial" w:cs="Arial"/>
          <w:b/>
          <w:color w:val="auto"/>
          <w:sz w:val="22"/>
          <w:szCs w:val="22"/>
        </w:rPr>
        <w:t xml:space="preserve"> EU </w:t>
      </w:r>
      <w:r w:rsidRPr="00FC3916">
        <w:rPr>
          <w:rFonts w:ascii="Arial" w:hAnsi="Arial" w:cs="Arial"/>
          <w:color w:val="auto"/>
          <w:sz w:val="22"/>
          <w:szCs w:val="22"/>
        </w:rPr>
        <w:t xml:space="preserve">ostvarene su </w:t>
      </w:r>
      <w:r w:rsidR="00AE66F7" w:rsidRPr="00FC3916">
        <w:rPr>
          <w:rFonts w:ascii="Arial" w:hAnsi="Arial" w:cs="Arial"/>
          <w:color w:val="auto"/>
          <w:sz w:val="22"/>
          <w:szCs w:val="22"/>
        </w:rPr>
        <w:t xml:space="preserve">u iznosu od </w:t>
      </w:r>
      <w:r w:rsidR="00FC3916" w:rsidRPr="00FC3916">
        <w:rPr>
          <w:rFonts w:ascii="Arial" w:hAnsi="Arial" w:cs="Arial"/>
          <w:color w:val="auto"/>
          <w:sz w:val="22"/>
          <w:szCs w:val="22"/>
        </w:rPr>
        <w:t>592</w:t>
      </w:r>
      <w:r w:rsidR="00BC79F7" w:rsidRPr="00FC3916">
        <w:rPr>
          <w:rFonts w:ascii="Arial" w:hAnsi="Arial" w:cs="Arial"/>
          <w:color w:val="auto"/>
          <w:sz w:val="22"/>
          <w:szCs w:val="22"/>
        </w:rPr>
        <w:t>.</w:t>
      </w:r>
      <w:r w:rsidR="00FC3916" w:rsidRPr="00FC3916">
        <w:rPr>
          <w:rFonts w:ascii="Arial" w:hAnsi="Arial" w:cs="Arial"/>
          <w:color w:val="auto"/>
          <w:sz w:val="22"/>
          <w:szCs w:val="22"/>
        </w:rPr>
        <w:t>998</w:t>
      </w:r>
      <w:r w:rsidR="00AE66F7" w:rsidRPr="00FC3916">
        <w:rPr>
          <w:rFonts w:ascii="Arial" w:hAnsi="Arial" w:cs="Arial"/>
          <w:color w:val="auto"/>
          <w:sz w:val="22"/>
          <w:szCs w:val="22"/>
        </w:rPr>
        <w:t xml:space="preserve"> kn, odnosno </w:t>
      </w:r>
      <w:r w:rsidR="00E46DE1" w:rsidRPr="00FC3916">
        <w:rPr>
          <w:rFonts w:ascii="Arial" w:hAnsi="Arial" w:cs="Arial"/>
          <w:color w:val="auto"/>
          <w:sz w:val="22"/>
          <w:szCs w:val="22"/>
        </w:rPr>
        <w:t xml:space="preserve">sa </w:t>
      </w:r>
      <w:r w:rsidR="00FC3916" w:rsidRPr="00FC3916">
        <w:rPr>
          <w:rFonts w:ascii="Arial" w:hAnsi="Arial" w:cs="Arial"/>
          <w:color w:val="auto"/>
          <w:sz w:val="22"/>
          <w:szCs w:val="22"/>
        </w:rPr>
        <w:t>1</w:t>
      </w:r>
      <w:r w:rsidR="00BC79F7" w:rsidRPr="00FC3916">
        <w:rPr>
          <w:rFonts w:ascii="Arial" w:hAnsi="Arial" w:cs="Arial"/>
          <w:color w:val="auto"/>
          <w:sz w:val="22"/>
          <w:szCs w:val="22"/>
        </w:rPr>
        <w:t>4</w:t>
      </w:r>
      <w:r w:rsidR="00AE66F7" w:rsidRPr="00FC3916">
        <w:rPr>
          <w:rFonts w:ascii="Arial" w:hAnsi="Arial" w:cs="Arial"/>
          <w:color w:val="auto"/>
          <w:sz w:val="22"/>
          <w:szCs w:val="22"/>
        </w:rPr>
        <w:t>% od ukupno planiranog iznosa za 201</w:t>
      </w:r>
      <w:r w:rsidR="00FC3916" w:rsidRPr="00FC3916">
        <w:rPr>
          <w:rFonts w:ascii="Arial" w:hAnsi="Arial" w:cs="Arial"/>
          <w:color w:val="auto"/>
          <w:sz w:val="22"/>
          <w:szCs w:val="22"/>
        </w:rPr>
        <w:t>9</w:t>
      </w:r>
      <w:r w:rsidR="00AE66F7" w:rsidRPr="00FC3916">
        <w:rPr>
          <w:rFonts w:ascii="Arial" w:hAnsi="Arial" w:cs="Arial"/>
          <w:color w:val="auto"/>
          <w:sz w:val="22"/>
          <w:szCs w:val="22"/>
        </w:rPr>
        <w:t>. godinu</w:t>
      </w:r>
      <w:r w:rsidR="00AC7D9F">
        <w:rPr>
          <w:rFonts w:ascii="Arial" w:hAnsi="Arial" w:cs="Arial"/>
          <w:color w:val="auto"/>
          <w:sz w:val="22"/>
          <w:szCs w:val="22"/>
        </w:rPr>
        <w:t>, a pomoći od inozemnih vlada ostvarene su sa 1.473 kn</w:t>
      </w:r>
      <w:r w:rsidR="00AE66F7" w:rsidRPr="00FC3916">
        <w:rPr>
          <w:rFonts w:ascii="Arial" w:hAnsi="Arial" w:cs="Arial"/>
          <w:color w:val="auto"/>
          <w:sz w:val="22"/>
          <w:szCs w:val="22"/>
        </w:rPr>
        <w:t>.</w:t>
      </w:r>
    </w:p>
    <w:p w:rsidR="00F47497" w:rsidRPr="00FC3916" w:rsidRDefault="00F47497" w:rsidP="00EF5655">
      <w:pPr>
        <w:pStyle w:val="BodyText"/>
        <w:rPr>
          <w:rFonts w:ascii="Arial" w:hAnsi="Arial" w:cs="Arial"/>
          <w:b/>
          <w:bCs/>
          <w:color w:val="auto"/>
          <w:sz w:val="22"/>
          <w:szCs w:val="22"/>
        </w:rPr>
      </w:pPr>
    </w:p>
    <w:p w:rsidR="00EF5655" w:rsidRPr="00FC3916" w:rsidRDefault="00EF5655" w:rsidP="00EF5655">
      <w:pPr>
        <w:pStyle w:val="BodyText"/>
        <w:rPr>
          <w:rFonts w:ascii="Arial" w:hAnsi="Arial" w:cs="Arial"/>
          <w:color w:val="auto"/>
          <w:sz w:val="22"/>
          <w:szCs w:val="22"/>
        </w:rPr>
      </w:pPr>
      <w:r w:rsidRPr="00FC3916">
        <w:rPr>
          <w:rFonts w:ascii="Arial" w:hAnsi="Arial" w:cs="Arial"/>
          <w:b/>
          <w:bCs/>
          <w:color w:val="auto"/>
          <w:sz w:val="22"/>
          <w:szCs w:val="22"/>
        </w:rPr>
        <w:t>Pomoći iz proračuna</w:t>
      </w:r>
      <w:r w:rsidRPr="00FC3916">
        <w:rPr>
          <w:rFonts w:ascii="Arial" w:hAnsi="Arial" w:cs="Arial"/>
          <w:color w:val="auto"/>
          <w:sz w:val="22"/>
          <w:szCs w:val="22"/>
        </w:rPr>
        <w:t xml:space="preserve"> ostvarene su sa </w:t>
      </w:r>
      <w:r w:rsidR="00AE66F7" w:rsidRPr="00FC3916">
        <w:rPr>
          <w:rFonts w:ascii="Arial" w:hAnsi="Arial" w:cs="Arial"/>
          <w:color w:val="auto"/>
          <w:sz w:val="22"/>
          <w:szCs w:val="22"/>
        </w:rPr>
        <w:t xml:space="preserve">iznosom od </w:t>
      </w:r>
      <w:r w:rsidR="002D131E" w:rsidRPr="00FC3916">
        <w:rPr>
          <w:rFonts w:ascii="Arial" w:hAnsi="Arial" w:cs="Arial"/>
          <w:color w:val="auto"/>
          <w:sz w:val="22"/>
          <w:szCs w:val="22"/>
        </w:rPr>
        <w:t>1</w:t>
      </w:r>
      <w:r w:rsidR="00EE44D5" w:rsidRPr="00FC3916">
        <w:rPr>
          <w:rFonts w:ascii="Arial" w:hAnsi="Arial" w:cs="Arial"/>
          <w:color w:val="auto"/>
          <w:sz w:val="22"/>
          <w:szCs w:val="22"/>
        </w:rPr>
        <w:t>.</w:t>
      </w:r>
      <w:r w:rsidR="002D131E" w:rsidRPr="00FC3916">
        <w:rPr>
          <w:rFonts w:ascii="Arial" w:hAnsi="Arial" w:cs="Arial"/>
          <w:color w:val="auto"/>
          <w:sz w:val="22"/>
          <w:szCs w:val="22"/>
        </w:rPr>
        <w:t>6</w:t>
      </w:r>
      <w:r w:rsidR="00FC3916" w:rsidRPr="00FC3916">
        <w:rPr>
          <w:rFonts w:ascii="Arial" w:hAnsi="Arial" w:cs="Arial"/>
          <w:color w:val="auto"/>
          <w:sz w:val="22"/>
          <w:szCs w:val="22"/>
        </w:rPr>
        <w:t>91</w:t>
      </w:r>
      <w:r w:rsidR="002D131E" w:rsidRPr="00FC3916">
        <w:rPr>
          <w:rFonts w:ascii="Arial" w:hAnsi="Arial" w:cs="Arial"/>
          <w:color w:val="auto"/>
          <w:sz w:val="22"/>
          <w:szCs w:val="22"/>
        </w:rPr>
        <w:t>.</w:t>
      </w:r>
      <w:r w:rsidR="00FC3916" w:rsidRPr="00FC3916">
        <w:rPr>
          <w:rFonts w:ascii="Arial" w:hAnsi="Arial" w:cs="Arial"/>
          <w:color w:val="auto"/>
          <w:sz w:val="22"/>
          <w:szCs w:val="22"/>
        </w:rPr>
        <w:t>711</w:t>
      </w:r>
      <w:r w:rsidRPr="00FC3916">
        <w:rPr>
          <w:rFonts w:ascii="Arial" w:hAnsi="Arial" w:cs="Arial"/>
          <w:color w:val="auto"/>
          <w:sz w:val="22"/>
          <w:szCs w:val="22"/>
        </w:rPr>
        <w:t>kun</w:t>
      </w:r>
      <w:r w:rsidR="00AE66F7" w:rsidRPr="00FC3916">
        <w:rPr>
          <w:rFonts w:ascii="Arial" w:hAnsi="Arial" w:cs="Arial"/>
          <w:color w:val="auto"/>
          <w:sz w:val="22"/>
          <w:szCs w:val="22"/>
        </w:rPr>
        <w:t>a</w:t>
      </w:r>
      <w:r w:rsidR="00182BAA" w:rsidRPr="00FC3916">
        <w:rPr>
          <w:rFonts w:ascii="Arial" w:hAnsi="Arial" w:cs="Arial"/>
          <w:color w:val="auto"/>
          <w:sz w:val="22"/>
          <w:szCs w:val="22"/>
        </w:rPr>
        <w:t xml:space="preserve">, odnosno </w:t>
      </w:r>
      <w:r w:rsidR="004E5FC2" w:rsidRPr="00FC3916">
        <w:rPr>
          <w:rFonts w:ascii="Arial" w:hAnsi="Arial" w:cs="Arial"/>
          <w:color w:val="auto"/>
          <w:sz w:val="22"/>
          <w:szCs w:val="22"/>
        </w:rPr>
        <w:t xml:space="preserve">sa </w:t>
      </w:r>
      <w:r w:rsidR="00FC3916" w:rsidRPr="00FC3916">
        <w:rPr>
          <w:rFonts w:ascii="Arial" w:hAnsi="Arial" w:cs="Arial"/>
          <w:color w:val="auto"/>
          <w:sz w:val="22"/>
          <w:szCs w:val="22"/>
        </w:rPr>
        <w:t>4,5</w:t>
      </w:r>
      <w:r w:rsidR="00182BAA" w:rsidRPr="00FC3916">
        <w:rPr>
          <w:rFonts w:ascii="Arial" w:hAnsi="Arial" w:cs="Arial"/>
          <w:color w:val="auto"/>
          <w:sz w:val="22"/>
          <w:szCs w:val="22"/>
        </w:rPr>
        <w:t xml:space="preserve"> % od planiranog za 201</w:t>
      </w:r>
      <w:r w:rsidR="00FC3916" w:rsidRPr="00FC3916">
        <w:rPr>
          <w:rFonts w:ascii="Arial" w:hAnsi="Arial" w:cs="Arial"/>
          <w:color w:val="auto"/>
          <w:sz w:val="22"/>
          <w:szCs w:val="22"/>
        </w:rPr>
        <w:t>9</w:t>
      </w:r>
      <w:r w:rsidR="00182BAA" w:rsidRPr="00FC3916">
        <w:rPr>
          <w:rFonts w:ascii="Arial" w:hAnsi="Arial" w:cs="Arial"/>
          <w:color w:val="auto"/>
          <w:sz w:val="22"/>
          <w:szCs w:val="22"/>
        </w:rPr>
        <w:t>.</w:t>
      </w:r>
    </w:p>
    <w:p w:rsidR="00D0575A" w:rsidRPr="00FC3916" w:rsidRDefault="00D0575A" w:rsidP="00EF5655">
      <w:pPr>
        <w:pStyle w:val="BodyText"/>
        <w:rPr>
          <w:rFonts w:ascii="Arial" w:hAnsi="Arial" w:cs="Arial"/>
          <w:color w:val="auto"/>
          <w:sz w:val="22"/>
          <w:szCs w:val="22"/>
        </w:rPr>
      </w:pPr>
    </w:p>
    <w:p w:rsidR="00D0575A" w:rsidRPr="00FC3916" w:rsidRDefault="00D0575A" w:rsidP="00EF5655">
      <w:pPr>
        <w:pStyle w:val="BodyText"/>
        <w:rPr>
          <w:rFonts w:ascii="Arial" w:hAnsi="Arial" w:cs="Arial"/>
          <w:color w:val="auto"/>
          <w:sz w:val="22"/>
          <w:szCs w:val="22"/>
        </w:rPr>
      </w:pPr>
      <w:r w:rsidRPr="00FC3916">
        <w:rPr>
          <w:rFonts w:ascii="Arial" w:hAnsi="Arial" w:cs="Arial"/>
          <w:b/>
          <w:color w:val="auto"/>
          <w:sz w:val="22"/>
          <w:szCs w:val="22"/>
        </w:rPr>
        <w:t>Ostale pomoći unutar opće države</w:t>
      </w:r>
      <w:r w:rsidRPr="00FC3916">
        <w:rPr>
          <w:rFonts w:ascii="Arial" w:hAnsi="Arial" w:cs="Arial"/>
          <w:color w:val="auto"/>
          <w:sz w:val="22"/>
          <w:szCs w:val="22"/>
        </w:rPr>
        <w:t xml:space="preserve">  ostvarene su sa iznosom od 1.</w:t>
      </w:r>
      <w:r w:rsidR="00FC3916" w:rsidRPr="00FC3916">
        <w:rPr>
          <w:rFonts w:ascii="Arial" w:hAnsi="Arial" w:cs="Arial"/>
          <w:color w:val="auto"/>
          <w:sz w:val="22"/>
          <w:szCs w:val="22"/>
        </w:rPr>
        <w:t>431</w:t>
      </w:r>
      <w:r w:rsidRPr="00FC3916">
        <w:rPr>
          <w:rFonts w:ascii="Arial" w:hAnsi="Arial" w:cs="Arial"/>
          <w:color w:val="auto"/>
          <w:sz w:val="22"/>
          <w:szCs w:val="22"/>
        </w:rPr>
        <w:t>.</w:t>
      </w:r>
      <w:r w:rsidR="00FC3916" w:rsidRPr="00FC3916">
        <w:rPr>
          <w:rFonts w:ascii="Arial" w:hAnsi="Arial" w:cs="Arial"/>
          <w:color w:val="auto"/>
          <w:sz w:val="22"/>
          <w:szCs w:val="22"/>
        </w:rPr>
        <w:t>733</w:t>
      </w:r>
      <w:r w:rsidRPr="00FC3916">
        <w:rPr>
          <w:rFonts w:ascii="Arial" w:hAnsi="Arial" w:cs="Arial"/>
          <w:color w:val="auto"/>
          <w:sz w:val="22"/>
          <w:szCs w:val="22"/>
        </w:rPr>
        <w:t xml:space="preserve"> kuna, odnosno 4</w:t>
      </w:r>
      <w:r w:rsidR="00FC3916" w:rsidRPr="00FC3916">
        <w:rPr>
          <w:rFonts w:ascii="Arial" w:hAnsi="Arial" w:cs="Arial"/>
          <w:color w:val="auto"/>
          <w:sz w:val="22"/>
          <w:szCs w:val="22"/>
        </w:rPr>
        <w:t>5</w:t>
      </w:r>
      <w:r w:rsidRPr="00FC3916">
        <w:rPr>
          <w:rFonts w:ascii="Arial" w:hAnsi="Arial" w:cs="Arial"/>
          <w:color w:val="auto"/>
          <w:sz w:val="22"/>
          <w:szCs w:val="22"/>
        </w:rPr>
        <w:t>%</w:t>
      </w:r>
    </w:p>
    <w:p w:rsidR="00D0575A" w:rsidRPr="00FC3916" w:rsidRDefault="00D0575A" w:rsidP="00EF5655">
      <w:pPr>
        <w:pStyle w:val="BodyText"/>
        <w:rPr>
          <w:rFonts w:ascii="Arial" w:hAnsi="Arial" w:cs="Arial"/>
          <w:color w:val="auto"/>
          <w:sz w:val="22"/>
          <w:szCs w:val="22"/>
        </w:rPr>
      </w:pPr>
    </w:p>
    <w:p w:rsidR="00D0575A" w:rsidRPr="00FC3916" w:rsidRDefault="00D0575A" w:rsidP="00EF5655">
      <w:pPr>
        <w:pStyle w:val="BodyText"/>
        <w:rPr>
          <w:rFonts w:ascii="Arial" w:hAnsi="Arial" w:cs="Arial"/>
          <w:color w:val="auto"/>
          <w:sz w:val="22"/>
          <w:szCs w:val="22"/>
        </w:rPr>
      </w:pPr>
      <w:r w:rsidRPr="00FC3916">
        <w:rPr>
          <w:rFonts w:ascii="Arial" w:hAnsi="Arial" w:cs="Arial"/>
          <w:b/>
          <w:color w:val="auto"/>
          <w:sz w:val="22"/>
          <w:szCs w:val="22"/>
        </w:rPr>
        <w:t>Pomoći izravnanja za decentralizirane funkcije</w:t>
      </w:r>
      <w:r w:rsidRPr="00FC3916">
        <w:rPr>
          <w:rFonts w:ascii="Arial" w:hAnsi="Arial" w:cs="Arial"/>
          <w:color w:val="auto"/>
          <w:sz w:val="22"/>
          <w:szCs w:val="22"/>
        </w:rPr>
        <w:t xml:space="preserve">  ostvarene su 5.</w:t>
      </w:r>
      <w:r w:rsidR="00FC3916" w:rsidRPr="00FC3916">
        <w:rPr>
          <w:rFonts w:ascii="Arial" w:hAnsi="Arial" w:cs="Arial"/>
          <w:color w:val="auto"/>
          <w:sz w:val="22"/>
          <w:szCs w:val="22"/>
        </w:rPr>
        <w:t>086</w:t>
      </w:r>
      <w:r w:rsidRPr="00FC3916">
        <w:rPr>
          <w:rFonts w:ascii="Arial" w:hAnsi="Arial" w:cs="Arial"/>
          <w:color w:val="auto"/>
          <w:sz w:val="22"/>
          <w:szCs w:val="22"/>
        </w:rPr>
        <w:t>.</w:t>
      </w:r>
      <w:r w:rsidR="00FC3916" w:rsidRPr="00FC3916">
        <w:rPr>
          <w:rFonts w:ascii="Arial" w:hAnsi="Arial" w:cs="Arial"/>
          <w:color w:val="auto"/>
          <w:sz w:val="22"/>
          <w:szCs w:val="22"/>
        </w:rPr>
        <w:t>720</w:t>
      </w:r>
      <w:r w:rsidR="002274A7" w:rsidRPr="00FC3916">
        <w:rPr>
          <w:rFonts w:ascii="Arial" w:hAnsi="Arial" w:cs="Arial"/>
          <w:color w:val="auto"/>
          <w:sz w:val="22"/>
          <w:szCs w:val="22"/>
        </w:rPr>
        <w:t xml:space="preserve"> kuna</w:t>
      </w:r>
      <w:r w:rsidRPr="00FC3916">
        <w:rPr>
          <w:rFonts w:ascii="Arial" w:hAnsi="Arial" w:cs="Arial"/>
          <w:color w:val="auto"/>
          <w:sz w:val="22"/>
          <w:szCs w:val="22"/>
        </w:rPr>
        <w:t>(4</w:t>
      </w:r>
      <w:r w:rsidR="00FC3916" w:rsidRPr="00FC3916">
        <w:rPr>
          <w:rFonts w:ascii="Arial" w:hAnsi="Arial" w:cs="Arial"/>
          <w:color w:val="auto"/>
          <w:sz w:val="22"/>
          <w:szCs w:val="22"/>
        </w:rPr>
        <w:t>5</w:t>
      </w:r>
      <w:r w:rsidRPr="00FC3916">
        <w:rPr>
          <w:rFonts w:ascii="Arial" w:hAnsi="Arial" w:cs="Arial"/>
          <w:color w:val="auto"/>
          <w:sz w:val="22"/>
          <w:szCs w:val="22"/>
        </w:rPr>
        <w:t>%</w:t>
      </w:r>
      <w:r w:rsidR="002274A7" w:rsidRPr="00FC3916">
        <w:rPr>
          <w:rFonts w:ascii="Arial" w:hAnsi="Arial" w:cs="Arial"/>
          <w:color w:val="auto"/>
          <w:sz w:val="22"/>
          <w:szCs w:val="22"/>
        </w:rPr>
        <w:t xml:space="preserve"> planiranog</w:t>
      </w:r>
      <w:r w:rsidRPr="00FC3916">
        <w:rPr>
          <w:rFonts w:ascii="Arial" w:hAnsi="Arial" w:cs="Arial"/>
          <w:color w:val="auto"/>
          <w:sz w:val="22"/>
          <w:szCs w:val="22"/>
        </w:rPr>
        <w:t xml:space="preserve">) dok su </w:t>
      </w:r>
      <w:r w:rsidRPr="00FC3916">
        <w:rPr>
          <w:rFonts w:ascii="Arial" w:hAnsi="Arial" w:cs="Arial"/>
          <w:b/>
          <w:color w:val="auto"/>
          <w:sz w:val="22"/>
          <w:szCs w:val="22"/>
        </w:rPr>
        <w:t xml:space="preserve">Tekuće pomoći pror. korisnikaiz proračuna koji im nije nadležan </w:t>
      </w:r>
      <w:r w:rsidRPr="00FC3916">
        <w:rPr>
          <w:rFonts w:ascii="Arial" w:hAnsi="Arial" w:cs="Arial"/>
          <w:color w:val="auto"/>
          <w:sz w:val="22"/>
          <w:szCs w:val="22"/>
        </w:rPr>
        <w:t xml:space="preserve">ostvarene </w:t>
      </w:r>
      <w:r w:rsidR="00FC3916" w:rsidRPr="00FC3916">
        <w:rPr>
          <w:rFonts w:ascii="Arial" w:hAnsi="Arial" w:cs="Arial"/>
          <w:color w:val="auto"/>
          <w:sz w:val="22"/>
          <w:szCs w:val="22"/>
        </w:rPr>
        <w:t>4</w:t>
      </w:r>
      <w:r w:rsidRPr="00FC3916">
        <w:rPr>
          <w:rFonts w:ascii="Arial" w:hAnsi="Arial" w:cs="Arial"/>
          <w:color w:val="auto"/>
          <w:sz w:val="22"/>
          <w:szCs w:val="22"/>
        </w:rPr>
        <w:t>.</w:t>
      </w:r>
      <w:r w:rsidR="00FC3916" w:rsidRPr="00FC3916">
        <w:rPr>
          <w:rFonts w:ascii="Arial" w:hAnsi="Arial" w:cs="Arial"/>
          <w:color w:val="auto"/>
          <w:sz w:val="22"/>
          <w:szCs w:val="22"/>
        </w:rPr>
        <w:t>671</w:t>
      </w:r>
      <w:r w:rsidRPr="00FC3916">
        <w:rPr>
          <w:rFonts w:ascii="Arial" w:hAnsi="Arial" w:cs="Arial"/>
          <w:color w:val="auto"/>
          <w:sz w:val="22"/>
          <w:szCs w:val="22"/>
        </w:rPr>
        <w:t>.</w:t>
      </w:r>
      <w:r w:rsidR="00FC3916" w:rsidRPr="00FC3916">
        <w:rPr>
          <w:rFonts w:ascii="Arial" w:hAnsi="Arial" w:cs="Arial"/>
          <w:color w:val="auto"/>
          <w:sz w:val="22"/>
          <w:szCs w:val="22"/>
        </w:rPr>
        <w:t>013</w:t>
      </w:r>
      <w:r w:rsidR="002274A7" w:rsidRPr="00FC3916">
        <w:rPr>
          <w:rFonts w:ascii="Arial" w:hAnsi="Arial" w:cs="Arial"/>
          <w:color w:val="auto"/>
          <w:sz w:val="22"/>
          <w:szCs w:val="22"/>
        </w:rPr>
        <w:t xml:space="preserve"> kuna</w:t>
      </w:r>
      <w:r w:rsidRPr="00FC3916">
        <w:rPr>
          <w:rFonts w:ascii="Arial" w:hAnsi="Arial" w:cs="Arial"/>
          <w:color w:val="auto"/>
          <w:sz w:val="22"/>
          <w:szCs w:val="22"/>
        </w:rPr>
        <w:t xml:space="preserve"> (5</w:t>
      </w:r>
      <w:r w:rsidR="00FC3916" w:rsidRPr="00FC3916">
        <w:rPr>
          <w:rFonts w:ascii="Arial" w:hAnsi="Arial" w:cs="Arial"/>
          <w:color w:val="auto"/>
          <w:sz w:val="22"/>
          <w:szCs w:val="22"/>
        </w:rPr>
        <w:t>8</w:t>
      </w:r>
      <w:r w:rsidRPr="00FC3916">
        <w:rPr>
          <w:rFonts w:ascii="Arial" w:hAnsi="Arial" w:cs="Arial"/>
          <w:color w:val="auto"/>
          <w:sz w:val="22"/>
          <w:szCs w:val="22"/>
        </w:rPr>
        <w:t>%</w:t>
      </w:r>
      <w:r w:rsidR="002274A7" w:rsidRPr="00FC3916">
        <w:rPr>
          <w:rFonts w:ascii="Arial" w:hAnsi="Arial" w:cs="Arial"/>
          <w:color w:val="auto"/>
          <w:sz w:val="22"/>
          <w:szCs w:val="22"/>
        </w:rPr>
        <w:t xml:space="preserve"> planiranog</w:t>
      </w:r>
      <w:r w:rsidRPr="00FC3916">
        <w:rPr>
          <w:rFonts w:ascii="Arial" w:hAnsi="Arial" w:cs="Arial"/>
          <w:color w:val="auto"/>
          <w:sz w:val="22"/>
          <w:szCs w:val="22"/>
        </w:rPr>
        <w:t>)</w:t>
      </w:r>
    </w:p>
    <w:p w:rsidR="00D0575A" w:rsidRPr="00AD69EB" w:rsidRDefault="00D0575A" w:rsidP="00EF5655">
      <w:pPr>
        <w:pStyle w:val="BodyText"/>
        <w:rPr>
          <w:rFonts w:ascii="Arial" w:hAnsi="Arial" w:cs="Arial"/>
          <w:color w:val="auto"/>
          <w:sz w:val="22"/>
          <w:szCs w:val="22"/>
          <w:highlight w:val="yellow"/>
        </w:rPr>
      </w:pPr>
    </w:p>
    <w:p w:rsidR="00D0575A" w:rsidRPr="00C63823" w:rsidRDefault="00174AF3" w:rsidP="00EF5655">
      <w:pPr>
        <w:pStyle w:val="BodyText"/>
        <w:rPr>
          <w:rFonts w:ascii="Arial" w:hAnsi="Arial" w:cs="Arial"/>
          <w:color w:val="auto"/>
          <w:sz w:val="22"/>
          <w:szCs w:val="22"/>
        </w:rPr>
      </w:pPr>
      <w:r>
        <w:rPr>
          <w:rFonts w:ascii="Arial" w:hAnsi="Arial" w:cs="Arial"/>
          <w:b/>
          <w:color w:val="auto"/>
          <w:sz w:val="22"/>
          <w:szCs w:val="22"/>
        </w:rPr>
        <w:t>P</w:t>
      </w:r>
      <w:r w:rsidR="00D0575A" w:rsidRPr="00C63823">
        <w:rPr>
          <w:rFonts w:ascii="Arial" w:hAnsi="Arial" w:cs="Arial"/>
          <w:b/>
          <w:color w:val="auto"/>
          <w:sz w:val="22"/>
          <w:szCs w:val="22"/>
        </w:rPr>
        <w:t>omoći iz državnog proračuna temeljem prijenosa EU sredstava</w:t>
      </w:r>
      <w:r w:rsidR="00D0575A" w:rsidRPr="00C63823">
        <w:rPr>
          <w:rFonts w:ascii="Arial" w:hAnsi="Arial" w:cs="Arial"/>
          <w:color w:val="auto"/>
          <w:sz w:val="22"/>
          <w:szCs w:val="22"/>
        </w:rPr>
        <w:t xml:space="preserve"> ostvarenesu sa </w:t>
      </w:r>
      <w:r w:rsidR="003B2950" w:rsidRPr="00C63823">
        <w:rPr>
          <w:rFonts w:ascii="Arial" w:hAnsi="Arial" w:cs="Arial"/>
          <w:color w:val="auto"/>
          <w:sz w:val="22"/>
          <w:szCs w:val="22"/>
        </w:rPr>
        <w:t>4</w:t>
      </w:r>
      <w:r w:rsidR="00D0575A" w:rsidRPr="00C63823">
        <w:rPr>
          <w:rFonts w:ascii="Arial" w:hAnsi="Arial" w:cs="Arial"/>
          <w:color w:val="auto"/>
          <w:sz w:val="22"/>
          <w:szCs w:val="22"/>
        </w:rPr>
        <w:t>.</w:t>
      </w:r>
      <w:r w:rsidR="003B2950" w:rsidRPr="00C63823">
        <w:rPr>
          <w:rFonts w:ascii="Arial" w:hAnsi="Arial" w:cs="Arial"/>
          <w:color w:val="auto"/>
          <w:sz w:val="22"/>
          <w:szCs w:val="22"/>
        </w:rPr>
        <w:t>347</w:t>
      </w:r>
      <w:r w:rsidR="00D0575A" w:rsidRPr="00C63823">
        <w:rPr>
          <w:rFonts w:ascii="Arial" w:hAnsi="Arial" w:cs="Arial"/>
          <w:color w:val="auto"/>
          <w:sz w:val="22"/>
          <w:szCs w:val="22"/>
        </w:rPr>
        <w:t>.</w:t>
      </w:r>
      <w:r w:rsidR="003B2950" w:rsidRPr="00C63823">
        <w:rPr>
          <w:rFonts w:ascii="Arial" w:hAnsi="Arial" w:cs="Arial"/>
          <w:color w:val="auto"/>
          <w:sz w:val="22"/>
          <w:szCs w:val="22"/>
        </w:rPr>
        <w:t>696</w:t>
      </w:r>
      <w:r w:rsidR="00D0575A" w:rsidRPr="00C63823">
        <w:rPr>
          <w:rFonts w:ascii="Arial" w:hAnsi="Arial" w:cs="Arial"/>
          <w:color w:val="auto"/>
          <w:sz w:val="22"/>
          <w:szCs w:val="22"/>
        </w:rPr>
        <w:t xml:space="preserve"> kuna ili sa </w:t>
      </w:r>
      <w:r w:rsidR="003B2950" w:rsidRPr="00C63823">
        <w:rPr>
          <w:rFonts w:ascii="Arial" w:hAnsi="Arial" w:cs="Arial"/>
          <w:color w:val="auto"/>
          <w:sz w:val="22"/>
          <w:szCs w:val="22"/>
        </w:rPr>
        <w:t>11</w:t>
      </w:r>
      <w:r w:rsidR="00D0575A" w:rsidRPr="00C63823">
        <w:rPr>
          <w:rFonts w:ascii="Arial" w:hAnsi="Arial" w:cs="Arial"/>
          <w:color w:val="auto"/>
          <w:sz w:val="22"/>
          <w:szCs w:val="22"/>
        </w:rPr>
        <w:t>,</w:t>
      </w:r>
      <w:r w:rsidR="003B2950" w:rsidRPr="00C63823">
        <w:rPr>
          <w:rFonts w:ascii="Arial" w:hAnsi="Arial" w:cs="Arial"/>
          <w:color w:val="auto"/>
          <w:sz w:val="22"/>
          <w:szCs w:val="22"/>
        </w:rPr>
        <w:t>9</w:t>
      </w:r>
      <w:r w:rsidR="00D0575A" w:rsidRPr="00C63823">
        <w:rPr>
          <w:rFonts w:ascii="Arial" w:hAnsi="Arial" w:cs="Arial"/>
          <w:color w:val="auto"/>
          <w:sz w:val="22"/>
          <w:szCs w:val="22"/>
        </w:rPr>
        <w:t>% od planiranog iznosa.</w:t>
      </w:r>
    </w:p>
    <w:p w:rsidR="00EF5655" w:rsidRPr="00C63823" w:rsidRDefault="00EF565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p>
    <w:p w:rsidR="0038404A" w:rsidRPr="00C63823" w:rsidRDefault="004D48FA" w:rsidP="001679F1">
      <w:pPr>
        <w:pStyle w:val="BodyText"/>
        <w:rPr>
          <w:rFonts w:ascii="Arial" w:hAnsi="Arial" w:cs="Arial"/>
          <w:color w:val="auto"/>
          <w:sz w:val="22"/>
          <w:szCs w:val="22"/>
        </w:rPr>
      </w:pPr>
      <w:r w:rsidRPr="00C63823">
        <w:rPr>
          <w:rFonts w:ascii="Arial" w:hAnsi="Arial" w:cs="Arial"/>
          <w:b/>
          <w:color w:val="auto"/>
          <w:sz w:val="22"/>
          <w:szCs w:val="22"/>
        </w:rPr>
        <w:t xml:space="preserve">Prihodi od </w:t>
      </w:r>
      <w:r w:rsidR="00A474A8" w:rsidRPr="00C63823">
        <w:rPr>
          <w:rFonts w:ascii="Arial" w:hAnsi="Arial" w:cs="Arial"/>
          <w:b/>
          <w:color w:val="auto"/>
          <w:sz w:val="22"/>
          <w:szCs w:val="22"/>
        </w:rPr>
        <w:t>financijske imovine</w:t>
      </w:r>
      <w:r w:rsidR="0038404A" w:rsidRPr="00C63823">
        <w:rPr>
          <w:rFonts w:ascii="Arial" w:hAnsi="Arial" w:cs="Arial"/>
          <w:color w:val="auto"/>
          <w:sz w:val="22"/>
          <w:szCs w:val="22"/>
        </w:rPr>
        <w:t xml:space="preserve">ostvareni su u iznosu </w:t>
      </w:r>
      <w:r w:rsidR="003B2950" w:rsidRPr="00C63823">
        <w:rPr>
          <w:rFonts w:ascii="Arial" w:hAnsi="Arial" w:cs="Arial"/>
          <w:color w:val="auto"/>
          <w:sz w:val="22"/>
          <w:szCs w:val="22"/>
        </w:rPr>
        <w:t>523</w:t>
      </w:r>
      <w:r w:rsidR="002C6B0F" w:rsidRPr="00C63823">
        <w:rPr>
          <w:rFonts w:ascii="Arial" w:hAnsi="Arial" w:cs="Arial"/>
          <w:color w:val="auto"/>
          <w:sz w:val="22"/>
          <w:szCs w:val="22"/>
        </w:rPr>
        <w:t>.</w:t>
      </w:r>
      <w:r w:rsidR="003B2950" w:rsidRPr="00C63823">
        <w:rPr>
          <w:rFonts w:ascii="Arial" w:hAnsi="Arial" w:cs="Arial"/>
          <w:color w:val="auto"/>
          <w:sz w:val="22"/>
          <w:szCs w:val="22"/>
        </w:rPr>
        <w:t>276</w:t>
      </w:r>
      <w:r w:rsidR="00A9253B" w:rsidRPr="00C63823">
        <w:rPr>
          <w:rFonts w:ascii="Arial" w:hAnsi="Arial" w:cs="Arial"/>
          <w:color w:val="auto"/>
          <w:sz w:val="22"/>
          <w:szCs w:val="22"/>
        </w:rPr>
        <w:t xml:space="preserve"> kun</w:t>
      </w:r>
      <w:r w:rsidR="00FD0DC8" w:rsidRPr="00C63823">
        <w:rPr>
          <w:rFonts w:ascii="Arial" w:hAnsi="Arial" w:cs="Arial"/>
          <w:color w:val="auto"/>
          <w:sz w:val="22"/>
          <w:szCs w:val="22"/>
        </w:rPr>
        <w:t>a</w:t>
      </w:r>
      <w:r w:rsidR="00A474A8" w:rsidRPr="00C63823">
        <w:rPr>
          <w:rFonts w:ascii="Arial" w:hAnsi="Arial" w:cs="Arial"/>
          <w:color w:val="auto"/>
          <w:sz w:val="22"/>
          <w:szCs w:val="22"/>
        </w:rPr>
        <w:t>.O</w:t>
      </w:r>
      <w:r w:rsidR="00B60CD2" w:rsidRPr="00C63823">
        <w:rPr>
          <w:rFonts w:ascii="Arial" w:hAnsi="Arial" w:cs="Arial"/>
          <w:color w:val="auto"/>
          <w:sz w:val="22"/>
          <w:szCs w:val="22"/>
        </w:rPr>
        <w:t>dnose se nauplate</w:t>
      </w:r>
      <w:r w:rsidR="006035D0" w:rsidRPr="00C63823">
        <w:rPr>
          <w:rFonts w:ascii="Arial" w:hAnsi="Arial" w:cs="Arial"/>
          <w:color w:val="auto"/>
          <w:sz w:val="22"/>
          <w:szCs w:val="22"/>
        </w:rPr>
        <w:t xml:space="preserve"> zateznih kamata </w:t>
      </w:r>
      <w:r w:rsidR="00B60CD2" w:rsidRPr="00C63823">
        <w:rPr>
          <w:rFonts w:ascii="Arial" w:hAnsi="Arial" w:cs="Arial"/>
          <w:color w:val="auto"/>
          <w:sz w:val="22"/>
          <w:szCs w:val="22"/>
        </w:rPr>
        <w:t xml:space="preserve">na zakašnjela plaćanja </w:t>
      </w:r>
      <w:r w:rsidR="0038404A" w:rsidRPr="00C63823">
        <w:rPr>
          <w:rFonts w:ascii="Arial" w:hAnsi="Arial" w:cs="Arial"/>
          <w:color w:val="auto"/>
          <w:sz w:val="22"/>
          <w:szCs w:val="22"/>
        </w:rPr>
        <w:t>(</w:t>
      </w:r>
      <w:r w:rsidR="003B2950" w:rsidRPr="00C63823">
        <w:rPr>
          <w:rFonts w:ascii="Arial" w:hAnsi="Arial" w:cs="Arial"/>
          <w:color w:val="auto"/>
          <w:sz w:val="22"/>
          <w:szCs w:val="22"/>
        </w:rPr>
        <w:t>276</w:t>
      </w:r>
      <w:r w:rsidR="00753815" w:rsidRPr="00C63823">
        <w:rPr>
          <w:rFonts w:ascii="Arial" w:hAnsi="Arial" w:cs="Arial"/>
          <w:color w:val="auto"/>
          <w:sz w:val="22"/>
          <w:szCs w:val="22"/>
        </w:rPr>
        <w:t>.</w:t>
      </w:r>
      <w:r w:rsidR="003B2950" w:rsidRPr="00C63823">
        <w:rPr>
          <w:rFonts w:ascii="Arial" w:hAnsi="Arial" w:cs="Arial"/>
          <w:color w:val="auto"/>
          <w:sz w:val="22"/>
          <w:szCs w:val="22"/>
        </w:rPr>
        <w:t>102</w:t>
      </w:r>
      <w:r w:rsidR="00E703B3" w:rsidRPr="00C63823">
        <w:rPr>
          <w:rFonts w:ascii="Arial" w:hAnsi="Arial" w:cs="Arial"/>
          <w:color w:val="auto"/>
          <w:sz w:val="22"/>
          <w:szCs w:val="22"/>
        </w:rPr>
        <w:t>kuna</w:t>
      </w:r>
      <w:r w:rsidR="0038404A" w:rsidRPr="00C63823">
        <w:rPr>
          <w:rFonts w:ascii="Arial" w:hAnsi="Arial" w:cs="Arial"/>
          <w:color w:val="auto"/>
          <w:sz w:val="22"/>
          <w:szCs w:val="22"/>
        </w:rPr>
        <w:t xml:space="preserve">), </w:t>
      </w:r>
      <w:r w:rsidR="00A474A8" w:rsidRPr="00C63823">
        <w:rPr>
          <w:rFonts w:ascii="Arial" w:hAnsi="Arial" w:cs="Arial"/>
          <w:color w:val="auto"/>
          <w:sz w:val="22"/>
          <w:szCs w:val="22"/>
        </w:rPr>
        <w:t>kamate na oročena sredstva i depozite po viđenju (</w:t>
      </w:r>
      <w:r w:rsidR="003B2950" w:rsidRPr="00C63823">
        <w:rPr>
          <w:rFonts w:ascii="Arial" w:hAnsi="Arial" w:cs="Arial"/>
          <w:color w:val="auto"/>
          <w:sz w:val="22"/>
          <w:szCs w:val="22"/>
        </w:rPr>
        <w:t>242</w:t>
      </w:r>
      <w:r w:rsidR="00753815" w:rsidRPr="00C63823">
        <w:rPr>
          <w:rFonts w:ascii="Arial" w:hAnsi="Arial" w:cs="Arial"/>
          <w:color w:val="auto"/>
          <w:sz w:val="22"/>
          <w:szCs w:val="22"/>
        </w:rPr>
        <w:t>.</w:t>
      </w:r>
      <w:r w:rsidR="003B2950" w:rsidRPr="00C63823">
        <w:rPr>
          <w:rFonts w:ascii="Arial" w:hAnsi="Arial" w:cs="Arial"/>
          <w:color w:val="auto"/>
          <w:sz w:val="22"/>
          <w:szCs w:val="22"/>
        </w:rPr>
        <w:t>782</w:t>
      </w:r>
      <w:r w:rsidR="00E703B3" w:rsidRPr="00C63823">
        <w:rPr>
          <w:rFonts w:ascii="Arial" w:hAnsi="Arial" w:cs="Arial"/>
          <w:color w:val="auto"/>
          <w:sz w:val="22"/>
          <w:szCs w:val="22"/>
        </w:rPr>
        <w:t>kuna</w:t>
      </w:r>
      <w:r w:rsidR="00A614A8" w:rsidRPr="00C63823">
        <w:rPr>
          <w:rFonts w:ascii="Arial" w:hAnsi="Arial" w:cs="Arial"/>
          <w:color w:val="auto"/>
          <w:sz w:val="22"/>
          <w:szCs w:val="22"/>
        </w:rPr>
        <w:t>),te ostale prihode</w:t>
      </w:r>
      <w:r w:rsidR="003B2950" w:rsidRPr="00C63823">
        <w:rPr>
          <w:rFonts w:ascii="Arial" w:hAnsi="Arial" w:cs="Arial"/>
          <w:color w:val="auto"/>
          <w:sz w:val="22"/>
          <w:szCs w:val="22"/>
        </w:rPr>
        <w:t xml:space="preserve"> i pozitivne tečajne razlike</w:t>
      </w:r>
      <w:r w:rsidR="00027AB4">
        <w:rPr>
          <w:rFonts w:ascii="Arial" w:hAnsi="Arial" w:cs="Arial"/>
          <w:color w:val="auto"/>
          <w:sz w:val="22"/>
          <w:szCs w:val="22"/>
        </w:rPr>
        <w:t>(</w:t>
      </w:r>
      <w:r w:rsidR="003B2950" w:rsidRPr="00C63823">
        <w:rPr>
          <w:rFonts w:ascii="Arial" w:hAnsi="Arial" w:cs="Arial"/>
          <w:color w:val="auto"/>
          <w:sz w:val="22"/>
          <w:szCs w:val="22"/>
        </w:rPr>
        <w:t>4</w:t>
      </w:r>
      <w:r w:rsidR="002F6F03" w:rsidRPr="00C63823">
        <w:rPr>
          <w:rFonts w:ascii="Arial" w:hAnsi="Arial" w:cs="Arial"/>
          <w:color w:val="auto"/>
          <w:sz w:val="22"/>
          <w:szCs w:val="22"/>
        </w:rPr>
        <w:t>.</w:t>
      </w:r>
      <w:r w:rsidR="003B2950" w:rsidRPr="00C63823">
        <w:rPr>
          <w:rFonts w:ascii="Arial" w:hAnsi="Arial" w:cs="Arial"/>
          <w:color w:val="auto"/>
          <w:sz w:val="22"/>
          <w:szCs w:val="22"/>
        </w:rPr>
        <w:t>392</w:t>
      </w:r>
      <w:r w:rsidR="00A614A8" w:rsidRPr="00C63823">
        <w:rPr>
          <w:rFonts w:ascii="Arial" w:hAnsi="Arial" w:cs="Arial"/>
          <w:color w:val="auto"/>
          <w:sz w:val="22"/>
          <w:szCs w:val="22"/>
        </w:rPr>
        <w:t xml:space="preserve"> kun</w:t>
      </w:r>
      <w:r w:rsidR="008E4F1D" w:rsidRPr="00C63823">
        <w:rPr>
          <w:rFonts w:ascii="Arial" w:hAnsi="Arial" w:cs="Arial"/>
          <w:color w:val="auto"/>
          <w:sz w:val="22"/>
          <w:szCs w:val="22"/>
        </w:rPr>
        <w:t>a</w:t>
      </w:r>
      <w:r w:rsidR="00027AB4">
        <w:rPr>
          <w:rFonts w:ascii="Arial" w:hAnsi="Arial" w:cs="Arial"/>
          <w:color w:val="auto"/>
          <w:sz w:val="22"/>
          <w:szCs w:val="22"/>
        </w:rPr>
        <w:t>)</w:t>
      </w:r>
      <w:r w:rsidR="00A614A8" w:rsidRPr="00C63823">
        <w:rPr>
          <w:rFonts w:ascii="Arial" w:hAnsi="Arial" w:cs="Arial"/>
          <w:color w:val="auto"/>
          <w:sz w:val="22"/>
          <w:szCs w:val="22"/>
        </w:rPr>
        <w:t>.</w:t>
      </w:r>
    </w:p>
    <w:p w:rsidR="00C95464" w:rsidRPr="00AD69EB" w:rsidRDefault="00C95464" w:rsidP="001679F1">
      <w:pPr>
        <w:pStyle w:val="BodyText"/>
        <w:rPr>
          <w:rFonts w:ascii="Arial" w:hAnsi="Arial" w:cs="Arial"/>
          <w:color w:val="auto"/>
          <w:sz w:val="22"/>
          <w:szCs w:val="22"/>
          <w:highlight w:val="yellow"/>
        </w:rPr>
      </w:pPr>
    </w:p>
    <w:p w:rsidR="00C95464" w:rsidRPr="00A14A8E" w:rsidRDefault="00C95464" w:rsidP="001679F1">
      <w:pPr>
        <w:pStyle w:val="BodyText"/>
        <w:rPr>
          <w:rFonts w:ascii="Arial" w:hAnsi="Arial" w:cs="Arial"/>
          <w:color w:val="auto"/>
          <w:sz w:val="22"/>
          <w:szCs w:val="22"/>
        </w:rPr>
      </w:pPr>
      <w:r w:rsidRPr="00A14A8E">
        <w:rPr>
          <w:rFonts w:ascii="Arial" w:hAnsi="Arial" w:cs="Arial"/>
          <w:b/>
          <w:color w:val="auto"/>
          <w:sz w:val="22"/>
          <w:szCs w:val="22"/>
        </w:rPr>
        <w:lastRenderedPageBreak/>
        <w:t xml:space="preserve">Prihode od kamata za dane zajmove </w:t>
      </w:r>
      <w:r w:rsidRPr="00A14A8E">
        <w:rPr>
          <w:rFonts w:ascii="Arial" w:hAnsi="Arial" w:cs="Arial"/>
          <w:color w:val="auto"/>
          <w:sz w:val="22"/>
          <w:szCs w:val="22"/>
        </w:rPr>
        <w:t xml:space="preserve">ostvareni su sa </w:t>
      </w:r>
      <w:r w:rsidR="00A14A8E" w:rsidRPr="00A14A8E">
        <w:rPr>
          <w:rFonts w:ascii="Arial" w:hAnsi="Arial" w:cs="Arial"/>
          <w:color w:val="auto"/>
          <w:sz w:val="22"/>
          <w:szCs w:val="22"/>
        </w:rPr>
        <w:t>24</w:t>
      </w:r>
      <w:r w:rsidRPr="00A14A8E">
        <w:rPr>
          <w:rFonts w:ascii="Arial" w:hAnsi="Arial" w:cs="Arial"/>
          <w:color w:val="auto"/>
          <w:sz w:val="22"/>
          <w:szCs w:val="22"/>
        </w:rPr>
        <w:t>.</w:t>
      </w:r>
      <w:r w:rsidR="00A14A8E" w:rsidRPr="00A14A8E">
        <w:rPr>
          <w:rFonts w:ascii="Arial" w:hAnsi="Arial" w:cs="Arial"/>
          <w:color w:val="auto"/>
          <w:sz w:val="22"/>
          <w:szCs w:val="22"/>
        </w:rPr>
        <w:t>778</w:t>
      </w:r>
      <w:r w:rsidRPr="00A14A8E">
        <w:rPr>
          <w:rFonts w:ascii="Arial" w:hAnsi="Arial" w:cs="Arial"/>
          <w:color w:val="auto"/>
          <w:sz w:val="22"/>
          <w:szCs w:val="22"/>
        </w:rPr>
        <w:t xml:space="preserve"> kn</w:t>
      </w:r>
      <w:r w:rsidR="0006665E" w:rsidRPr="00A14A8E">
        <w:rPr>
          <w:rFonts w:ascii="Arial" w:hAnsi="Arial" w:cs="Arial"/>
          <w:color w:val="auto"/>
          <w:sz w:val="22"/>
          <w:szCs w:val="22"/>
        </w:rPr>
        <w:t>,</w:t>
      </w:r>
      <w:r w:rsidR="00A14A8E">
        <w:rPr>
          <w:rFonts w:ascii="Arial" w:hAnsi="Arial" w:cs="Arial"/>
          <w:color w:val="auto"/>
          <w:sz w:val="22"/>
          <w:szCs w:val="22"/>
        </w:rPr>
        <w:t>a planirani su za cijelu 2019. godinu u iznosu od 100.900 kn što čini ostvarenje od 25%.</w:t>
      </w:r>
    </w:p>
    <w:p w:rsidR="00C6386E" w:rsidRPr="00AD69EB" w:rsidRDefault="00C6386E" w:rsidP="0067301E">
      <w:pPr>
        <w:pStyle w:val="BodyText"/>
        <w:rPr>
          <w:rFonts w:ascii="Arial" w:hAnsi="Arial" w:cs="Arial"/>
          <w:color w:val="auto"/>
          <w:sz w:val="22"/>
          <w:szCs w:val="22"/>
          <w:highlight w:val="yellow"/>
        </w:rPr>
      </w:pPr>
    </w:p>
    <w:p w:rsidR="001C1203" w:rsidRPr="0048449D" w:rsidRDefault="004D48FA" w:rsidP="001679F1">
      <w:pPr>
        <w:pStyle w:val="BodyText"/>
        <w:rPr>
          <w:rFonts w:ascii="Arial" w:hAnsi="Arial" w:cs="Arial"/>
          <w:color w:val="auto"/>
          <w:sz w:val="22"/>
          <w:szCs w:val="22"/>
        </w:rPr>
      </w:pPr>
      <w:r w:rsidRPr="0048449D">
        <w:rPr>
          <w:rFonts w:ascii="Arial" w:hAnsi="Arial" w:cs="Arial"/>
          <w:b/>
          <w:color w:val="auto"/>
          <w:sz w:val="22"/>
          <w:szCs w:val="22"/>
        </w:rPr>
        <w:t>Prihodi od nefinancijske imovine</w:t>
      </w:r>
      <w:r w:rsidR="001C1203" w:rsidRPr="0048449D">
        <w:rPr>
          <w:rFonts w:ascii="Arial" w:hAnsi="Arial" w:cs="Arial"/>
          <w:color w:val="auto"/>
          <w:sz w:val="22"/>
          <w:szCs w:val="22"/>
        </w:rPr>
        <w:t>mogli bi se podijelitina naknade za koncesije, prihode od zakupai iznajmljivanja imovine, prihode od spomeničke rente i ostale prihode od nefinancijske imovine.</w:t>
      </w:r>
      <w:r w:rsidR="00DD1FCE" w:rsidRPr="0048449D">
        <w:rPr>
          <w:rFonts w:ascii="Arial" w:hAnsi="Arial" w:cs="Arial"/>
          <w:color w:val="auto"/>
          <w:sz w:val="22"/>
          <w:szCs w:val="22"/>
        </w:rPr>
        <w:t xml:space="preserve"> Ova skupina prihoda ostvarena je u iznosu od </w:t>
      </w:r>
      <w:r w:rsidR="0048449D" w:rsidRPr="0048449D">
        <w:rPr>
          <w:rFonts w:ascii="Arial" w:hAnsi="Arial" w:cs="Arial"/>
          <w:color w:val="auto"/>
          <w:sz w:val="22"/>
          <w:szCs w:val="22"/>
        </w:rPr>
        <w:t>62</w:t>
      </w:r>
      <w:r w:rsidR="002F2EDB" w:rsidRPr="0048449D">
        <w:rPr>
          <w:rFonts w:ascii="Arial" w:hAnsi="Arial" w:cs="Arial"/>
          <w:color w:val="auto"/>
          <w:sz w:val="22"/>
          <w:szCs w:val="22"/>
        </w:rPr>
        <w:t>.</w:t>
      </w:r>
      <w:r w:rsidR="0048449D" w:rsidRPr="0048449D">
        <w:rPr>
          <w:rFonts w:ascii="Arial" w:hAnsi="Arial" w:cs="Arial"/>
          <w:color w:val="auto"/>
          <w:sz w:val="22"/>
          <w:szCs w:val="22"/>
        </w:rPr>
        <w:t>651</w:t>
      </w:r>
      <w:r w:rsidR="002F2EDB" w:rsidRPr="0048449D">
        <w:rPr>
          <w:rFonts w:ascii="Arial" w:hAnsi="Arial" w:cs="Arial"/>
          <w:color w:val="auto"/>
          <w:sz w:val="22"/>
          <w:szCs w:val="22"/>
        </w:rPr>
        <w:t>.</w:t>
      </w:r>
      <w:r w:rsidR="0048449D" w:rsidRPr="0048449D">
        <w:rPr>
          <w:rFonts w:ascii="Arial" w:hAnsi="Arial" w:cs="Arial"/>
          <w:color w:val="auto"/>
          <w:sz w:val="22"/>
          <w:szCs w:val="22"/>
        </w:rPr>
        <w:t>548</w:t>
      </w:r>
      <w:r w:rsidR="00DD1FCE" w:rsidRPr="0048449D">
        <w:rPr>
          <w:rFonts w:ascii="Arial" w:hAnsi="Arial" w:cs="Arial"/>
          <w:color w:val="auto"/>
          <w:sz w:val="22"/>
          <w:szCs w:val="22"/>
        </w:rPr>
        <w:t xml:space="preserve"> kn.</w:t>
      </w:r>
    </w:p>
    <w:p w:rsidR="00A474A8" w:rsidRPr="0048449D" w:rsidRDefault="00A474A8" w:rsidP="001679F1">
      <w:pPr>
        <w:pStyle w:val="BodyText"/>
        <w:rPr>
          <w:rFonts w:ascii="Arial" w:hAnsi="Arial" w:cs="Arial"/>
          <w:color w:val="auto"/>
          <w:sz w:val="22"/>
          <w:szCs w:val="22"/>
        </w:rPr>
      </w:pPr>
      <w:r w:rsidRPr="0048449D">
        <w:rPr>
          <w:rFonts w:ascii="Arial" w:hAnsi="Arial" w:cs="Arial"/>
          <w:color w:val="auto"/>
          <w:sz w:val="22"/>
          <w:szCs w:val="22"/>
        </w:rPr>
        <w:t xml:space="preserve">Naknade za koncesije ostvarene su iznosom od </w:t>
      </w:r>
      <w:r w:rsidR="0048449D" w:rsidRPr="0048449D">
        <w:rPr>
          <w:rFonts w:ascii="Arial" w:hAnsi="Arial" w:cs="Arial"/>
          <w:color w:val="auto"/>
          <w:sz w:val="22"/>
          <w:szCs w:val="22"/>
        </w:rPr>
        <w:t>2</w:t>
      </w:r>
      <w:r w:rsidR="008F5263" w:rsidRPr="0048449D">
        <w:rPr>
          <w:rFonts w:ascii="Arial" w:hAnsi="Arial" w:cs="Arial"/>
          <w:color w:val="auto"/>
          <w:sz w:val="22"/>
          <w:szCs w:val="22"/>
        </w:rPr>
        <w:t>.</w:t>
      </w:r>
      <w:r w:rsidR="0048449D" w:rsidRPr="0048449D">
        <w:rPr>
          <w:rFonts w:ascii="Arial" w:hAnsi="Arial" w:cs="Arial"/>
          <w:color w:val="auto"/>
          <w:sz w:val="22"/>
          <w:szCs w:val="22"/>
        </w:rPr>
        <w:t>407</w:t>
      </w:r>
      <w:r w:rsidR="008F5263" w:rsidRPr="0048449D">
        <w:rPr>
          <w:rFonts w:ascii="Arial" w:hAnsi="Arial" w:cs="Arial"/>
          <w:color w:val="auto"/>
          <w:sz w:val="22"/>
          <w:szCs w:val="22"/>
        </w:rPr>
        <w:t>.</w:t>
      </w:r>
      <w:r w:rsidR="0048449D" w:rsidRPr="0048449D">
        <w:rPr>
          <w:rFonts w:ascii="Arial" w:hAnsi="Arial" w:cs="Arial"/>
          <w:color w:val="auto"/>
          <w:sz w:val="22"/>
          <w:szCs w:val="22"/>
        </w:rPr>
        <w:t>698</w:t>
      </w:r>
      <w:r w:rsidRPr="0048449D">
        <w:rPr>
          <w:rFonts w:ascii="Arial" w:hAnsi="Arial" w:cs="Arial"/>
          <w:color w:val="auto"/>
          <w:sz w:val="22"/>
          <w:szCs w:val="22"/>
        </w:rPr>
        <w:t xml:space="preserve"> kun</w:t>
      </w:r>
      <w:r w:rsidR="00D260E0" w:rsidRPr="0048449D">
        <w:rPr>
          <w:rFonts w:ascii="Arial" w:hAnsi="Arial" w:cs="Arial"/>
          <w:color w:val="auto"/>
          <w:sz w:val="22"/>
          <w:szCs w:val="22"/>
        </w:rPr>
        <w:t>a</w:t>
      </w:r>
      <w:r w:rsidR="0048449D" w:rsidRPr="0048449D">
        <w:rPr>
          <w:rFonts w:ascii="Arial" w:hAnsi="Arial" w:cs="Arial"/>
          <w:color w:val="auto"/>
          <w:sz w:val="22"/>
          <w:szCs w:val="22"/>
        </w:rPr>
        <w:t>.</w:t>
      </w:r>
    </w:p>
    <w:p w:rsidR="002933CC" w:rsidRPr="0048449D" w:rsidRDefault="001C1203" w:rsidP="001679F1">
      <w:pPr>
        <w:pStyle w:val="BodyText"/>
        <w:rPr>
          <w:rFonts w:ascii="Arial" w:hAnsi="Arial" w:cs="Arial"/>
          <w:color w:val="C00000"/>
          <w:sz w:val="22"/>
          <w:szCs w:val="22"/>
        </w:rPr>
      </w:pPr>
      <w:r w:rsidRPr="0048449D">
        <w:rPr>
          <w:rFonts w:ascii="Arial" w:hAnsi="Arial" w:cs="Arial"/>
          <w:color w:val="auto"/>
          <w:sz w:val="22"/>
          <w:szCs w:val="22"/>
        </w:rPr>
        <w:t xml:space="preserve">Najveći udio u ovoj grupi prihoda </w:t>
      </w:r>
      <w:r w:rsidR="001A5723" w:rsidRPr="0048449D">
        <w:rPr>
          <w:rFonts w:ascii="Arial" w:hAnsi="Arial" w:cs="Arial"/>
          <w:color w:val="auto"/>
          <w:sz w:val="22"/>
          <w:szCs w:val="22"/>
        </w:rPr>
        <w:t xml:space="preserve">imaju prihodi od zakupa i iznajmljivanja imovine </w:t>
      </w:r>
      <w:r w:rsidR="006349C9" w:rsidRPr="0048449D">
        <w:rPr>
          <w:rFonts w:ascii="Arial" w:hAnsi="Arial" w:cs="Arial"/>
          <w:color w:val="auto"/>
          <w:sz w:val="22"/>
          <w:szCs w:val="22"/>
        </w:rPr>
        <w:t>(</w:t>
      </w:r>
      <w:r w:rsidR="00FE12B2" w:rsidRPr="0048449D">
        <w:rPr>
          <w:rFonts w:ascii="Arial" w:hAnsi="Arial" w:cs="Arial"/>
          <w:color w:val="auto"/>
          <w:sz w:val="22"/>
          <w:szCs w:val="22"/>
        </w:rPr>
        <w:t>2</w:t>
      </w:r>
      <w:r w:rsidR="002274A7" w:rsidRPr="0048449D">
        <w:rPr>
          <w:rFonts w:ascii="Arial" w:hAnsi="Arial" w:cs="Arial"/>
          <w:color w:val="auto"/>
          <w:sz w:val="22"/>
          <w:szCs w:val="22"/>
        </w:rPr>
        <w:t>2</w:t>
      </w:r>
      <w:r w:rsidR="00871479" w:rsidRPr="0048449D">
        <w:rPr>
          <w:rFonts w:ascii="Arial" w:hAnsi="Arial" w:cs="Arial"/>
          <w:color w:val="auto"/>
          <w:sz w:val="22"/>
          <w:szCs w:val="22"/>
        </w:rPr>
        <w:t>.</w:t>
      </w:r>
      <w:r w:rsidR="0048449D" w:rsidRPr="0048449D">
        <w:rPr>
          <w:rFonts w:ascii="Arial" w:hAnsi="Arial" w:cs="Arial"/>
          <w:color w:val="auto"/>
          <w:sz w:val="22"/>
          <w:szCs w:val="22"/>
        </w:rPr>
        <w:t>424</w:t>
      </w:r>
      <w:r w:rsidR="00871479" w:rsidRPr="0048449D">
        <w:rPr>
          <w:rFonts w:ascii="Arial" w:hAnsi="Arial" w:cs="Arial"/>
          <w:color w:val="auto"/>
          <w:sz w:val="22"/>
          <w:szCs w:val="22"/>
        </w:rPr>
        <w:t>.</w:t>
      </w:r>
      <w:r w:rsidR="0048449D" w:rsidRPr="0048449D">
        <w:rPr>
          <w:rFonts w:ascii="Arial" w:hAnsi="Arial" w:cs="Arial"/>
          <w:color w:val="auto"/>
          <w:sz w:val="22"/>
          <w:szCs w:val="22"/>
        </w:rPr>
        <w:t>466</w:t>
      </w:r>
      <w:r w:rsidR="001A5723" w:rsidRPr="0048449D">
        <w:rPr>
          <w:rFonts w:ascii="Arial" w:hAnsi="Arial" w:cs="Arial"/>
          <w:color w:val="auto"/>
          <w:sz w:val="22"/>
          <w:szCs w:val="22"/>
        </w:rPr>
        <w:t xml:space="preserve"> kun</w:t>
      </w:r>
      <w:r w:rsidR="00FE12B2" w:rsidRPr="0048449D">
        <w:rPr>
          <w:rFonts w:ascii="Arial" w:hAnsi="Arial" w:cs="Arial"/>
          <w:color w:val="auto"/>
          <w:sz w:val="22"/>
          <w:szCs w:val="22"/>
        </w:rPr>
        <w:t>a</w:t>
      </w:r>
      <w:r w:rsidR="006349C9" w:rsidRPr="0048449D">
        <w:rPr>
          <w:rFonts w:ascii="Arial" w:hAnsi="Arial" w:cs="Arial"/>
          <w:color w:val="auto"/>
          <w:sz w:val="22"/>
          <w:szCs w:val="22"/>
        </w:rPr>
        <w:t>)</w:t>
      </w:r>
      <w:r w:rsidR="0065287F" w:rsidRPr="0048449D">
        <w:rPr>
          <w:rFonts w:ascii="Arial" w:hAnsi="Arial" w:cs="Arial"/>
          <w:color w:val="auto"/>
          <w:sz w:val="22"/>
          <w:szCs w:val="22"/>
        </w:rPr>
        <w:t>,</w:t>
      </w:r>
      <w:r w:rsidR="002933CC" w:rsidRPr="0048449D">
        <w:rPr>
          <w:rFonts w:ascii="Arial" w:hAnsi="Arial" w:cs="Arial"/>
          <w:color w:val="auto"/>
          <w:sz w:val="22"/>
          <w:szCs w:val="22"/>
        </w:rPr>
        <w:t xml:space="preserve"> s tim da u jednom dijelu i ovdje utječe turistička sezona, pa se u ljetnim mjesecima predviđa veći priliv prihoda</w:t>
      </w:r>
      <w:r w:rsidR="002933CC" w:rsidRPr="0048449D">
        <w:rPr>
          <w:rFonts w:ascii="Arial" w:hAnsi="Arial" w:cs="Arial"/>
          <w:color w:val="C00000"/>
          <w:sz w:val="22"/>
          <w:szCs w:val="22"/>
        </w:rPr>
        <w:t>.</w:t>
      </w:r>
    </w:p>
    <w:p w:rsidR="00367B87" w:rsidRDefault="00B119C6" w:rsidP="001679F1">
      <w:pPr>
        <w:pStyle w:val="BodyText"/>
        <w:rPr>
          <w:rFonts w:ascii="Arial" w:hAnsi="Arial" w:cs="Arial"/>
          <w:color w:val="auto"/>
          <w:sz w:val="22"/>
          <w:szCs w:val="22"/>
        </w:rPr>
      </w:pPr>
      <w:r>
        <w:rPr>
          <w:rFonts w:ascii="Arial" w:hAnsi="Arial" w:cs="Arial"/>
          <w:color w:val="auto"/>
          <w:sz w:val="22"/>
          <w:szCs w:val="22"/>
        </w:rPr>
        <w:t>N</w:t>
      </w:r>
      <w:r w:rsidR="00367B87">
        <w:rPr>
          <w:rFonts w:ascii="Arial" w:hAnsi="Arial" w:cs="Arial"/>
          <w:color w:val="auto"/>
          <w:sz w:val="22"/>
          <w:szCs w:val="22"/>
        </w:rPr>
        <w:t>aknade za korištenje nefinancijske imovine ostvarene su u iznosu od 3.114.393 kn</w:t>
      </w:r>
      <w:r>
        <w:rPr>
          <w:rFonts w:ascii="Arial" w:hAnsi="Arial" w:cs="Arial"/>
          <w:color w:val="auto"/>
          <w:sz w:val="22"/>
          <w:szCs w:val="22"/>
        </w:rPr>
        <w:t>,</w:t>
      </w:r>
      <w:r w:rsidR="00367B87">
        <w:rPr>
          <w:rFonts w:ascii="Arial" w:hAnsi="Arial" w:cs="Arial"/>
          <w:color w:val="auto"/>
          <w:sz w:val="22"/>
          <w:szCs w:val="22"/>
        </w:rPr>
        <w:t xml:space="preserve"> a u sastavu kojih je p</w:t>
      </w:r>
      <w:r w:rsidR="00A474A8" w:rsidRPr="0048449D">
        <w:rPr>
          <w:rFonts w:ascii="Arial" w:hAnsi="Arial" w:cs="Arial"/>
          <w:color w:val="auto"/>
          <w:sz w:val="22"/>
          <w:szCs w:val="22"/>
        </w:rPr>
        <w:t xml:space="preserve">rihod od spomeničke rente </w:t>
      </w:r>
      <w:r w:rsidR="00367B87">
        <w:rPr>
          <w:rFonts w:ascii="Arial" w:hAnsi="Arial" w:cs="Arial"/>
          <w:color w:val="auto"/>
          <w:sz w:val="22"/>
          <w:szCs w:val="22"/>
        </w:rPr>
        <w:t>sa ostvarenjem od</w:t>
      </w:r>
      <w:r w:rsidR="00222494">
        <w:rPr>
          <w:rFonts w:ascii="Arial" w:hAnsi="Arial" w:cs="Arial"/>
          <w:color w:val="auto"/>
          <w:sz w:val="22"/>
          <w:szCs w:val="22"/>
        </w:rPr>
        <w:t>1</w:t>
      </w:r>
      <w:r w:rsidR="0048449D" w:rsidRPr="0048449D">
        <w:rPr>
          <w:rFonts w:ascii="Arial" w:hAnsi="Arial" w:cs="Arial"/>
          <w:color w:val="auto"/>
          <w:sz w:val="22"/>
          <w:szCs w:val="22"/>
        </w:rPr>
        <w:t>.</w:t>
      </w:r>
      <w:r w:rsidR="00222494">
        <w:rPr>
          <w:rFonts w:ascii="Arial" w:hAnsi="Arial" w:cs="Arial"/>
          <w:color w:val="auto"/>
          <w:sz w:val="22"/>
          <w:szCs w:val="22"/>
        </w:rPr>
        <w:t>219</w:t>
      </w:r>
      <w:r w:rsidR="00871479" w:rsidRPr="0048449D">
        <w:rPr>
          <w:rFonts w:ascii="Arial" w:hAnsi="Arial" w:cs="Arial"/>
          <w:color w:val="auto"/>
          <w:sz w:val="22"/>
          <w:szCs w:val="22"/>
        </w:rPr>
        <w:t>.</w:t>
      </w:r>
      <w:r w:rsidR="00222494">
        <w:rPr>
          <w:rFonts w:ascii="Arial" w:hAnsi="Arial" w:cs="Arial"/>
          <w:color w:val="auto"/>
          <w:sz w:val="22"/>
          <w:szCs w:val="22"/>
        </w:rPr>
        <w:t>307 kn</w:t>
      </w:r>
      <w:r w:rsidR="00367B87">
        <w:rPr>
          <w:rFonts w:ascii="Arial" w:hAnsi="Arial" w:cs="Arial"/>
          <w:color w:val="auto"/>
          <w:sz w:val="22"/>
          <w:szCs w:val="22"/>
        </w:rPr>
        <w:t>.</w:t>
      </w:r>
    </w:p>
    <w:p w:rsidR="00A474A8" w:rsidRPr="0048449D" w:rsidRDefault="00367B87" w:rsidP="001679F1">
      <w:pPr>
        <w:pStyle w:val="BodyText"/>
        <w:rPr>
          <w:rFonts w:ascii="Arial" w:hAnsi="Arial" w:cs="Arial"/>
          <w:color w:val="auto"/>
          <w:sz w:val="22"/>
          <w:szCs w:val="22"/>
        </w:rPr>
      </w:pPr>
      <w:r>
        <w:rPr>
          <w:rFonts w:ascii="Arial" w:hAnsi="Arial" w:cs="Arial"/>
          <w:color w:val="auto"/>
          <w:sz w:val="22"/>
          <w:szCs w:val="22"/>
        </w:rPr>
        <w:t>O</w:t>
      </w:r>
      <w:r w:rsidR="005924EB" w:rsidRPr="0048449D">
        <w:rPr>
          <w:rFonts w:ascii="Arial" w:hAnsi="Arial" w:cs="Arial"/>
          <w:color w:val="auto"/>
          <w:sz w:val="22"/>
          <w:szCs w:val="22"/>
        </w:rPr>
        <w:t xml:space="preserve">stali prihodi </w:t>
      </w:r>
      <w:r w:rsidR="00ED07C2" w:rsidRPr="0048449D">
        <w:rPr>
          <w:rFonts w:ascii="Arial" w:hAnsi="Arial" w:cs="Arial"/>
          <w:color w:val="auto"/>
          <w:sz w:val="22"/>
          <w:szCs w:val="22"/>
        </w:rPr>
        <w:t xml:space="preserve">od nefinancijske imovine </w:t>
      </w:r>
      <w:r w:rsidR="005924EB" w:rsidRPr="0048449D">
        <w:rPr>
          <w:rFonts w:ascii="Arial" w:hAnsi="Arial" w:cs="Arial"/>
          <w:color w:val="auto"/>
          <w:sz w:val="22"/>
          <w:szCs w:val="22"/>
        </w:rPr>
        <w:t>naplaćeni</w:t>
      </w:r>
      <w:r>
        <w:rPr>
          <w:rFonts w:ascii="Arial" w:hAnsi="Arial" w:cs="Arial"/>
          <w:color w:val="auto"/>
          <w:sz w:val="22"/>
          <w:szCs w:val="22"/>
        </w:rPr>
        <w:t xml:space="preserve"> su</w:t>
      </w:r>
      <w:r w:rsidR="005924EB" w:rsidRPr="0048449D">
        <w:rPr>
          <w:rFonts w:ascii="Arial" w:hAnsi="Arial" w:cs="Arial"/>
          <w:color w:val="auto"/>
          <w:sz w:val="22"/>
          <w:szCs w:val="22"/>
        </w:rPr>
        <w:t xml:space="preserve"> u iznosu od </w:t>
      </w:r>
      <w:r w:rsidR="0048449D" w:rsidRPr="0048449D">
        <w:rPr>
          <w:rFonts w:ascii="Arial" w:hAnsi="Arial" w:cs="Arial"/>
          <w:color w:val="auto"/>
          <w:sz w:val="22"/>
          <w:szCs w:val="22"/>
        </w:rPr>
        <w:t>34</w:t>
      </w:r>
      <w:r w:rsidR="00871479" w:rsidRPr="0048449D">
        <w:rPr>
          <w:rFonts w:ascii="Arial" w:hAnsi="Arial" w:cs="Arial"/>
          <w:color w:val="auto"/>
          <w:sz w:val="22"/>
          <w:szCs w:val="22"/>
        </w:rPr>
        <w:t>.</w:t>
      </w:r>
      <w:r w:rsidR="0048449D" w:rsidRPr="0048449D">
        <w:rPr>
          <w:rFonts w:ascii="Arial" w:hAnsi="Arial" w:cs="Arial"/>
          <w:color w:val="auto"/>
          <w:sz w:val="22"/>
          <w:szCs w:val="22"/>
        </w:rPr>
        <w:t>704</w:t>
      </w:r>
      <w:r w:rsidR="00871479" w:rsidRPr="0048449D">
        <w:rPr>
          <w:rFonts w:ascii="Arial" w:hAnsi="Arial" w:cs="Arial"/>
          <w:color w:val="auto"/>
          <w:sz w:val="22"/>
          <w:szCs w:val="22"/>
        </w:rPr>
        <w:t>.</w:t>
      </w:r>
      <w:r w:rsidR="002274A7" w:rsidRPr="0048449D">
        <w:rPr>
          <w:rFonts w:ascii="Arial" w:hAnsi="Arial" w:cs="Arial"/>
          <w:color w:val="auto"/>
          <w:sz w:val="22"/>
          <w:szCs w:val="22"/>
        </w:rPr>
        <w:t>9</w:t>
      </w:r>
      <w:r w:rsidR="0048449D" w:rsidRPr="0048449D">
        <w:rPr>
          <w:rFonts w:ascii="Arial" w:hAnsi="Arial" w:cs="Arial"/>
          <w:color w:val="auto"/>
          <w:sz w:val="22"/>
          <w:szCs w:val="22"/>
        </w:rPr>
        <w:t>89</w:t>
      </w:r>
      <w:r w:rsidR="00ED07C2" w:rsidRPr="0048449D">
        <w:rPr>
          <w:rFonts w:ascii="Arial" w:hAnsi="Arial" w:cs="Arial"/>
          <w:color w:val="auto"/>
          <w:sz w:val="22"/>
          <w:szCs w:val="22"/>
        </w:rPr>
        <w:t xml:space="preserve"> k</w:t>
      </w:r>
      <w:r w:rsidR="002274A7" w:rsidRPr="0048449D">
        <w:rPr>
          <w:rFonts w:ascii="Arial" w:hAnsi="Arial" w:cs="Arial"/>
          <w:color w:val="auto"/>
          <w:sz w:val="22"/>
          <w:szCs w:val="22"/>
        </w:rPr>
        <w:t>u</w:t>
      </w:r>
      <w:r w:rsidR="005924EB" w:rsidRPr="0048449D">
        <w:rPr>
          <w:rFonts w:ascii="Arial" w:hAnsi="Arial" w:cs="Arial"/>
          <w:color w:val="auto"/>
          <w:sz w:val="22"/>
          <w:szCs w:val="22"/>
        </w:rPr>
        <w:t>n</w:t>
      </w:r>
      <w:r w:rsidR="002274A7" w:rsidRPr="0048449D">
        <w:rPr>
          <w:rFonts w:ascii="Arial" w:hAnsi="Arial" w:cs="Arial"/>
          <w:color w:val="auto"/>
          <w:sz w:val="22"/>
          <w:szCs w:val="22"/>
        </w:rPr>
        <w:t>a</w:t>
      </w:r>
      <w:r w:rsidR="0048449D" w:rsidRPr="0048449D">
        <w:rPr>
          <w:rFonts w:ascii="Arial" w:hAnsi="Arial" w:cs="Arial"/>
          <w:color w:val="auto"/>
          <w:sz w:val="22"/>
          <w:szCs w:val="22"/>
        </w:rPr>
        <w:t xml:space="preserve"> te bilježe značajan rast od čak 46.5% u odnosu na ostvarenje istog prihoda za isto razdoblje prošle godine.</w:t>
      </w:r>
    </w:p>
    <w:p w:rsidR="00CB0B03" w:rsidRPr="00AD69EB" w:rsidRDefault="00CB0B03" w:rsidP="001679F1">
      <w:pPr>
        <w:pStyle w:val="BodyText"/>
        <w:rPr>
          <w:rFonts w:ascii="Arial" w:hAnsi="Arial" w:cs="Arial"/>
          <w:b/>
          <w:sz w:val="22"/>
          <w:szCs w:val="22"/>
          <w:highlight w:val="yellow"/>
        </w:rPr>
      </w:pPr>
    </w:p>
    <w:p w:rsidR="00F739DE" w:rsidRPr="009F583D" w:rsidRDefault="004D48FA" w:rsidP="001679F1">
      <w:pPr>
        <w:pStyle w:val="BodyText"/>
        <w:rPr>
          <w:rFonts w:ascii="Arial" w:hAnsi="Arial" w:cs="Arial"/>
          <w:color w:val="auto"/>
          <w:sz w:val="22"/>
          <w:szCs w:val="22"/>
        </w:rPr>
      </w:pPr>
      <w:r w:rsidRPr="009F583D">
        <w:rPr>
          <w:rFonts w:ascii="Arial" w:hAnsi="Arial" w:cs="Arial"/>
          <w:b/>
          <w:color w:val="auto"/>
          <w:sz w:val="22"/>
          <w:szCs w:val="22"/>
        </w:rPr>
        <w:t xml:space="preserve">Prihodi od </w:t>
      </w:r>
      <w:r w:rsidR="00A474A8" w:rsidRPr="009F583D">
        <w:rPr>
          <w:rFonts w:ascii="Arial" w:hAnsi="Arial" w:cs="Arial"/>
          <w:b/>
          <w:color w:val="auto"/>
          <w:sz w:val="22"/>
          <w:szCs w:val="22"/>
        </w:rPr>
        <w:t xml:space="preserve">upravnih i </w:t>
      </w:r>
      <w:r w:rsidRPr="009F583D">
        <w:rPr>
          <w:rFonts w:ascii="Arial" w:hAnsi="Arial" w:cs="Arial"/>
          <w:b/>
          <w:color w:val="auto"/>
          <w:sz w:val="22"/>
          <w:szCs w:val="22"/>
        </w:rPr>
        <w:t>administrativnih pristojbi</w:t>
      </w:r>
      <w:r w:rsidR="00F739DE" w:rsidRPr="009F583D">
        <w:rPr>
          <w:rFonts w:ascii="Arial" w:hAnsi="Arial" w:cs="Arial"/>
          <w:color w:val="auto"/>
          <w:sz w:val="22"/>
          <w:szCs w:val="22"/>
        </w:rPr>
        <w:t xml:space="preserve">planirani su u ukupnom iznosu od </w:t>
      </w:r>
      <w:r w:rsidR="00F55D1D" w:rsidRPr="009F583D">
        <w:rPr>
          <w:rFonts w:ascii="Arial" w:hAnsi="Arial" w:cs="Arial"/>
          <w:color w:val="auto"/>
          <w:sz w:val="22"/>
          <w:szCs w:val="22"/>
        </w:rPr>
        <w:t>1</w:t>
      </w:r>
      <w:r w:rsidR="009F583D" w:rsidRPr="009F583D">
        <w:rPr>
          <w:rFonts w:ascii="Arial" w:hAnsi="Arial" w:cs="Arial"/>
          <w:color w:val="auto"/>
          <w:sz w:val="22"/>
          <w:szCs w:val="22"/>
        </w:rPr>
        <w:t>28</w:t>
      </w:r>
      <w:r w:rsidR="00284789" w:rsidRPr="009F583D">
        <w:rPr>
          <w:rFonts w:ascii="Arial" w:hAnsi="Arial" w:cs="Arial"/>
          <w:color w:val="auto"/>
          <w:sz w:val="22"/>
          <w:szCs w:val="22"/>
        </w:rPr>
        <w:t>.6</w:t>
      </w:r>
      <w:r w:rsidR="009F583D" w:rsidRPr="009F583D">
        <w:rPr>
          <w:rFonts w:ascii="Arial" w:hAnsi="Arial" w:cs="Arial"/>
          <w:color w:val="auto"/>
          <w:sz w:val="22"/>
          <w:szCs w:val="22"/>
        </w:rPr>
        <w:t>18</w:t>
      </w:r>
      <w:r w:rsidR="00284789" w:rsidRPr="009F583D">
        <w:rPr>
          <w:rFonts w:ascii="Arial" w:hAnsi="Arial" w:cs="Arial"/>
          <w:color w:val="auto"/>
          <w:sz w:val="22"/>
          <w:szCs w:val="22"/>
        </w:rPr>
        <w:t>.</w:t>
      </w:r>
      <w:r w:rsidR="009F583D" w:rsidRPr="009F583D">
        <w:rPr>
          <w:rFonts w:ascii="Arial" w:hAnsi="Arial" w:cs="Arial"/>
          <w:color w:val="auto"/>
          <w:sz w:val="22"/>
          <w:szCs w:val="22"/>
        </w:rPr>
        <w:t>8</w:t>
      </w:r>
      <w:r w:rsidR="00284789" w:rsidRPr="009F583D">
        <w:rPr>
          <w:rFonts w:ascii="Arial" w:hAnsi="Arial" w:cs="Arial"/>
          <w:color w:val="auto"/>
          <w:sz w:val="22"/>
          <w:szCs w:val="22"/>
        </w:rPr>
        <w:t>00</w:t>
      </w:r>
      <w:r w:rsidR="00F739DE" w:rsidRPr="009F583D">
        <w:rPr>
          <w:rFonts w:ascii="Arial" w:hAnsi="Arial" w:cs="Arial"/>
          <w:color w:val="auto"/>
          <w:sz w:val="22"/>
          <w:szCs w:val="22"/>
        </w:rPr>
        <w:t xml:space="preserve"> kn, a ostvareni </w:t>
      </w:r>
      <w:r w:rsidR="009F583D" w:rsidRPr="009F583D">
        <w:rPr>
          <w:rFonts w:ascii="Arial" w:hAnsi="Arial" w:cs="Arial"/>
          <w:color w:val="auto"/>
          <w:sz w:val="22"/>
          <w:szCs w:val="22"/>
        </w:rPr>
        <w:t>58</w:t>
      </w:r>
      <w:r w:rsidR="00F739DE" w:rsidRPr="009F583D">
        <w:rPr>
          <w:rFonts w:ascii="Arial" w:hAnsi="Arial" w:cs="Arial"/>
          <w:color w:val="auto"/>
          <w:sz w:val="22"/>
          <w:szCs w:val="22"/>
        </w:rPr>
        <w:t>.</w:t>
      </w:r>
      <w:r w:rsidR="009F583D" w:rsidRPr="009F583D">
        <w:rPr>
          <w:rFonts w:ascii="Arial" w:hAnsi="Arial" w:cs="Arial"/>
          <w:color w:val="auto"/>
          <w:sz w:val="22"/>
          <w:szCs w:val="22"/>
        </w:rPr>
        <w:t>122</w:t>
      </w:r>
      <w:r w:rsidR="00284789" w:rsidRPr="009F583D">
        <w:rPr>
          <w:rFonts w:ascii="Arial" w:hAnsi="Arial" w:cs="Arial"/>
          <w:color w:val="auto"/>
          <w:sz w:val="22"/>
          <w:szCs w:val="22"/>
        </w:rPr>
        <w:t>.</w:t>
      </w:r>
      <w:r w:rsidR="009F583D" w:rsidRPr="009F583D">
        <w:rPr>
          <w:rFonts w:ascii="Arial" w:hAnsi="Arial" w:cs="Arial"/>
          <w:color w:val="auto"/>
          <w:sz w:val="22"/>
          <w:szCs w:val="22"/>
        </w:rPr>
        <w:t>068</w:t>
      </w:r>
      <w:r w:rsidR="00F739DE" w:rsidRPr="009F583D">
        <w:rPr>
          <w:rFonts w:ascii="Arial" w:hAnsi="Arial" w:cs="Arial"/>
          <w:color w:val="auto"/>
          <w:sz w:val="22"/>
          <w:szCs w:val="22"/>
        </w:rPr>
        <w:t xml:space="preserve"> kn odnosno sa </w:t>
      </w:r>
      <w:r w:rsidR="009F583D" w:rsidRPr="009F583D">
        <w:rPr>
          <w:rFonts w:ascii="Arial" w:hAnsi="Arial" w:cs="Arial"/>
          <w:color w:val="auto"/>
          <w:sz w:val="22"/>
          <w:szCs w:val="22"/>
        </w:rPr>
        <w:t>45</w:t>
      </w:r>
      <w:r w:rsidR="00F739DE" w:rsidRPr="009F583D">
        <w:rPr>
          <w:rFonts w:ascii="Arial" w:hAnsi="Arial" w:cs="Arial"/>
          <w:color w:val="auto"/>
          <w:sz w:val="22"/>
          <w:szCs w:val="22"/>
        </w:rPr>
        <w:t xml:space="preserve">%. Ovi prihodi </w:t>
      </w:r>
      <w:r w:rsidR="00226CE2" w:rsidRPr="009F583D">
        <w:rPr>
          <w:rFonts w:ascii="Arial" w:hAnsi="Arial" w:cs="Arial"/>
          <w:color w:val="auto"/>
          <w:sz w:val="22"/>
          <w:szCs w:val="22"/>
        </w:rPr>
        <w:t>obuhvaćaju</w:t>
      </w:r>
      <w:r w:rsidR="00F739DE" w:rsidRPr="009F583D">
        <w:rPr>
          <w:rFonts w:ascii="Arial" w:hAnsi="Arial" w:cs="Arial"/>
          <w:color w:val="auto"/>
          <w:sz w:val="22"/>
          <w:szCs w:val="22"/>
        </w:rPr>
        <w:t xml:space="preserve"> sljedeće skupine prihoda:</w:t>
      </w:r>
    </w:p>
    <w:p w:rsidR="00F739DE" w:rsidRPr="00AD69EB" w:rsidRDefault="00F739DE" w:rsidP="001679F1">
      <w:pPr>
        <w:pStyle w:val="BodyText"/>
        <w:rPr>
          <w:rFonts w:ascii="Arial" w:hAnsi="Arial" w:cs="Arial"/>
          <w:color w:val="FF0000"/>
          <w:sz w:val="22"/>
          <w:szCs w:val="22"/>
          <w:highlight w:val="yellow"/>
        </w:rPr>
      </w:pPr>
    </w:p>
    <w:p w:rsidR="00E33684" w:rsidRPr="00BC5DF4" w:rsidRDefault="00F739DE" w:rsidP="001679F1">
      <w:pPr>
        <w:pStyle w:val="BodyText"/>
        <w:rPr>
          <w:rFonts w:ascii="Arial" w:hAnsi="Arial" w:cs="Arial"/>
          <w:color w:val="auto"/>
          <w:sz w:val="22"/>
          <w:szCs w:val="22"/>
        </w:rPr>
      </w:pPr>
      <w:r w:rsidRPr="00BC5DF4">
        <w:rPr>
          <w:rFonts w:ascii="Arial" w:hAnsi="Arial" w:cs="Arial"/>
          <w:color w:val="auto"/>
          <w:sz w:val="22"/>
          <w:szCs w:val="22"/>
        </w:rPr>
        <w:t xml:space="preserve">-Administrativne  (upravne) pristojbe planirane su u ukupnom iznosu  od </w:t>
      </w:r>
      <w:r w:rsidR="00F55D1D" w:rsidRPr="00BC5DF4">
        <w:rPr>
          <w:rFonts w:ascii="Arial" w:hAnsi="Arial" w:cs="Arial"/>
          <w:color w:val="auto"/>
          <w:sz w:val="22"/>
          <w:szCs w:val="22"/>
        </w:rPr>
        <w:t>3</w:t>
      </w:r>
      <w:r w:rsidR="009F583D" w:rsidRPr="00BC5DF4">
        <w:rPr>
          <w:rFonts w:ascii="Arial" w:hAnsi="Arial" w:cs="Arial"/>
          <w:color w:val="auto"/>
          <w:sz w:val="22"/>
          <w:szCs w:val="22"/>
        </w:rPr>
        <w:t>5</w:t>
      </w:r>
      <w:r w:rsidRPr="00BC5DF4">
        <w:rPr>
          <w:rFonts w:ascii="Arial" w:hAnsi="Arial" w:cs="Arial"/>
          <w:color w:val="auto"/>
          <w:sz w:val="22"/>
          <w:szCs w:val="22"/>
        </w:rPr>
        <w:t>.</w:t>
      </w:r>
      <w:r w:rsidR="009F583D" w:rsidRPr="00BC5DF4">
        <w:rPr>
          <w:rFonts w:ascii="Arial" w:hAnsi="Arial" w:cs="Arial"/>
          <w:color w:val="auto"/>
          <w:sz w:val="22"/>
          <w:szCs w:val="22"/>
        </w:rPr>
        <w:t>430</w:t>
      </w:r>
      <w:r w:rsidRPr="00BC5DF4">
        <w:rPr>
          <w:rFonts w:ascii="Arial" w:hAnsi="Arial" w:cs="Arial"/>
          <w:color w:val="auto"/>
          <w:sz w:val="22"/>
          <w:szCs w:val="22"/>
        </w:rPr>
        <w:t>.000 kuna, a ostvaren</w:t>
      </w:r>
      <w:r w:rsidR="00E80E27" w:rsidRPr="00BC5DF4">
        <w:rPr>
          <w:rFonts w:ascii="Arial" w:hAnsi="Arial" w:cs="Arial"/>
          <w:color w:val="auto"/>
          <w:sz w:val="22"/>
          <w:szCs w:val="22"/>
        </w:rPr>
        <w:t>e</w:t>
      </w:r>
      <w:r w:rsidR="00242835" w:rsidRPr="00BC5DF4">
        <w:rPr>
          <w:rFonts w:ascii="Arial" w:hAnsi="Arial" w:cs="Arial"/>
          <w:color w:val="auto"/>
          <w:sz w:val="22"/>
          <w:szCs w:val="22"/>
        </w:rPr>
        <w:t>1</w:t>
      </w:r>
      <w:r w:rsidR="009F583D" w:rsidRPr="00BC5DF4">
        <w:rPr>
          <w:rFonts w:ascii="Arial" w:hAnsi="Arial" w:cs="Arial"/>
          <w:color w:val="auto"/>
          <w:sz w:val="22"/>
          <w:szCs w:val="22"/>
        </w:rPr>
        <w:t>2</w:t>
      </w:r>
      <w:r w:rsidR="00242835" w:rsidRPr="00BC5DF4">
        <w:rPr>
          <w:rFonts w:ascii="Arial" w:hAnsi="Arial" w:cs="Arial"/>
          <w:color w:val="auto"/>
          <w:sz w:val="22"/>
          <w:szCs w:val="22"/>
        </w:rPr>
        <w:t>.</w:t>
      </w:r>
      <w:r w:rsidR="009F583D" w:rsidRPr="00BC5DF4">
        <w:rPr>
          <w:rFonts w:ascii="Arial" w:hAnsi="Arial" w:cs="Arial"/>
          <w:color w:val="auto"/>
          <w:sz w:val="22"/>
          <w:szCs w:val="22"/>
        </w:rPr>
        <w:t>784</w:t>
      </w:r>
      <w:r w:rsidR="00242835" w:rsidRPr="00BC5DF4">
        <w:rPr>
          <w:rFonts w:ascii="Arial" w:hAnsi="Arial" w:cs="Arial"/>
          <w:color w:val="auto"/>
          <w:sz w:val="22"/>
          <w:szCs w:val="22"/>
        </w:rPr>
        <w:t>.</w:t>
      </w:r>
      <w:r w:rsidR="009F583D" w:rsidRPr="00BC5DF4">
        <w:rPr>
          <w:rFonts w:ascii="Arial" w:hAnsi="Arial" w:cs="Arial"/>
          <w:color w:val="auto"/>
          <w:sz w:val="22"/>
          <w:szCs w:val="22"/>
        </w:rPr>
        <w:t xml:space="preserve">880 </w:t>
      </w:r>
      <w:r w:rsidRPr="00BC5DF4">
        <w:rPr>
          <w:rFonts w:ascii="Arial" w:hAnsi="Arial" w:cs="Arial"/>
          <w:color w:val="auto"/>
          <w:sz w:val="22"/>
          <w:szCs w:val="22"/>
        </w:rPr>
        <w:t xml:space="preserve">kuna, odnosno sa </w:t>
      </w:r>
      <w:r w:rsidR="00F55D1D" w:rsidRPr="00BC5DF4">
        <w:rPr>
          <w:rFonts w:ascii="Arial" w:hAnsi="Arial" w:cs="Arial"/>
          <w:color w:val="auto"/>
          <w:sz w:val="22"/>
          <w:szCs w:val="22"/>
        </w:rPr>
        <w:t>3</w:t>
      </w:r>
      <w:r w:rsidR="00BC5DF4" w:rsidRPr="00BC5DF4">
        <w:rPr>
          <w:rFonts w:ascii="Arial" w:hAnsi="Arial" w:cs="Arial"/>
          <w:color w:val="auto"/>
          <w:sz w:val="22"/>
          <w:szCs w:val="22"/>
        </w:rPr>
        <w:t>6</w:t>
      </w:r>
      <w:r w:rsidRPr="00BC5DF4">
        <w:rPr>
          <w:rFonts w:ascii="Arial" w:hAnsi="Arial" w:cs="Arial"/>
          <w:color w:val="auto"/>
          <w:sz w:val="22"/>
          <w:szCs w:val="22"/>
        </w:rPr>
        <w:t xml:space="preserve">%. Ove prihode čine </w:t>
      </w:r>
      <w:r w:rsidR="00226CE2" w:rsidRPr="00BC5DF4">
        <w:rPr>
          <w:rFonts w:ascii="Arial" w:hAnsi="Arial" w:cs="Arial"/>
          <w:color w:val="auto"/>
          <w:sz w:val="22"/>
          <w:szCs w:val="22"/>
        </w:rPr>
        <w:t>naknade utvrđene gradskim odlukama</w:t>
      </w:r>
      <w:r w:rsidR="004B4CB2" w:rsidRPr="00BC5DF4">
        <w:rPr>
          <w:rFonts w:ascii="Arial" w:hAnsi="Arial" w:cs="Arial"/>
          <w:color w:val="auto"/>
          <w:sz w:val="22"/>
          <w:szCs w:val="22"/>
        </w:rPr>
        <w:t>,</w:t>
      </w:r>
      <w:r w:rsidR="00A44BD7" w:rsidRPr="00BC5DF4">
        <w:rPr>
          <w:rFonts w:ascii="Arial" w:hAnsi="Arial" w:cs="Arial"/>
          <w:color w:val="auto"/>
          <w:sz w:val="22"/>
          <w:szCs w:val="22"/>
        </w:rPr>
        <w:t xml:space="preserve"> prihod</w:t>
      </w:r>
      <w:r w:rsidRPr="00BC5DF4">
        <w:rPr>
          <w:rFonts w:ascii="Arial" w:hAnsi="Arial" w:cs="Arial"/>
          <w:color w:val="auto"/>
          <w:sz w:val="22"/>
          <w:szCs w:val="22"/>
        </w:rPr>
        <w:t>i</w:t>
      </w:r>
      <w:r w:rsidR="00A44BD7" w:rsidRPr="00BC5DF4">
        <w:rPr>
          <w:rFonts w:ascii="Arial" w:hAnsi="Arial" w:cs="Arial"/>
          <w:color w:val="auto"/>
          <w:sz w:val="22"/>
          <w:szCs w:val="22"/>
        </w:rPr>
        <w:t xml:space="preserve"> od prodaje državnih biljega</w:t>
      </w:r>
      <w:r w:rsidR="004B4CB2" w:rsidRPr="00BC5DF4">
        <w:rPr>
          <w:rFonts w:ascii="Arial" w:hAnsi="Arial" w:cs="Arial"/>
          <w:color w:val="auto"/>
          <w:sz w:val="22"/>
          <w:szCs w:val="22"/>
        </w:rPr>
        <w:t>,</w:t>
      </w:r>
      <w:r w:rsidR="00A44BD7" w:rsidRPr="00BC5DF4">
        <w:rPr>
          <w:rFonts w:ascii="Arial" w:hAnsi="Arial" w:cs="Arial"/>
          <w:color w:val="auto"/>
          <w:sz w:val="22"/>
          <w:szCs w:val="22"/>
        </w:rPr>
        <w:t xml:space="preserve"> te boravišne pristojbe</w:t>
      </w:r>
      <w:r w:rsidRPr="00BC5DF4">
        <w:rPr>
          <w:rFonts w:ascii="Arial" w:hAnsi="Arial" w:cs="Arial"/>
          <w:color w:val="auto"/>
          <w:sz w:val="22"/>
          <w:szCs w:val="22"/>
        </w:rPr>
        <w:t xml:space="preserve">, </w:t>
      </w:r>
      <w:r w:rsidR="002A0B4C" w:rsidRPr="00BC5DF4">
        <w:rPr>
          <w:rFonts w:ascii="Arial" w:hAnsi="Arial" w:cs="Arial"/>
          <w:color w:val="auto"/>
          <w:sz w:val="22"/>
          <w:szCs w:val="22"/>
        </w:rPr>
        <w:t>naknade za prometovanje unutar gradskih zidina, posebna naknada za usluge čišćenja</w:t>
      </w:r>
      <w:r w:rsidR="00A44BD7" w:rsidRPr="00BC5DF4">
        <w:rPr>
          <w:rFonts w:ascii="Arial" w:hAnsi="Arial" w:cs="Arial"/>
          <w:color w:val="auto"/>
          <w:sz w:val="22"/>
          <w:szCs w:val="22"/>
        </w:rPr>
        <w:t xml:space="preserve"> (namjenski prihod za </w:t>
      </w:r>
      <w:r w:rsidR="00367B87">
        <w:rPr>
          <w:rFonts w:ascii="Arial" w:hAnsi="Arial" w:cs="Arial"/>
          <w:color w:val="auto"/>
          <w:sz w:val="22"/>
          <w:szCs w:val="22"/>
        </w:rPr>
        <w:t>sanaciju</w:t>
      </w:r>
      <w:r w:rsidR="00A44BD7" w:rsidRPr="00BC5DF4">
        <w:rPr>
          <w:rFonts w:ascii="Arial" w:hAnsi="Arial" w:cs="Arial"/>
          <w:color w:val="auto"/>
          <w:sz w:val="22"/>
          <w:szCs w:val="22"/>
        </w:rPr>
        <w:t xml:space="preserve"> odlagališta «Grabovica»),</w:t>
      </w:r>
      <w:r w:rsidR="002A0B4C" w:rsidRPr="00BC5DF4">
        <w:rPr>
          <w:rFonts w:ascii="Arial" w:hAnsi="Arial" w:cs="Arial"/>
          <w:color w:val="auto"/>
          <w:sz w:val="22"/>
          <w:szCs w:val="22"/>
        </w:rPr>
        <w:t xml:space="preserve"> naknada za korištenje javne prometne površine, naknada za</w:t>
      </w:r>
      <w:r w:rsidR="0006665E" w:rsidRPr="00BC5DF4">
        <w:rPr>
          <w:rFonts w:ascii="Arial" w:hAnsi="Arial" w:cs="Arial"/>
          <w:color w:val="auto"/>
          <w:sz w:val="22"/>
          <w:szCs w:val="22"/>
        </w:rPr>
        <w:t xml:space="preserve"> zaustavljanje </w:t>
      </w:r>
      <w:r w:rsidR="006E7210" w:rsidRPr="00BC5DF4">
        <w:rPr>
          <w:rFonts w:ascii="Arial" w:hAnsi="Arial" w:cs="Arial"/>
          <w:color w:val="auto"/>
          <w:sz w:val="22"/>
          <w:szCs w:val="22"/>
        </w:rPr>
        <w:t>autobus</w:t>
      </w:r>
      <w:r w:rsidR="0006665E" w:rsidRPr="00BC5DF4">
        <w:rPr>
          <w:rFonts w:ascii="Arial" w:hAnsi="Arial" w:cs="Arial"/>
          <w:color w:val="auto"/>
          <w:sz w:val="22"/>
          <w:szCs w:val="22"/>
        </w:rPr>
        <w:t>a</w:t>
      </w:r>
      <w:r w:rsidR="006E7210" w:rsidRPr="00BC5DF4">
        <w:rPr>
          <w:rFonts w:ascii="Arial" w:hAnsi="Arial" w:cs="Arial"/>
          <w:color w:val="auto"/>
          <w:sz w:val="22"/>
          <w:szCs w:val="22"/>
        </w:rPr>
        <w:t xml:space="preserve"> na Pilama</w:t>
      </w:r>
      <w:r w:rsidR="0006665E" w:rsidRPr="00BC5DF4">
        <w:rPr>
          <w:rFonts w:ascii="Arial" w:hAnsi="Arial" w:cs="Arial"/>
          <w:color w:val="auto"/>
          <w:sz w:val="22"/>
          <w:szCs w:val="22"/>
        </w:rPr>
        <w:t xml:space="preserve">, tj. </w:t>
      </w:r>
      <w:r w:rsidR="00253D85">
        <w:rPr>
          <w:rFonts w:ascii="Arial" w:hAnsi="Arial" w:cs="Arial"/>
          <w:color w:val="auto"/>
          <w:sz w:val="22"/>
          <w:szCs w:val="22"/>
        </w:rPr>
        <w:t>u</w:t>
      </w:r>
      <w:r w:rsidR="0006665E" w:rsidRPr="00BC5DF4">
        <w:rPr>
          <w:rFonts w:ascii="Arial" w:hAnsi="Arial" w:cs="Arial"/>
          <w:color w:val="auto"/>
          <w:sz w:val="22"/>
          <w:szCs w:val="22"/>
        </w:rPr>
        <w:t xml:space="preserve"> zoni posebnog prometnog režima</w:t>
      </w:r>
      <w:r w:rsidR="006E7210" w:rsidRPr="00BC5DF4">
        <w:rPr>
          <w:rFonts w:ascii="Arial" w:hAnsi="Arial" w:cs="Arial"/>
          <w:color w:val="auto"/>
          <w:sz w:val="22"/>
          <w:szCs w:val="22"/>
        </w:rPr>
        <w:t xml:space="preserve"> i</w:t>
      </w:r>
      <w:r w:rsidR="002A0B4C" w:rsidRPr="00BC5DF4">
        <w:rPr>
          <w:rFonts w:ascii="Arial" w:hAnsi="Arial" w:cs="Arial"/>
          <w:color w:val="auto"/>
          <w:sz w:val="22"/>
          <w:szCs w:val="22"/>
        </w:rPr>
        <w:t xml:space="preserve"> naknada za nedostajuća parkirn</w:t>
      </w:r>
      <w:r w:rsidR="00125CB6" w:rsidRPr="00BC5DF4">
        <w:rPr>
          <w:rFonts w:ascii="Arial" w:hAnsi="Arial" w:cs="Arial"/>
          <w:color w:val="auto"/>
          <w:sz w:val="22"/>
          <w:szCs w:val="22"/>
        </w:rPr>
        <w:t>a</w:t>
      </w:r>
      <w:r w:rsidR="002A0B4C" w:rsidRPr="00BC5DF4">
        <w:rPr>
          <w:rFonts w:ascii="Arial" w:hAnsi="Arial" w:cs="Arial"/>
          <w:color w:val="auto"/>
          <w:sz w:val="22"/>
          <w:szCs w:val="22"/>
        </w:rPr>
        <w:t xml:space="preserve"> mjesta</w:t>
      </w:r>
      <w:r w:rsidR="006E7210" w:rsidRPr="00BC5DF4">
        <w:rPr>
          <w:rFonts w:ascii="Arial" w:hAnsi="Arial" w:cs="Arial"/>
          <w:color w:val="auto"/>
          <w:sz w:val="22"/>
          <w:szCs w:val="22"/>
        </w:rPr>
        <w:t xml:space="preserve">. </w:t>
      </w:r>
      <w:r w:rsidR="009274D7" w:rsidRPr="00BC5DF4">
        <w:rPr>
          <w:rFonts w:ascii="Arial" w:hAnsi="Arial" w:cs="Arial"/>
          <w:color w:val="auto"/>
          <w:sz w:val="22"/>
          <w:szCs w:val="22"/>
        </w:rPr>
        <w:t>Boravišna pristojba</w:t>
      </w:r>
      <w:r w:rsidR="00E33684" w:rsidRPr="00BC5DF4">
        <w:rPr>
          <w:rFonts w:ascii="Arial" w:hAnsi="Arial" w:cs="Arial"/>
          <w:color w:val="auto"/>
          <w:sz w:val="22"/>
          <w:szCs w:val="22"/>
        </w:rPr>
        <w:t xml:space="preserve"> namjenski je prihod za uređenje mjesta, a naplaćuje se preko turističke zajednice koja je dužna 30% uplaćenih prihoda </w:t>
      </w:r>
      <w:r w:rsidR="0056755D" w:rsidRPr="00BC5DF4">
        <w:rPr>
          <w:rFonts w:ascii="Arial" w:hAnsi="Arial" w:cs="Arial"/>
          <w:color w:val="auto"/>
          <w:sz w:val="22"/>
          <w:szCs w:val="22"/>
        </w:rPr>
        <w:t>uplatiti</w:t>
      </w:r>
      <w:r w:rsidR="001776A6" w:rsidRPr="00BC5DF4">
        <w:rPr>
          <w:rFonts w:ascii="Arial" w:hAnsi="Arial" w:cs="Arial"/>
          <w:color w:val="auto"/>
          <w:sz w:val="22"/>
          <w:szCs w:val="22"/>
        </w:rPr>
        <w:t>Gradu.</w:t>
      </w:r>
    </w:p>
    <w:p w:rsidR="00E33684" w:rsidRPr="00BC5DF4" w:rsidRDefault="00E33684" w:rsidP="001679F1">
      <w:pPr>
        <w:pStyle w:val="BodyText"/>
        <w:rPr>
          <w:rFonts w:ascii="Arial" w:hAnsi="Arial" w:cs="Arial"/>
          <w:color w:val="auto"/>
          <w:sz w:val="22"/>
          <w:szCs w:val="22"/>
        </w:rPr>
      </w:pPr>
      <w:r w:rsidRPr="00BC5DF4">
        <w:rPr>
          <w:rFonts w:ascii="Arial" w:hAnsi="Arial" w:cs="Arial"/>
          <w:color w:val="auto"/>
          <w:sz w:val="22"/>
          <w:szCs w:val="22"/>
        </w:rPr>
        <w:t>Prihodi od prodaje državnih biljega zajednički su prihod države, županije i grada (po 1/3), planirani</w:t>
      </w:r>
      <w:r w:rsidR="00125CB6" w:rsidRPr="00BC5DF4">
        <w:rPr>
          <w:rFonts w:ascii="Arial" w:hAnsi="Arial" w:cs="Arial"/>
          <w:color w:val="auto"/>
          <w:sz w:val="22"/>
          <w:szCs w:val="22"/>
        </w:rPr>
        <w:t xml:space="preserve"> su </w:t>
      </w:r>
      <w:r w:rsidR="00946601" w:rsidRPr="00BC5DF4">
        <w:rPr>
          <w:rFonts w:ascii="Arial" w:hAnsi="Arial" w:cs="Arial"/>
          <w:color w:val="auto"/>
          <w:sz w:val="22"/>
          <w:szCs w:val="22"/>
        </w:rPr>
        <w:t>9</w:t>
      </w:r>
      <w:r w:rsidR="00242835" w:rsidRPr="00BC5DF4">
        <w:rPr>
          <w:rFonts w:ascii="Arial" w:hAnsi="Arial" w:cs="Arial"/>
          <w:color w:val="auto"/>
          <w:sz w:val="22"/>
          <w:szCs w:val="22"/>
        </w:rPr>
        <w:t>00.000</w:t>
      </w:r>
      <w:r w:rsidRPr="00BC5DF4">
        <w:rPr>
          <w:rFonts w:ascii="Arial" w:hAnsi="Arial" w:cs="Arial"/>
          <w:color w:val="auto"/>
          <w:sz w:val="22"/>
          <w:szCs w:val="22"/>
        </w:rPr>
        <w:t xml:space="preserve"> kuna, a ostvareni </w:t>
      </w:r>
      <w:r w:rsidR="00946601" w:rsidRPr="00BC5DF4">
        <w:rPr>
          <w:rFonts w:ascii="Arial" w:hAnsi="Arial" w:cs="Arial"/>
          <w:color w:val="auto"/>
          <w:sz w:val="22"/>
          <w:szCs w:val="22"/>
        </w:rPr>
        <w:t>3</w:t>
      </w:r>
      <w:r w:rsidR="00BC5DF4" w:rsidRPr="00BC5DF4">
        <w:rPr>
          <w:rFonts w:ascii="Arial" w:hAnsi="Arial" w:cs="Arial"/>
          <w:color w:val="auto"/>
          <w:sz w:val="22"/>
          <w:szCs w:val="22"/>
        </w:rPr>
        <w:t>86</w:t>
      </w:r>
      <w:r w:rsidR="00242835" w:rsidRPr="00BC5DF4">
        <w:rPr>
          <w:rFonts w:ascii="Arial" w:hAnsi="Arial" w:cs="Arial"/>
          <w:color w:val="auto"/>
          <w:sz w:val="22"/>
          <w:szCs w:val="22"/>
        </w:rPr>
        <w:t>.</w:t>
      </w:r>
      <w:r w:rsidR="00BC5DF4" w:rsidRPr="00BC5DF4">
        <w:rPr>
          <w:rFonts w:ascii="Arial" w:hAnsi="Arial" w:cs="Arial"/>
          <w:color w:val="auto"/>
          <w:sz w:val="22"/>
          <w:szCs w:val="22"/>
        </w:rPr>
        <w:t>416</w:t>
      </w:r>
      <w:r w:rsidRPr="00BC5DF4">
        <w:rPr>
          <w:rFonts w:ascii="Arial" w:hAnsi="Arial" w:cs="Arial"/>
          <w:color w:val="auto"/>
          <w:sz w:val="22"/>
          <w:szCs w:val="22"/>
        </w:rPr>
        <w:t xml:space="preserve"> kuna</w:t>
      </w:r>
      <w:r w:rsidR="001776A6" w:rsidRPr="00BC5DF4">
        <w:rPr>
          <w:rFonts w:ascii="Arial" w:hAnsi="Arial" w:cs="Arial"/>
          <w:color w:val="auto"/>
          <w:sz w:val="22"/>
          <w:szCs w:val="22"/>
        </w:rPr>
        <w:t>,</w:t>
      </w:r>
      <w:r w:rsidRPr="00BC5DF4">
        <w:rPr>
          <w:rFonts w:ascii="Arial" w:hAnsi="Arial" w:cs="Arial"/>
          <w:color w:val="auto"/>
          <w:sz w:val="22"/>
          <w:szCs w:val="22"/>
        </w:rPr>
        <w:t xml:space="preserve"> odnosno </w:t>
      </w:r>
      <w:r w:rsidR="00125CB6" w:rsidRPr="00BC5DF4">
        <w:rPr>
          <w:rFonts w:ascii="Arial" w:hAnsi="Arial" w:cs="Arial"/>
          <w:color w:val="auto"/>
          <w:sz w:val="22"/>
          <w:szCs w:val="22"/>
        </w:rPr>
        <w:t xml:space="preserve">sa </w:t>
      </w:r>
      <w:r w:rsidR="00946601" w:rsidRPr="00BC5DF4">
        <w:rPr>
          <w:rFonts w:ascii="Arial" w:hAnsi="Arial" w:cs="Arial"/>
          <w:color w:val="auto"/>
          <w:sz w:val="22"/>
          <w:szCs w:val="22"/>
        </w:rPr>
        <w:t>4</w:t>
      </w:r>
      <w:r w:rsidR="00BC5DF4" w:rsidRPr="00BC5DF4">
        <w:rPr>
          <w:rFonts w:ascii="Arial" w:hAnsi="Arial" w:cs="Arial"/>
          <w:color w:val="auto"/>
          <w:sz w:val="22"/>
          <w:szCs w:val="22"/>
        </w:rPr>
        <w:t>3</w:t>
      </w:r>
      <w:r w:rsidRPr="00BC5DF4">
        <w:rPr>
          <w:rFonts w:ascii="Arial" w:hAnsi="Arial" w:cs="Arial"/>
          <w:color w:val="auto"/>
          <w:sz w:val="22"/>
          <w:szCs w:val="22"/>
        </w:rPr>
        <w:t>%.</w:t>
      </w:r>
    </w:p>
    <w:p w:rsidR="00F739DE" w:rsidRPr="00AD69EB" w:rsidRDefault="00F739DE" w:rsidP="001679F1">
      <w:pPr>
        <w:pStyle w:val="BodyText"/>
        <w:rPr>
          <w:rFonts w:ascii="Arial" w:hAnsi="Arial" w:cs="Arial"/>
          <w:color w:val="FF0000"/>
          <w:sz w:val="22"/>
          <w:szCs w:val="22"/>
          <w:highlight w:val="yellow"/>
        </w:rPr>
      </w:pPr>
    </w:p>
    <w:p w:rsidR="00A935C4" w:rsidRPr="00BC5DF4" w:rsidRDefault="00F739DE" w:rsidP="001679F1">
      <w:pPr>
        <w:pStyle w:val="BodyText"/>
        <w:rPr>
          <w:rFonts w:ascii="Arial" w:hAnsi="Arial" w:cs="Arial"/>
          <w:color w:val="auto"/>
          <w:sz w:val="22"/>
          <w:szCs w:val="22"/>
        </w:rPr>
      </w:pPr>
      <w:r w:rsidRPr="00BC5DF4">
        <w:rPr>
          <w:rFonts w:ascii="Arial" w:hAnsi="Arial" w:cs="Arial"/>
          <w:color w:val="auto"/>
          <w:sz w:val="22"/>
          <w:szCs w:val="22"/>
        </w:rPr>
        <w:t>-</w:t>
      </w:r>
      <w:r w:rsidR="00A935C4" w:rsidRPr="00BC5DF4">
        <w:rPr>
          <w:rFonts w:ascii="Arial" w:hAnsi="Arial" w:cs="Arial"/>
          <w:color w:val="auto"/>
          <w:sz w:val="22"/>
          <w:szCs w:val="22"/>
        </w:rPr>
        <w:t>Prihodi po posebnim propisima planirani su u iznosu od 1</w:t>
      </w:r>
      <w:r w:rsidR="00BC36C5" w:rsidRPr="00BC5DF4">
        <w:rPr>
          <w:rFonts w:ascii="Arial" w:hAnsi="Arial" w:cs="Arial"/>
          <w:color w:val="auto"/>
          <w:sz w:val="22"/>
          <w:szCs w:val="22"/>
        </w:rPr>
        <w:t>3.</w:t>
      </w:r>
      <w:r w:rsidR="00BC5DF4" w:rsidRPr="00BC5DF4">
        <w:rPr>
          <w:rFonts w:ascii="Arial" w:hAnsi="Arial" w:cs="Arial"/>
          <w:color w:val="auto"/>
          <w:sz w:val="22"/>
          <w:szCs w:val="22"/>
        </w:rPr>
        <w:t>788</w:t>
      </w:r>
      <w:r w:rsidR="00BC36C5" w:rsidRPr="00BC5DF4">
        <w:rPr>
          <w:rFonts w:ascii="Arial" w:hAnsi="Arial" w:cs="Arial"/>
          <w:color w:val="auto"/>
          <w:sz w:val="22"/>
          <w:szCs w:val="22"/>
        </w:rPr>
        <w:t>.</w:t>
      </w:r>
      <w:r w:rsidR="00BC5DF4" w:rsidRPr="00BC5DF4">
        <w:rPr>
          <w:rFonts w:ascii="Arial" w:hAnsi="Arial" w:cs="Arial"/>
          <w:color w:val="auto"/>
          <w:sz w:val="22"/>
          <w:szCs w:val="22"/>
        </w:rPr>
        <w:t>8</w:t>
      </w:r>
      <w:r w:rsidR="00BC36C5" w:rsidRPr="00BC5DF4">
        <w:rPr>
          <w:rFonts w:ascii="Arial" w:hAnsi="Arial" w:cs="Arial"/>
          <w:color w:val="auto"/>
          <w:sz w:val="22"/>
          <w:szCs w:val="22"/>
        </w:rPr>
        <w:t>00</w:t>
      </w:r>
      <w:r w:rsidR="00A935C4" w:rsidRPr="00BC5DF4">
        <w:rPr>
          <w:rFonts w:ascii="Arial" w:hAnsi="Arial" w:cs="Arial"/>
          <w:color w:val="auto"/>
          <w:sz w:val="22"/>
          <w:szCs w:val="22"/>
        </w:rPr>
        <w:t xml:space="preserve"> kn, a  ostvareni su u iznosu od </w:t>
      </w:r>
      <w:r w:rsidR="00BC5DF4" w:rsidRPr="00BC5DF4">
        <w:rPr>
          <w:rFonts w:ascii="Arial" w:hAnsi="Arial" w:cs="Arial"/>
          <w:color w:val="auto"/>
          <w:sz w:val="22"/>
          <w:szCs w:val="22"/>
        </w:rPr>
        <w:t>8</w:t>
      </w:r>
      <w:r w:rsidR="00A935C4" w:rsidRPr="00BC5DF4">
        <w:rPr>
          <w:rFonts w:ascii="Arial" w:hAnsi="Arial" w:cs="Arial"/>
          <w:color w:val="auto"/>
          <w:sz w:val="22"/>
          <w:szCs w:val="22"/>
        </w:rPr>
        <w:t>.</w:t>
      </w:r>
      <w:r w:rsidR="00BC5DF4" w:rsidRPr="00BC5DF4">
        <w:rPr>
          <w:rFonts w:ascii="Arial" w:hAnsi="Arial" w:cs="Arial"/>
          <w:color w:val="auto"/>
          <w:sz w:val="22"/>
          <w:szCs w:val="22"/>
        </w:rPr>
        <w:t>303</w:t>
      </w:r>
      <w:r w:rsidR="00A935C4" w:rsidRPr="00BC5DF4">
        <w:rPr>
          <w:rFonts w:ascii="Arial" w:hAnsi="Arial" w:cs="Arial"/>
          <w:color w:val="auto"/>
          <w:sz w:val="22"/>
          <w:szCs w:val="22"/>
        </w:rPr>
        <w:t>.</w:t>
      </w:r>
      <w:r w:rsidR="00BC5DF4" w:rsidRPr="00BC5DF4">
        <w:rPr>
          <w:rFonts w:ascii="Arial" w:hAnsi="Arial" w:cs="Arial"/>
          <w:color w:val="auto"/>
          <w:sz w:val="22"/>
          <w:szCs w:val="22"/>
        </w:rPr>
        <w:t>886</w:t>
      </w:r>
      <w:r w:rsidR="00A935C4" w:rsidRPr="00BC5DF4">
        <w:rPr>
          <w:rFonts w:ascii="Arial" w:hAnsi="Arial" w:cs="Arial"/>
          <w:color w:val="auto"/>
          <w:sz w:val="22"/>
          <w:szCs w:val="22"/>
        </w:rPr>
        <w:t xml:space="preserve">kn, odnosno sa </w:t>
      </w:r>
      <w:r w:rsidR="00BC5DF4" w:rsidRPr="00BC5DF4">
        <w:rPr>
          <w:rFonts w:ascii="Arial" w:hAnsi="Arial" w:cs="Arial"/>
          <w:color w:val="auto"/>
          <w:sz w:val="22"/>
          <w:szCs w:val="22"/>
        </w:rPr>
        <w:t>6</w:t>
      </w:r>
      <w:r w:rsidR="00BC36C5" w:rsidRPr="00BC5DF4">
        <w:rPr>
          <w:rFonts w:ascii="Arial" w:hAnsi="Arial" w:cs="Arial"/>
          <w:color w:val="auto"/>
          <w:sz w:val="22"/>
          <w:szCs w:val="22"/>
        </w:rPr>
        <w:t>0</w:t>
      </w:r>
      <w:r w:rsidR="00A935C4" w:rsidRPr="00BC5DF4">
        <w:rPr>
          <w:rFonts w:ascii="Arial" w:hAnsi="Arial" w:cs="Arial"/>
          <w:color w:val="auto"/>
          <w:sz w:val="22"/>
          <w:szCs w:val="22"/>
        </w:rPr>
        <w:t>%.</w:t>
      </w:r>
    </w:p>
    <w:p w:rsidR="00C6386E" w:rsidRPr="00BC5DF4" w:rsidRDefault="00C6386E" w:rsidP="00C6386E">
      <w:pPr>
        <w:pStyle w:val="BodyText"/>
        <w:ind w:firstLine="708"/>
        <w:rPr>
          <w:rFonts w:ascii="Arial" w:hAnsi="Arial" w:cs="Arial"/>
          <w:color w:val="FF0000"/>
          <w:sz w:val="22"/>
          <w:szCs w:val="22"/>
        </w:rPr>
      </w:pPr>
    </w:p>
    <w:p w:rsidR="00F739DE" w:rsidRPr="00BC5DF4" w:rsidRDefault="00F739DE" w:rsidP="001679F1">
      <w:pPr>
        <w:pStyle w:val="BodyText"/>
        <w:rPr>
          <w:rFonts w:ascii="Arial" w:hAnsi="Arial" w:cs="Arial"/>
          <w:color w:val="auto"/>
          <w:sz w:val="22"/>
          <w:szCs w:val="22"/>
        </w:rPr>
      </w:pPr>
      <w:r w:rsidRPr="00BC5DF4">
        <w:rPr>
          <w:rFonts w:ascii="Arial" w:hAnsi="Arial" w:cs="Arial"/>
          <w:color w:val="FF0000"/>
          <w:sz w:val="22"/>
          <w:szCs w:val="22"/>
        </w:rPr>
        <w:t>-</w:t>
      </w:r>
      <w:r w:rsidRPr="00BC5DF4">
        <w:rPr>
          <w:rFonts w:ascii="Arial" w:hAnsi="Arial" w:cs="Arial"/>
          <w:color w:val="auto"/>
          <w:sz w:val="22"/>
          <w:szCs w:val="22"/>
        </w:rPr>
        <w:t xml:space="preserve">Komunalni doprinos i </w:t>
      </w:r>
      <w:r w:rsidR="001776A6" w:rsidRPr="00BC5DF4">
        <w:rPr>
          <w:rFonts w:ascii="Arial" w:hAnsi="Arial" w:cs="Arial"/>
          <w:color w:val="auto"/>
          <w:sz w:val="22"/>
          <w:szCs w:val="22"/>
        </w:rPr>
        <w:t xml:space="preserve">komunalna </w:t>
      </w:r>
      <w:r w:rsidRPr="00BC5DF4">
        <w:rPr>
          <w:rFonts w:ascii="Arial" w:hAnsi="Arial" w:cs="Arial"/>
          <w:color w:val="auto"/>
          <w:sz w:val="22"/>
          <w:szCs w:val="22"/>
        </w:rPr>
        <w:t>naknad</w:t>
      </w:r>
      <w:r w:rsidR="001776A6" w:rsidRPr="00BC5DF4">
        <w:rPr>
          <w:rFonts w:ascii="Arial" w:hAnsi="Arial" w:cs="Arial"/>
          <w:color w:val="auto"/>
          <w:sz w:val="22"/>
          <w:szCs w:val="22"/>
        </w:rPr>
        <w:t>a</w:t>
      </w:r>
      <w:r w:rsidRPr="00BC5DF4">
        <w:rPr>
          <w:rFonts w:ascii="Arial" w:hAnsi="Arial" w:cs="Arial"/>
          <w:color w:val="auto"/>
          <w:sz w:val="22"/>
          <w:szCs w:val="22"/>
        </w:rPr>
        <w:t xml:space="preserve"> planirani su u iznosu od </w:t>
      </w:r>
      <w:r w:rsidR="00946601" w:rsidRPr="00BC5DF4">
        <w:rPr>
          <w:rFonts w:ascii="Arial" w:hAnsi="Arial" w:cs="Arial"/>
          <w:color w:val="auto"/>
          <w:sz w:val="22"/>
          <w:szCs w:val="22"/>
        </w:rPr>
        <w:t>7</w:t>
      </w:r>
      <w:r w:rsidR="00BC5DF4" w:rsidRPr="00BC5DF4">
        <w:rPr>
          <w:rFonts w:ascii="Arial" w:hAnsi="Arial" w:cs="Arial"/>
          <w:color w:val="auto"/>
          <w:sz w:val="22"/>
          <w:szCs w:val="22"/>
        </w:rPr>
        <w:t>9</w:t>
      </w:r>
      <w:r w:rsidRPr="00BC5DF4">
        <w:rPr>
          <w:rFonts w:ascii="Arial" w:hAnsi="Arial" w:cs="Arial"/>
          <w:color w:val="auto"/>
          <w:sz w:val="22"/>
          <w:szCs w:val="22"/>
        </w:rPr>
        <w:t>.</w:t>
      </w:r>
      <w:r w:rsidR="00BC5DF4" w:rsidRPr="00BC5DF4">
        <w:rPr>
          <w:rFonts w:ascii="Arial" w:hAnsi="Arial" w:cs="Arial"/>
          <w:color w:val="auto"/>
          <w:sz w:val="22"/>
          <w:szCs w:val="22"/>
        </w:rPr>
        <w:t>4</w:t>
      </w:r>
      <w:r w:rsidRPr="00BC5DF4">
        <w:rPr>
          <w:rFonts w:ascii="Arial" w:hAnsi="Arial" w:cs="Arial"/>
          <w:color w:val="auto"/>
          <w:sz w:val="22"/>
          <w:szCs w:val="22"/>
        </w:rPr>
        <w:t xml:space="preserve">00.000 kn, a ostvareni </w:t>
      </w:r>
      <w:r w:rsidR="00BC5DF4" w:rsidRPr="00BC5DF4">
        <w:rPr>
          <w:rFonts w:ascii="Arial" w:hAnsi="Arial" w:cs="Arial"/>
          <w:color w:val="auto"/>
          <w:sz w:val="22"/>
          <w:szCs w:val="22"/>
        </w:rPr>
        <w:t>37</w:t>
      </w:r>
      <w:r w:rsidR="00361E4F" w:rsidRPr="00BC5DF4">
        <w:rPr>
          <w:rFonts w:ascii="Arial" w:hAnsi="Arial" w:cs="Arial"/>
          <w:color w:val="auto"/>
          <w:sz w:val="22"/>
          <w:szCs w:val="22"/>
        </w:rPr>
        <w:t>.</w:t>
      </w:r>
      <w:r w:rsidR="00BC5DF4" w:rsidRPr="00BC5DF4">
        <w:rPr>
          <w:rFonts w:ascii="Arial" w:hAnsi="Arial" w:cs="Arial"/>
          <w:color w:val="auto"/>
          <w:sz w:val="22"/>
          <w:szCs w:val="22"/>
        </w:rPr>
        <w:t>033</w:t>
      </w:r>
      <w:r w:rsidR="00361E4F" w:rsidRPr="00BC5DF4">
        <w:rPr>
          <w:rFonts w:ascii="Arial" w:hAnsi="Arial" w:cs="Arial"/>
          <w:color w:val="auto"/>
          <w:sz w:val="22"/>
          <w:szCs w:val="22"/>
        </w:rPr>
        <w:t>.</w:t>
      </w:r>
      <w:r w:rsidR="00BC5DF4" w:rsidRPr="00BC5DF4">
        <w:rPr>
          <w:rFonts w:ascii="Arial" w:hAnsi="Arial" w:cs="Arial"/>
          <w:color w:val="auto"/>
          <w:sz w:val="22"/>
          <w:szCs w:val="22"/>
        </w:rPr>
        <w:t>302</w:t>
      </w:r>
      <w:r w:rsidRPr="00BC5DF4">
        <w:rPr>
          <w:rFonts w:ascii="Arial" w:hAnsi="Arial" w:cs="Arial"/>
          <w:color w:val="auto"/>
          <w:sz w:val="22"/>
          <w:szCs w:val="22"/>
        </w:rPr>
        <w:t xml:space="preserve"> kn, tj. </w:t>
      </w:r>
      <w:r w:rsidR="00DF7E7D" w:rsidRPr="00BC5DF4">
        <w:rPr>
          <w:rFonts w:ascii="Arial" w:hAnsi="Arial" w:cs="Arial"/>
          <w:color w:val="auto"/>
          <w:sz w:val="22"/>
          <w:szCs w:val="22"/>
        </w:rPr>
        <w:t>s</w:t>
      </w:r>
      <w:r w:rsidRPr="00BC5DF4">
        <w:rPr>
          <w:rFonts w:ascii="Arial" w:hAnsi="Arial" w:cs="Arial"/>
          <w:color w:val="auto"/>
          <w:sz w:val="22"/>
          <w:szCs w:val="22"/>
        </w:rPr>
        <w:t>a 4</w:t>
      </w:r>
      <w:r w:rsidR="00BC5DF4" w:rsidRPr="00BC5DF4">
        <w:rPr>
          <w:rFonts w:ascii="Arial" w:hAnsi="Arial" w:cs="Arial"/>
          <w:color w:val="auto"/>
          <w:sz w:val="22"/>
          <w:szCs w:val="22"/>
        </w:rPr>
        <w:t>6</w:t>
      </w:r>
      <w:r w:rsidRPr="00BC5DF4">
        <w:rPr>
          <w:rFonts w:ascii="Arial" w:hAnsi="Arial" w:cs="Arial"/>
          <w:color w:val="auto"/>
          <w:sz w:val="22"/>
          <w:szCs w:val="22"/>
        </w:rPr>
        <w:t>%.</w:t>
      </w:r>
    </w:p>
    <w:p w:rsidR="000A3046" w:rsidRPr="00AD69EB" w:rsidRDefault="000A3046" w:rsidP="001679F1">
      <w:pPr>
        <w:pStyle w:val="BodyText"/>
        <w:rPr>
          <w:rFonts w:ascii="Arial" w:hAnsi="Arial" w:cs="Arial"/>
          <w:color w:val="auto"/>
          <w:sz w:val="22"/>
          <w:szCs w:val="22"/>
          <w:highlight w:val="yellow"/>
        </w:rPr>
      </w:pPr>
    </w:p>
    <w:p w:rsidR="009767D4" w:rsidRPr="0088102F" w:rsidRDefault="004D48FA" w:rsidP="001679F1">
      <w:pPr>
        <w:pStyle w:val="BodyText"/>
        <w:rPr>
          <w:rFonts w:ascii="Arial" w:hAnsi="Arial" w:cs="Arial"/>
          <w:color w:val="auto"/>
          <w:sz w:val="22"/>
          <w:szCs w:val="22"/>
        </w:rPr>
      </w:pPr>
      <w:r w:rsidRPr="0088102F">
        <w:rPr>
          <w:rFonts w:ascii="Arial" w:hAnsi="Arial" w:cs="Arial"/>
          <w:color w:val="auto"/>
          <w:sz w:val="22"/>
          <w:szCs w:val="22"/>
        </w:rPr>
        <w:t>Komunalni doprino</w:t>
      </w:r>
      <w:r w:rsidR="00D65E23" w:rsidRPr="0088102F">
        <w:rPr>
          <w:rFonts w:ascii="Arial" w:hAnsi="Arial" w:cs="Arial"/>
          <w:color w:val="auto"/>
          <w:sz w:val="22"/>
          <w:szCs w:val="22"/>
        </w:rPr>
        <w:t>s</w:t>
      </w:r>
      <w:r w:rsidR="00166C72" w:rsidRPr="0088102F">
        <w:rPr>
          <w:rFonts w:ascii="Arial" w:hAnsi="Arial" w:cs="Arial"/>
          <w:color w:val="auto"/>
          <w:sz w:val="22"/>
          <w:szCs w:val="22"/>
        </w:rPr>
        <w:t>namjenski je prihod za financiranje građenja objekata i uređaja komunalne infrastrukture, a plaća ga vlasnik građevne čestice na kojoj se gradi građevina</w:t>
      </w:r>
      <w:r w:rsidR="00FE59CE" w:rsidRPr="0088102F">
        <w:rPr>
          <w:rFonts w:ascii="Arial" w:hAnsi="Arial" w:cs="Arial"/>
          <w:color w:val="auto"/>
          <w:sz w:val="22"/>
          <w:szCs w:val="22"/>
        </w:rPr>
        <w:t>,</w:t>
      </w:r>
      <w:r w:rsidR="00166C72" w:rsidRPr="0088102F">
        <w:rPr>
          <w:rFonts w:ascii="Arial" w:hAnsi="Arial" w:cs="Arial"/>
          <w:color w:val="auto"/>
          <w:sz w:val="22"/>
          <w:szCs w:val="22"/>
        </w:rPr>
        <w:t xml:space="preserve">  odnosno investitor. </w:t>
      </w:r>
    </w:p>
    <w:p w:rsidR="00C23476" w:rsidRPr="0088102F" w:rsidRDefault="00166C72" w:rsidP="001679F1">
      <w:pPr>
        <w:pStyle w:val="BodyText"/>
        <w:rPr>
          <w:rFonts w:ascii="Arial" w:hAnsi="Arial" w:cs="Arial"/>
          <w:color w:val="FF0000"/>
          <w:sz w:val="22"/>
          <w:szCs w:val="22"/>
        </w:rPr>
      </w:pPr>
      <w:r w:rsidRPr="0088102F">
        <w:rPr>
          <w:rFonts w:ascii="Arial" w:hAnsi="Arial" w:cs="Arial"/>
          <w:color w:val="auto"/>
          <w:sz w:val="22"/>
          <w:szCs w:val="22"/>
        </w:rPr>
        <w:t xml:space="preserve">U prvom polugodištu </w:t>
      </w:r>
      <w:r w:rsidR="004D48FA" w:rsidRPr="0088102F">
        <w:rPr>
          <w:rFonts w:ascii="Arial" w:hAnsi="Arial" w:cs="Arial"/>
          <w:color w:val="auto"/>
          <w:sz w:val="22"/>
          <w:szCs w:val="22"/>
        </w:rPr>
        <w:t>ostvaren</w:t>
      </w:r>
      <w:r w:rsidRPr="0088102F">
        <w:rPr>
          <w:rFonts w:ascii="Arial" w:hAnsi="Arial" w:cs="Arial"/>
          <w:color w:val="auto"/>
          <w:sz w:val="22"/>
          <w:szCs w:val="22"/>
        </w:rPr>
        <w:t xml:space="preserve">je </w:t>
      </w:r>
      <w:r w:rsidR="004D48FA" w:rsidRPr="0088102F">
        <w:rPr>
          <w:rFonts w:ascii="Arial" w:hAnsi="Arial" w:cs="Arial"/>
          <w:color w:val="auto"/>
          <w:sz w:val="22"/>
          <w:szCs w:val="22"/>
        </w:rPr>
        <w:t>iznos</w:t>
      </w:r>
      <w:r w:rsidRPr="0088102F">
        <w:rPr>
          <w:rFonts w:ascii="Arial" w:hAnsi="Arial" w:cs="Arial"/>
          <w:color w:val="auto"/>
          <w:sz w:val="22"/>
          <w:szCs w:val="22"/>
        </w:rPr>
        <w:t>i</w:t>
      </w:r>
      <w:r w:rsidR="00BC5DF4" w:rsidRPr="0088102F">
        <w:rPr>
          <w:rFonts w:ascii="Arial" w:hAnsi="Arial" w:cs="Arial"/>
          <w:color w:val="auto"/>
          <w:sz w:val="22"/>
          <w:szCs w:val="22"/>
        </w:rPr>
        <w:t>13</w:t>
      </w:r>
      <w:r w:rsidR="00B579D2" w:rsidRPr="0088102F">
        <w:rPr>
          <w:rFonts w:ascii="Arial" w:hAnsi="Arial" w:cs="Arial"/>
          <w:color w:val="auto"/>
          <w:sz w:val="22"/>
          <w:szCs w:val="22"/>
        </w:rPr>
        <w:t>.</w:t>
      </w:r>
      <w:r w:rsidR="00BC5DF4" w:rsidRPr="0088102F">
        <w:rPr>
          <w:rFonts w:ascii="Arial" w:hAnsi="Arial" w:cs="Arial"/>
          <w:color w:val="auto"/>
          <w:sz w:val="22"/>
          <w:szCs w:val="22"/>
        </w:rPr>
        <w:t>299</w:t>
      </w:r>
      <w:r w:rsidR="00B579D2" w:rsidRPr="0088102F">
        <w:rPr>
          <w:rFonts w:ascii="Arial" w:hAnsi="Arial" w:cs="Arial"/>
          <w:color w:val="auto"/>
          <w:sz w:val="22"/>
          <w:szCs w:val="22"/>
        </w:rPr>
        <w:t>.</w:t>
      </w:r>
      <w:r w:rsidR="00BC5DF4" w:rsidRPr="0088102F">
        <w:rPr>
          <w:rFonts w:ascii="Arial" w:hAnsi="Arial" w:cs="Arial"/>
          <w:color w:val="auto"/>
          <w:sz w:val="22"/>
          <w:szCs w:val="22"/>
        </w:rPr>
        <w:t>097</w:t>
      </w:r>
      <w:r w:rsidR="004D48FA" w:rsidRPr="0088102F">
        <w:rPr>
          <w:rFonts w:ascii="Arial" w:hAnsi="Arial" w:cs="Arial"/>
          <w:color w:val="auto"/>
          <w:sz w:val="22"/>
          <w:szCs w:val="22"/>
        </w:rPr>
        <w:t>kun</w:t>
      </w:r>
      <w:r w:rsidR="00B579D2" w:rsidRPr="0088102F">
        <w:rPr>
          <w:rFonts w:ascii="Arial" w:hAnsi="Arial" w:cs="Arial"/>
          <w:color w:val="auto"/>
          <w:sz w:val="22"/>
          <w:szCs w:val="22"/>
        </w:rPr>
        <w:t>a</w:t>
      </w:r>
      <w:r w:rsidR="00FE59CE" w:rsidRPr="0088102F">
        <w:rPr>
          <w:rFonts w:ascii="Arial" w:hAnsi="Arial" w:cs="Arial"/>
          <w:color w:val="auto"/>
          <w:sz w:val="22"/>
          <w:szCs w:val="22"/>
        </w:rPr>
        <w:t>,</w:t>
      </w:r>
      <w:r w:rsidR="004D48FA" w:rsidRPr="0088102F">
        <w:rPr>
          <w:rFonts w:ascii="Arial" w:hAnsi="Arial" w:cs="Arial"/>
          <w:color w:val="auto"/>
          <w:sz w:val="22"/>
          <w:szCs w:val="22"/>
        </w:rPr>
        <w:t xml:space="preserve"> što je</w:t>
      </w:r>
      <w:r w:rsidR="0088102F" w:rsidRPr="0088102F">
        <w:rPr>
          <w:rFonts w:ascii="Arial" w:hAnsi="Arial" w:cs="Arial"/>
          <w:color w:val="auto"/>
          <w:sz w:val="22"/>
          <w:szCs w:val="22"/>
        </w:rPr>
        <w:t>47</w:t>
      </w:r>
      <w:r w:rsidR="004D48FA" w:rsidRPr="0088102F">
        <w:rPr>
          <w:rFonts w:ascii="Arial" w:hAnsi="Arial" w:cs="Arial"/>
          <w:color w:val="auto"/>
          <w:sz w:val="22"/>
          <w:szCs w:val="22"/>
        </w:rPr>
        <w:t>% od ukupno planiranog</w:t>
      </w:r>
      <w:r w:rsidR="00FE59CE" w:rsidRPr="0088102F">
        <w:rPr>
          <w:rFonts w:ascii="Arial" w:hAnsi="Arial" w:cs="Arial"/>
          <w:color w:val="auto"/>
          <w:sz w:val="22"/>
          <w:szCs w:val="22"/>
        </w:rPr>
        <w:t xml:space="preserve"> godišnjeg iznosa</w:t>
      </w:r>
      <w:r w:rsidR="00691A14" w:rsidRPr="0088102F">
        <w:rPr>
          <w:rFonts w:ascii="Arial" w:hAnsi="Arial" w:cs="Arial"/>
          <w:color w:val="auto"/>
          <w:sz w:val="22"/>
          <w:szCs w:val="22"/>
        </w:rPr>
        <w:t>.</w:t>
      </w:r>
    </w:p>
    <w:p w:rsidR="0056755D" w:rsidRPr="0088102F" w:rsidRDefault="00124821" w:rsidP="00936FB5">
      <w:pPr>
        <w:pStyle w:val="BodyText"/>
        <w:rPr>
          <w:rFonts w:ascii="Arial" w:hAnsi="Arial" w:cs="Arial"/>
          <w:color w:val="auto"/>
          <w:sz w:val="22"/>
          <w:szCs w:val="22"/>
        </w:rPr>
      </w:pPr>
      <w:r w:rsidRPr="0088102F">
        <w:rPr>
          <w:rFonts w:ascii="Arial" w:hAnsi="Arial" w:cs="Arial"/>
          <w:color w:val="auto"/>
          <w:sz w:val="22"/>
          <w:szCs w:val="22"/>
        </w:rPr>
        <w:t xml:space="preserve">Komunalna naknadanamjenski je prihod, uplaćuje se mjesečno, a namjena je </w:t>
      </w:r>
      <w:r w:rsidR="00D65E23" w:rsidRPr="0088102F">
        <w:rPr>
          <w:rFonts w:ascii="Arial" w:hAnsi="Arial" w:cs="Arial"/>
          <w:color w:val="auto"/>
          <w:sz w:val="22"/>
          <w:szCs w:val="22"/>
        </w:rPr>
        <w:t xml:space="preserve">održavanje </w:t>
      </w:r>
      <w:r w:rsidRPr="0088102F">
        <w:rPr>
          <w:rFonts w:ascii="Arial" w:hAnsi="Arial" w:cs="Arial"/>
          <w:color w:val="auto"/>
          <w:sz w:val="22"/>
          <w:szCs w:val="22"/>
        </w:rPr>
        <w:t>odvodnj</w:t>
      </w:r>
      <w:r w:rsidR="00D65E23" w:rsidRPr="0088102F">
        <w:rPr>
          <w:rFonts w:ascii="Arial" w:hAnsi="Arial" w:cs="Arial"/>
          <w:color w:val="auto"/>
          <w:sz w:val="22"/>
          <w:szCs w:val="22"/>
        </w:rPr>
        <w:t>e</w:t>
      </w:r>
      <w:r w:rsidRPr="0088102F">
        <w:rPr>
          <w:rFonts w:ascii="Arial" w:hAnsi="Arial" w:cs="Arial"/>
          <w:color w:val="auto"/>
          <w:sz w:val="22"/>
          <w:szCs w:val="22"/>
        </w:rPr>
        <w:t xml:space="preserve"> atmosf</w:t>
      </w:r>
      <w:r w:rsidR="00D65E23" w:rsidRPr="0088102F">
        <w:rPr>
          <w:rFonts w:ascii="Arial" w:hAnsi="Arial" w:cs="Arial"/>
          <w:color w:val="auto"/>
          <w:sz w:val="22"/>
          <w:szCs w:val="22"/>
        </w:rPr>
        <w:t>erskih voda, održavanje čistoće</w:t>
      </w:r>
      <w:r w:rsidRPr="0088102F">
        <w:rPr>
          <w:rFonts w:ascii="Arial" w:hAnsi="Arial" w:cs="Arial"/>
          <w:color w:val="auto"/>
          <w:sz w:val="22"/>
          <w:szCs w:val="22"/>
        </w:rPr>
        <w:t xml:space="preserve"> javnih površina, nerazvrstanih cesta, groblja</w:t>
      </w:r>
      <w:r w:rsidR="00C33A22" w:rsidRPr="0088102F">
        <w:rPr>
          <w:rFonts w:ascii="Arial" w:hAnsi="Arial" w:cs="Arial"/>
          <w:color w:val="auto"/>
          <w:sz w:val="22"/>
          <w:szCs w:val="22"/>
        </w:rPr>
        <w:t>,</w:t>
      </w:r>
      <w:r w:rsidRPr="0088102F">
        <w:rPr>
          <w:rFonts w:ascii="Arial" w:hAnsi="Arial" w:cs="Arial"/>
          <w:color w:val="auto"/>
          <w:sz w:val="22"/>
          <w:szCs w:val="22"/>
        </w:rPr>
        <w:t xml:space="preserve"> te javne rasvjete. </w:t>
      </w:r>
      <w:r w:rsidR="00585FE3" w:rsidRPr="0088102F">
        <w:rPr>
          <w:rFonts w:ascii="Arial" w:hAnsi="Arial" w:cs="Arial"/>
          <w:color w:val="auto"/>
          <w:sz w:val="22"/>
          <w:szCs w:val="22"/>
        </w:rPr>
        <w:t>P</w:t>
      </w:r>
      <w:r w:rsidRPr="0088102F">
        <w:rPr>
          <w:rFonts w:ascii="Arial" w:hAnsi="Arial" w:cs="Arial"/>
          <w:color w:val="auto"/>
          <w:sz w:val="22"/>
          <w:szCs w:val="22"/>
        </w:rPr>
        <w:t xml:space="preserve">rihod </w:t>
      </w:r>
      <w:r w:rsidR="00FD05AD" w:rsidRPr="0088102F">
        <w:rPr>
          <w:rFonts w:ascii="Arial" w:hAnsi="Arial" w:cs="Arial"/>
          <w:color w:val="auto"/>
          <w:sz w:val="22"/>
          <w:szCs w:val="22"/>
        </w:rPr>
        <w:t>o</w:t>
      </w:r>
      <w:r w:rsidR="00585FE3" w:rsidRPr="0088102F">
        <w:rPr>
          <w:rFonts w:ascii="Arial" w:hAnsi="Arial" w:cs="Arial"/>
          <w:color w:val="auto"/>
          <w:sz w:val="22"/>
          <w:szCs w:val="22"/>
        </w:rPr>
        <w:t>d</w:t>
      </w:r>
      <w:r w:rsidR="00FD05AD" w:rsidRPr="0088102F">
        <w:rPr>
          <w:rFonts w:ascii="Arial" w:hAnsi="Arial" w:cs="Arial"/>
          <w:color w:val="auto"/>
          <w:sz w:val="22"/>
          <w:szCs w:val="22"/>
        </w:rPr>
        <w:t xml:space="preserve"> komunalne</w:t>
      </w:r>
      <w:r w:rsidR="004D48FA" w:rsidRPr="0088102F">
        <w:rPr>
          <w:rFonts w:ascii="Arial" w:hAnsi="Arial" w:cs="Arial"/>
          <w:color w:val="auto"/>
          <w:sz w:val="22"/>
          <w:szCs w:val="22"/>
        </w:rPr>
        <w:t xml:space="preserve"> naknad</w:t>
      </w:r>
      <w:r w:rsidR="00FD05AD" w:rsidRPr="0088102F">
        <w:rPr>
          <w:rFonts w:ascii="Arial" w:hAnsi="Arial" w:cs="Arial"/>
          <w:color w:val="auto"/>
          <w:sz w:val="22"/>
          <w:szCs w:val="22"/>
        </w:rPr>
        <w:t xml:space="preserve">e </w:t>
      </w:r>
      <w:r w:rsidR="00D65E23" w:rsidRPr="0088102F">
        <w:rPr>
          <w:rFonts w:ascii="Arial" w:hAnsi="Arial" w:cs="Arial"/>
          <w:color w:val="auto"/>
          <w:sz w:val="22"/>
          <w:szCs w:val="22"/>
        </w:rPr>
        <w:t xml:space="preserve">ostvaren je u iznosu od </w:t>
      </w:r>
      <w:r w:rsidR="0094536B" w:rsidRPr="0088102F">
        <w:rPr>
          <w:rFonts w:ascii="Arial" w:hAnsi="Arial" w:cs="Arial"/>
          <w:color w:val="auto"/>
          <w:sz w:val="22"/>
          <w:szCs w:val="22"/>
        </w:rPr>
        <w:t>2</w:t>
      </w:r>
      <w:r w:rsidR="00BC5DF4" w:rsidRPr="0088102F">
        <w:rPr>
          <w:rFonts w:ascii="Arial" w:hAnsi="Arial" w:cs="Arial"/>
          <w:color w:val="auto"/>
          <w:sz w:val="22"/>
          <w:szCs w:val="22"/>
        </w:rPr>
        <w:t>3</w:t>
      </w:r>
      <w:r w:rsidR="00635897" w:rsidRPr="0088102F">
        <w:rPr>
          <w:rFonts w:ascii="Arial" w:hAnsi="Arial" w:cs="Arial"/>
          <w:color w:val="auto"/>
          <w:sz w:val="22"/>
          <w:szCs w:val="22"/>
        </w:rPr>
        <w:t>.</w:t>
      </w:r>
      <w:r w:rsidR="0094536B" w:rsidRPr="0088102F">
        <w:rPr>
          <w:rFonts w:ascii="Arial" w:hAnsi="Arial" w:cs="Arial"/>
          <w:color w:val="auto"/>
          <w:sz w:val="22"/>
          <w:szCs w:val="22"/>
        </w:rPr>
        <w:t>73</w:t>
      </w:r>
      <w:r w:rsidR="00BC5DF4" w:rsidRPr="0088102F">
        <w:rPr>
          <w:rFonts w:ascii="Arial" w:hAnsi="Arial" w:cs="Arial"/>
          <w:color w:val="auto"/>
          <w:sz w:val="22"/>
          <w:szCs w:val="22"/>
        </w:rPr>
        <w:t>4</w:t>
      </w:r>
      <w:r w:rsidR="00635897" w:rsidRPr="0088102F">
        <w:rPr>
          <w:rFonts w:ascii="Arial" w:hAnsi="Arial" w:cs="Arial"/>
          <w:color w:val="auto"/>
          <w:sz w:val="22"/>
          <w:szCs w:val="22"/>
        </w:rPr>
        <w:t>.</w:t>
      </w:r>
      <w:r w:rsidR="0088102F" w:rsidRPr="0088102F">
        <w:rPr>
          <w:rFonts w:ascii="Arial" w:hAnsi="Arial" w:cs="Arial"/>
          <w:color w:val="auto"/>
          <w:sz w:val="22"/>
          <w:szCs w:val="22"/>
        </w:rPr>
        <w:t>204</w:t>
      </w:r>
      <w:r w:rsidR="00474F47" w:rsidRPr="0088102F">
        <w:rPr>
          <w:rFonts w:ascii="Arial" w:hAnsi="Arial" w:cs="Arial"/>
          <w:color w:val="auto"/>
          <w:sz w:val="22"/>
          <w:szCs w:val="22"/>
        </w:rPr>
        <w:t xml:space="preserve"> kuna, odnosno 4</w:t>
      </w:r>
      <w:r w:rsidR="0088102F" w:rsidRPr="0088102F">
        <w:rPr>
          <w:rFonts w:ascii="Arial" w:hAnsi="Arial" w:cs="Arial"/>
          <w:color w:val="auto"/>
          <w:sz w:val="22"/>
          <w:szCs w:val="22"/>
        </w:rPr>
        <w:t>7</w:t>
      </w:r>
      <w:r w:rsidR="00474F47" w:rsidRPr="0088102F">
        <w:rPr>
          <w:rFonts w:ascii="Arial" w:hAnsi="Arial" w:cs="Arial"/>
          <w:color w:val="auto"/>
          <w:sz w:val="22"/>
          <w:szCs w:val="22"/>
        </w:rPr>
        <w:t>% od godišnjeg planiranog iznosa</w:t>
      </w:r>
      <w:r w:rsidR="00D65E23" w:rsidRPr="0088102F">
        <w:rPr>
          <w:rFonts w:ascii="Arial" w:hAnsi="Arial" w:cs="Arial"/>
          <w:color w:val="auto"/>
          <w:sz w:val="22"/>
          <w:szCs w:val="22"/>
        </w:rPr>
        <w:t xml:space="preserve">, </w:t>
      </w:r>
      <w:r w:rsidR="00F3471B">
        <w:rPr>
          <w:rFonts w:ascii="Arial" w:hAnsi="Arial" w:cs="Arial"/>
          <w:color w:val="auto"/>
          <w:sz w:val="22"/>
          <w:szCs w:val="22"/>
        </w:rPr>
        <w:t xml:space="preserve">te je </w:t>
      </w:r>
      <w:r w:rsidR="00635897" w:rsidRPr="0088102F">
        <w:rPr>
          <w:rFonts w:ascii="Arial" w:hAnsi="Arial" w:cs="Arial"/>
          <w:color w:val="auto"/>
          <w:sz w:val="22"/>
          <w:szCs w:val="22"/>
        </w:rPr>
        <w:t xml:space="preserve">za </w:t>
      </w:r>
      <w:r w:rsidR="0088102F" w:rsidRPr="0088102F">
        <w:rPr>
          <w:rFonts w:ascii="Arial" w:hAnsi="Arial" w:cs="Arial"/>
          <w:color w:val="auto"/>
          <w:sz w:val="22"/>
          <w:szCs w:val="22"/>
        </w:rPr>
        <w:t>2</w:t>
      </w:r>
      <w:r w:rsidR="00635897" w:rsidRPr="0088102F">
        <w:rPr>
          <w:rFonts w:ascii="Arial" w:hAnsi="Arial" w:cs="Arial"/>
          <w:color w:val="auto"/>
          <w:sz w:val="22"/>
          <w:szCs w:val="22"/>
        </w:rPr>
        <w:t>.</w:t>
      </w:r>
      <w:r w:rsidR="0088102F" w:rsidRPr="0088102F">
        <w:rPr>
          <w:rFonts w:ascii="Arial" w:hAnsi="Arial" w:cs="Arial"/>
          <w:color w:val="auto"/>
          <w:sz w:val="22"/>
          <w:szCs w:val="22"/>
        </w:rPr>
        <w:t>002</w:t>
      </w:r>
      <w:r w:rsidR="00635897" w:rsidRPr="0088102F">
        <w:rPr>
          <w:rFonts w:ascii="Arial" w:hAnsi="Arial" w:cs="Arial"/>
          <w:color w:val="auto"/>
          <w:sz w:val="22"/>
          <w:szCs w:val="22"/>
        </w:rPr>
        <w:t>.</w:t>
      </w:r>
      <w:r w:rsidR="0088102F" w:rsidRPr="0088102F">
        <w:rPr>
          <w:rFonts w:ascii="Arial" w:hAnsi="Arial" w:cs="Arial"/>
          <w:color w:val="auto"/>
          <w:sz w:val="22"/>
          <w:szCs w:val="22"/>
        </w:rPr>
        <w:t>501</w:t>
      </w:r>
      <w:r w:rsidR="00635897" w:rsidRPr="0088102F">
        <w:rPr>
          <w:rFonts w:ascii="Arial" w:hAnsi="Arial" w:cs="Arial"/>
          <w:color w:val="auto"/>
          <w:sz w:val="22"/>
          <w:szCs w:val="22"/>
        </w:rPr>
        <w:t xml:space="preserve"> kune</w:t>
      </w:r>
      <w:r w:rsidR="00FB09F3" w:rsidRPr="0088102F">
        <w:rPr>
          <w:rFonts w:ascii="Arial" w:hAnsi="Arial" w:cs="Arial"/>
          <w:color w:val="auto"/>
          <w:sz w:val="22"/>
          <w:szCs w:val="22"/>
        </w:rPr>
        <w:t xml:space="preserve"> naplaćeno</w:t>
      </w:r>
      <w:r w:rsidR="00635897" w:rsidRPr="0088102F">
        <w:rPr>
          <w:rFonts w:ascii="Arial" w:hAnsi="Arial" w:cs="Arial"/>
          <w:color w:val="auto"/>
          <w:sz w:val="22"/>
          <w:szCs w:val="22"/>
        </w:rPr>
        <w:t xml:space="preserve"> više</w:t>
      </w:r>
      <w:r w:rsidR="00F3471B">
        <w:rPr>
          <w:rFonts w:ascii="Arial" w:hAnsi="Arial" w:cs="Arial"/>
          <w:color w:val="auto"/>
          <w:sz w:val="22"/>
          <w:szCs w:val="22"/>
        </w:rPr>
        <w:t xml:space="preserve"> prihoda po ovoj osnovi</w:t>
      </w:r>
      <w:r w:rsidR="00635897" w:rsidRPr="0088102F">
        <w:rPr>
          <w:rFonts w:ascii="Arial" w:hAnsi="Arial" w:cs="Arial"/>
          <w:color w:val="auto"/>
          <w:sz w:val="22"/>
          <w:szCs w:val="22"/>
        </w:rPr>
        <w:t xml:space="preserve"> nego u istom razdoblju za 201</w:t>
      </w:r>
      <w:r w:rsidR="0088102F" w:rsidRPr="0088102F">
        <w:rPr>
          <w:rFonts w:ascii="Arial" w:hAnsi="Arial" w:cs="Arial"/>
          <w:color w:val="auto"/>
          <w:sz w:val="22"/>
          <w:szCs w:val="22"/>
        </w:rPr>
        <w:t>8</w:t>
      </w:r>
      <w:r w:rsidR="00635897" w:rsidRPr="0088102F">
        <w:rPr>
          <w:rFonts w:ascii="Arial" w:hAnsi="Arial" w:cs="Arial"/>
          <w:color w:val="auto"/>
          <w:sz w:val="22"/>
          <w:szCs w:val="22"/>
        </w:rPr>
        <w:t>. godinu.</w:t>
      </w:r>
    </w:p>
    <w:p w:rsidR="006534B7" w:rsidRPr="00AD69EB" w:rsidRDefault="006534B7" w:rsidP="00852002">
      <w:pPr>
        <w:pStyle w:val="BodyText"/>
        <w:rPr>
          <w:rFonts w:ascii="Arial" w:hAnsi="Arial" w:cs="Arial"/>
          <w:color w:val="FF0000"/>
          <w:sz w:val="22"/>
          <w:szCs w:val="22"/>
          <w:highlight w:val="yellow"/>
        </w:rPr>
      </w:pPr>
    </w:p>
    <w:p w:rsidR="001776A6" w:rsidRPr="00AD69EB" w:rsidRDefault="001776A6" w:rsidP="00852002">
      <w:pPr>
        <w:pStyle w:val="BodyText"/>
        <w:rPr>
          <w:rFonts w:ascii="Arial" w:hAnsi="Arial" w:cs="Arial"/>
          <w:b/>
          <w:color w:val="auto"/>
          <w:sz w:val="22"/>
          <w:szCs w:val="22"/>
          <w:highlight w:val="yellow"/>
        </w:rPr>
      </w:pPr>
    </w:p>
    <w:p w:rsidR="006534B7" w:rsidRPr="009A6244" w:rsidRDefault="006534B7" w:rsidP="00852002">
      <w:pPr>
        <w:pStyle w:val="BodyText"/>
        <w:rPr>
          <w:rFonts w:ascii="Arial" w:hAnsi="Arial" w:cs="Arial"/>
          <w:color w:val="auto"/>
          <w:sz w:val="22"/>
          <w:szCs w:val="22"/>
        </w:rPr>
      </w:pPr>
      <w:r w:rsidRPr="00931B45">
        <w:rPr>
          <w:rFonts w:ascii="Arial" w:hAnsi="Arial" w:cs="Arial"/>
          <w:b/>
          <w:color w:val="auto"/>
          <w:sz w:val="22"/>
          <w:szCs w:val="22"/>
        </w:rPr>
        <w:t xml:space="preserve">Ostali prihodi </w:t>
      </w:r>
      <w:r w:rsidRPr="00931B45">
        <w:rPr>
          <w:rFonts w:ascii="Arial" w:hAnsi="Arial" w:cs="Arial"/>
          <w:color w:val="auto"/>
          <w:sz w:val="22"/>
          <w:szCs w:val="22"/>
        </w:rPr>
        <w:t xml:space="preserve">proračuna Grada Dubrovnika u ovom razdoblju ostvareni su sa </w:t>
      </w:r>
      <w:r w:rsidR="00931B45" w:rsidRPr="00931B45">
        <w:rPr>
          <w:rFonts w:ascii="Arial" w:hAnsi="Arial" w:cs="Arial"/>
          <w:color w:val="auto"/>
          <w:sz w:val="22"/>
          <w:szCs w:val="22"/>
        </w:rPr>
        <w:t>6</w:t>
      </w:r>
      <w:r w:rsidRPr="00931B45">
        <w:rPr>
          <w:rFonts w:ascii="Arial" w:hAnsi="Arial" w:cs="Arial"/>
          <w:color w:val="auto"/>
          <w:sz w:val="22"/>
          <w:szCs w:val="22"/>
        </w:rPr>
        <w:t>.</w:t>
      </w:r>
      <w:r w:rsidR="00931B45" w:rsidRPr="00931B45">
        <w:rPr>
          <w:rFonts w:ascii="Arial" w:hAnsi="Arial" w:cs="Arial"/>
          <w:color w:val="auto"/>
          <w:sz w:val="22"/>
          <w:szCs w:val="22"/>
        </w:rPr>
        <w:t>751</w:t>
      </w:r>
      <w:r w:rsidRPr="00931B45">
        <w:rPr>
          <w:rFonts w:ascii="Arial" w:hAnsi="Arial" w:cs="Arial"/>
          <w:color w:val="auto"/>
          <w:sz w:val="22"/>
          <w:szCs w:val="22"/>
        </w:rPr>
        <w:t>.</w:t>
      </w:r>
      <w:r w:rsidR="00931B45" w:rsidRPr="00931B45">
        <w:rPr>
          <w:rFonts w:ascii="Arial" w:hAnsi="Arial" w:cs="Arial"/>
          <w:color w:val="auto"/>
          <w:sz w:val="22"/>
          <w:szCs w:val="22"/>
        </w:rPr>
        <w:t>828</w:t>
      </w:r>
      <w:r w:rsidRPr="00931B45">
        <w:rPr>
          <w:rFonts w:ascii="Arial" w:hAnsi="Arial" w:cs="Arial"/>
          <w:color w:val="auto"/>
          <w:sz w:val="22"/>
          <w:szCs w:val="22"/>
        </w:rPr>
        <w:t xml:space="preserve"> kuna, a sastoje se </w:t>
      </w:r>
      <w:r w:rsidR="00722662">
        <w:rPr>
          <w:rFonts w:ascii="Arial" w:hAnsi="Arial" w:cs="Arial"/>
          <w:color w:val="auto"/>
          <w:sz w:val="22"/>
          <w:szCs w:val="22"/>
        </w:rPr>
        <w:t>(</w:t>
      </w:r>
      <w:r w:rsidRPr="00931B45">
        <w:rPr>
          <w:rFonts w:ascii="Arial" w:hAnsi="Arial" w:cs="Arial"/>
          <w:color w:val="auto"/>
          <w:sz w:val="22"/>
          <w:szCs w:val="22"/>
        </w:rPr>
        <w:t>većim djelom</w:t>
      </w:r>
      <w:r w:rsidR="00722662">
        <w:rPr>
          <w:rFonts w:ascii="Arial" w:hAnsi="Arial" w:cs="Arial"/>
          <w:color w:val="auto"/>
          <w:sz w:val="22"/>
          <w:szCs w:val="22"/>
        </w:rPr>
        <w:t>)</w:t>
      </w:r>
      <w:r w:rsidRPr="00931B45">
        <w:rPr>
          <w:rFonts w:ascii="Arial" w:hAnsi="Arial" w:cs="Arial"/>
          <w:color w:val="auto"/>
          <w:sz w:val="22"/>
          <w:szCs w:val="22"/>
        </w:rPr>
        <w:t xml:space="preserve"> od donacija (</w:t>
      </w:r>
      <w:r w:rsidR="00931B45" w:rsidRPr="00931B45">
        <w:rPr>
          <w:rFonts w:ascii="Arial" w:hAnsi="Arial" w:cs="Arial"/>
          <w:color w:val="auto"/>
          <w:sz w:val="22"/>
          <w:szCs w:val="22"/>
        </w:rPr>
        <w:t>4</w:t>
      </w:r>
      <w:r w:rsidRPr="00931B45">
        <w:rPr>
          <w:rFonts w:ascii="Arial" w:hAnsi="Arial" w:cs="Arial"/>
          <w:color w:val="auto"/>
          <w:sz w:val="22"/>
          <w:szCs w:val="22"/>
        </w:rPr>
        <w:t>.</w:t>
      </w:r>
      <w:r w:rsidR="00931B45" w:rsidRPr="00931B45">
        <w:rPr>
          <w:rFonts w:ascii="Arial" w:hAnsi="Arial" w:cs="Arial"/>
          <w:color w:val="auto"/>
          <w:sz w:val="22"/>
          <w:szCs w:val="22"/>
        </w:rPr>
        <w:t>395</w:t>
      </w:r>
      <w:r w:rsidRPr="00931B45">
        <w:rPr>
          <w:rFonts w:ascii="Arial" w:hAnsi="Arial" w:cs="Arial"/>
          <w:color w:val="auto"/>
          <w:sz w:val="22"/>
          <w:szCs w:val="22"/>
        </w:rPr>
        <w:t>.</w:t>
      </w:r>
      <w:r w:rsidR="00931B45" w:rsidRPr="00931B45">
        <w:rPr>
          <w:rFonts w:ascii="Arial" w:hAnsi="Arial" w:cs="Arial"/>
          <w:color w:val="auto"/>
          <w:sz w:val="22"/>
          <w:szCs w:val="22"/>
        </w:rPr>
        <w:t>637</w:t>
      </w:r>
      <w:r w:rsidRPr="00931B45">
        <w:rPr>
          <w:rFonts w:ascii="Arial" w:hAnsi="Arial" w:cs="Arial"/>
          <w:color w:val="auto"/>
          <w:sz w:val="22"/>
          <w:szCs w:val="22"/>
        </w:rPr>
        <w:t xml:space="preserve"> kuna) te prihoda proračuna koje proračun i proračunski korisnici ostvaruju obavlj</w:t>
      </w:r>
      <w:r w:rsidR="0028736E" w:rsidRPr="00931B45">
        <w:rPr>
          <w:rFonts w:ascii="Arial" w:hAnsi="Arial" w:cs="Arial"/>
          <w:color w:val="auto"/>
          <w:sz w:val="22"/>
          <w:szCs w:val="22"/>
        </w:rPr>
        <w:t>a</w:t>
      </w:r>
      <w:r w:rsidRPr="00931B45">
        <w:rPr>
          <w:rFonts w:ascii="Arial" w:hAnsi="Arial" w:cs="Arial"/>
          <w:color w:val="auto"/>
          <w:sz w:val="22"/>
          <w:szCs w:val="22"/>
        </w:rPr>
        <w:t>njem poslova na tržištu</w:t>
      </w:r>
      <w:r w:rsidR="0028736E" w:rsidRPr="009A6244">
        <w:rPr>
          <w:rFonts w:ascii="Arial" w:hAnsi="Arial" w:cs="Arial"/>
          <w:color w:val="auto"/>
          <w:sz w:val="22"/>
          <w:szCs w:val="22"/>
        </w:rPr>
        <w:t>(</w:t>
      </w:r>
      <w:r w:rsidR="00931B45">
        <w:rPr>
          <w:rFonts w:ascii="Arial" w:hAnsi="Arial" w:cs="Arial"/>
          <w:color w:val="auto"/>
          <w:sz w:val="22"/>
          <w:szCs w:val="22"/>
        </w:rPr>
        <w:t>2</w:t>
      </w:r>
      <w:r w:rsidR="0028736E" w:rsidRPr="009A6244">
        <w:rPr>
          <w:rFonts w:ascii="Arial" w:hAnsi="Arial" w:cs="Arial"/>
          <w:color w:val="auto"/>
          <w:sz w:val="22"/>
          <w:szCs w:val="22"/>
        </w:rPr>
        <w:t>.</w:t>
      </w:r>
      <w:r w:rsidR="00931B45">
        <w:rPr>
          <w:rFonts w:ascii="Arial" w:hAnsi="Arial" w:cs="Arial"/>
          <w:color w:val="auto"/>
          <w:sz w:val="22"/>
          <w:szCs w:val="22"/>
        </w:rPr>
        <w:t>356</w:t>
      </w:r>
      <w:r w:rsidR="0028736E" w:rsidRPr="009A6244">
        <w:rPr>
          <w:rFonts w:ascii="Arial" w:hAnsi="Arial" w:cs="Arial"/>
          <w:color w:val="auto"/>
          <w:sz w:val="22"/>
          <w:szCs w:val="22"/>
        </w:rPr>
        <w:t>.</w:t>
      </w:r>
      <w:r w:rsidR="00931B45">
        <w:rPr>
          <w:rFonts w:ascii="Arial" w:hAnsi="Arial" w:cs="Arial"/>
          <w:color w:val="auto"/>
          <w:sz w:val="22"/>
          <w:szCs w:val="22"/>
        </w:rPr>
        <w:t>191</w:t>
      </w:r>
      <w:r w:rsidR="0028736E" w:rsidRPr="009A6244">
        <w:rPr>
          <w:rFonts w:ascii="Arial" w:hAnsi="Arial" w:cs="Arial"/>
          <w:color w:val="auto"/>
          <w:sz w:val="22"/>
          <w:szCs w:val="22"/>
        </w:rPr>
        <w:t xml:space="preserve"> kuna)</w:t>
      </w:r>
    </w:p>
    <w:p w:rsidR="0028736E" w:rsidRPr="009A6244" w:rsidRDefault="0028736E" w:rsidP="00852002">
      <w:pPr>
        <w:pStyle w:val="BodyText"/>
        <w:rPr>
          <w:rFonts w:ascii="Arial" w:hAnsi="Arial" w:cs="Arial"/>
          <w:color w:val="auto"/>
          <w:sz w:val="22"/>
          <w:szCs w:val="22"/>
        </w:rPr>
      </w:pPr>
    </w:p>
    <w:p w:rsidR="006534B7" w:rsidRDefault="0028736E" w:rsidP="00852002">
      <w:pPr>
        <w:pStyle w:val="BodyText"/>
        <w:rPr>
          <w:rFonts w:ascii="Arial" w:hAnsi="Arial" w:cs="Arial"/>
          <w:color w:val="auto"/>
          <w:sz w:val="22"/>
          <w:szCs w:val="22"/>
        </w:rPr>
      </w:pPr>
      <w:r w:rsidRPr="009A6244">
        <w:rPr>
          <w:rFonts w:ascii="Arial" w:hAnsi="Arial" w:cs="Arial"/>
          <w:b/>
          <w:color w:val="auto"/>
          <w:sz w:val="22"/>
          <w:szCs w:val="22"/>
        </w:rPr>
        <w:t xml:space="preserve">Kazne, upravne mjere i ostali prihodi </w:t>
      </w:r>
      <w:r w:rsidRPr="009A6244">
        <w:rPr>
          <w:rFonts w:ascii="Arial" w:hAnsi="Arial" w:cs="Arial"/>
          <w:color w:val="auto"/>
          <w:sz w:val="22"/>
          <w:szCs w:val="22"/>
        </w:rPr>
        <w:t>ostvareni su u iznosu od 1.</w:t>
      </w:r>
      <w:r w:rsidR="00931B45">
        <w:rPr>
          <w:rFonts w:ascii="Arial" w:hAnsi="Arial" w:cs="Arial"/>
          <w:color w:val="auto"/>
          <w:sz w:val="22"/>
          <w:szCs w:val="22"/>
        </w:rPr>
        <w:t>600</w:t>
      </w:r>
      <w:r w:rsidRPr="009A6244">
        <w:rPr>
          <w:rFonts w:ascii="Arial" w:hAnsi="Arial" w:cs="Arial"/>
          <w:color w:val="auto"/>
          <w:sz w:val="22"/>
          <w:szCs w:val="22"/>
        </w:rPr>
        <w:t>.</w:t>
      </w:r>
      <w:r w:rsidR="00931B45">
        <w:rPr>
          <w:rFonts w:ascii="Arial" w:hAnsi="Arial" w:cs="Arial"/>
          <w:color w:val="auto"/>
          <w:sz w:val="22"/>
          <w:szCs w:val="22"/>
        </w:rPr>
        <w:t>6</w:t>
      </w:r>
      <w:r w:rsidRPr="009A6244">
        <w:rPr>
          <w:rFonts w:ascii="Arial" w:hAnsi="Arial" w:cs="Arial"/>
          <w:color w:val="auto"/>
          <w:sz w:val="22"/>
          <w:szCs w:val="22"/>
        </w:rPr>
        <w:t xml:space="preserve">95 kuna što je </w:t>
      </w:r>
      <w:r w:rsidR="00931B45">
        <w:rPr>
          <w:rFonts w:ascii="Arial" w:hAnsi="Arial" w:cs="Arial"/>
          <w:color w:val="auto"/>
          <w:sz w:val="22"/>
          <w:szCs w:val="22"/>
        </w:rPr>
        <w:t>50</w:t>
      </w:r>
      <w:r w:rsidRPr="009A6244">
        <w:rPr>
          <w:rFonts w:ascii="Arial" w:hAnsi="Arial" w:cs="Arial"/>
          <w:color w:val="auto"/>
          <w:sz w:val="22"/>
          <w:szCs w:val="22"/>
        </w:rPr>
        <w:t>% planiranog iznosa</w:t>
      </w:r>
    </w:p>
    <w:p w:rsidR="006B24EE" w:rsidRDefault="006B24EE" w:rsidP="00852002">
      <w:pPr>
        <w:pStyle w:val="BodyText"/>
        <w:rPr>
          <w:rFonts w:ascii="Arial" w:hAnsi="Arial" w:cs="Arial"/>
          <w:b/>
          <w:color w:val="auto"/>
          <w:sz w:val="22"/>
          <w:szCs w:val="22"/>
        </w:rPr>
      </w:pPr>
    </w:p>
    <w:p w:rsidR="001776A6" w:rsidRDefault="001776A6" w:rsidP="00852002">
      <w:pPr>
        <w:pStyle w:val="BodyText"/>
        <w:rPr>
          <w:rFonts w:ascii="Arial" w:hAnsi="Arial" w:cs="Arial"/>
          <w:b/>
          <w:color w:val="auto"/>
          <w:sz w:val="22"/>
          <w:szCs w:val="22"/>
        </w:rPr>
      </w:pPr>
    </w:p>
    <w:p w:rsidR="00F404AB" w:rsidRDefault="00BB0BA4" w:rsidP="00852002">
      <w:pPr>
        <w:pStyle w:val="BodyText"/>
        <w:rPr>
          <w:rFonts w:ascii="Arial" w:hAnsi="Arial" w:cs="Arial"/>
          <w:color w:val="auto"/>
          <w:sz w:val="22"/>
          <w:szCs w:val="22"/>
        </w:rPr>
      </w:pPr>
      <w:r w:rsidRPr="009A6244">
        <w:rPr>
          <w:rFonts w:ascii="Arial" w:hAnsi="Arial" w:cs="Arial"/>
          <w:b/>
          <w:color w:val="auto"/>
          <w:sz w:val="22"/>
          <w:szCs w:val="22"/>
        </w:rPr>
        <w:lastRenderedPageBreak/>
        <w:t xml:space="preserve">Prihodi od prodaje nefinancijske imovine </w:t>
      </w:r>
      <w:r w:rsidR="004D48FA" w:rsidRPr="009A6244">
        <w:rPr>
          <w:rFonts w:ascii="Arial" w:hAnsi="Arial" w:cs="Arial"/>
          <w:color w:val="auto"/>
          <w:sz w:val="22"/>
          <w:szCs w:val="22"/>
        </w:rPr>
        <w:t xml:space="preserve"> ostvareni su u iznosu od </w:t>
      </w:r>
      <w:r w:rsidR="006534B7" w:rsidRPr="009A6244">
        <w:rPr>
          <w:rFonts w:ascii="Arial" w:hAnsi="Arial" w:cs="Arial"/>
          <w:color w:val="auto"/>
          <w:sz w:val="22"/>
          <w:szCs w:val="22"/>
        </w:rPr>
        <w:t>1</w:t>
      </w:r>
      <w:r w:rsidR="007564D4" w:rsidRPr="009A6244">
        <w:rPr>
          <w:rFonts w:ascii="Arial" w:hAnsi="Arial" w:cs="Arial"/>
          <w:color w:val="auto"/>
          <w:sz w:val="22"/>
          <w:szCs w:val="22"/>
        </w:rPr>
        <w:t>.</w:t>
      </w:r>
      <w:r w:rsidR="00931B45">
        <w:rPr>
          <w:rFonts w:ascii="Arial" w:hAnsi="Arial" w:cs="Arial"/>
          <w:color w:val="auto"/>
          <w:sz w:val="22"/>
          <w:szCs w:val="22"/>
        </w:rPr>
        <w:t>045</w:t>
      </w:r>
      <w:r w:rsidR="006534B7" w:rsidRPr="009A6244">
        <w:rPr>
          <w:rFonts w:ascii="Arial" w:hAnsi="Arial" w:cs="Arial"/>
          <w:color w:val="auto"/>
          <w:sz w:val="22"/>
          <w:szCs w:val="22"/>
        </w:rPr>
        <w:t>.</w:t>
      </w:r>
      <w:r w:rsidR="00931B45">
        <w:rPr>
          <w:rFonts w:ascii="Arial" w:hAnsi="Arial" w:cs="Arial"/>
          <w:color w:val="auto"/>
          <w:sz w:val="22"/>
          <w:szCs w:val="22"/>
        </w:rPr>
        <w:t>199</w:t>
      </w:r>
      <w:r w:rsidR="004D48FA" w:rsidRPr="009A6244">
        <w:rPr>
          <w:rFonts w:ascii="Arial" w:hAnsi="Arial" w:cs="Arial"/>
          <w:color w:val="auto"/>
          <w:sz w:val="22"/>
          <w:szCs w:val="22"/>
        </w:rPr>
        <w:t>kun</w:t>
      </w:r>
      <w:r w:rsidR="003F4DE1" w:rsidRPr="009A6244">
        <w:rPr>
          <w:rFonts w:ascii="Arial" w:hAnsi="Arial" w:cs="Arial"/>
          <w:color w:val="auto"/>
          <w:sz w:val="22"/>
          <w:szCs w:val="22"/>
        </w:rPr>
        <w:t>a</w:t>
      </w:r>
      <w:r w:rsidR="007564D4" w:rsidRPr="009A6244">
        <w:rPr>
          <w:rFonts w:ascii="Arial" w:hAnsi="Arial" w:cs="Arial"/>
          <w:color w:val="auto"/>
          <w:sz w:val="22"/>
          <w:szCs w:val="22"/>
        </w:rPr>
        <w:t>, a o</w:t>
      </w:r>
      <w:r w:rsidR="00852002" w:rsidRPr="009A6244">
        <w:rPr>
          <w:rFonts w:ascii="Arial" w:hAnsi="Arial" w:cs="Arial"/>
          <w:color w:val="auto"/>
          <w:sz w:val="22"/>
          <w:szCs w:val="22"/>
        </w:rPr>
        <w:t xml:space="preserve">vaj prihod </w:t>
      </w:r>
      <w:r w:rsidR="006534B7" w:rsidRPr="009A6244">
        <w:rPr>
          <w:rFonts w:ascii="Arial" w:hAnsi="Arial" w:cs="Arial"/>
          <w:color w:val="auto"/>
          <w:sz w:val="22"/>
          <w:szCs w:val="22"/>
        </w:rPr>
        <w:t>sastoji se od</w:t>
      </w:r>
      <w:r w:rsidR="0028736E" w:rsidRPr="009A6244">
        <w:rPr>
          <w:rFonts w:ascii="Arial" w:hAnsi="Arial" w:cs="Arial"/>
          <w:color w:val="auto"/>
          <w:sz w:val="22"/>
          <w:szCs w:val="22"/>
        </w:rPr>
        <w:t>:</w:t>
      </w:r>
    </w:p>
    <w:p w:rsidR="001776A6" w:rsidRPr="009A6244" w:rsidRDefault="001776A6" w:rsidP="00852002">
      <w:pPr>
        <w:pStyle w:val="BodyText"/>
        <w:rPr>
          <w:rFonts w:ascii="Arial" w:hAnsi="Arial" w:cs="Arial"/>
          <w:color w:val="auto"/>
          <w:sz w:val="22"/>
          <w:szCs w:val="22"/>
        </w:rPr>
      </w:pPr>
    </w:p>
    <w:p w:rsidR="00852002" w:rsidRPr="009A6244" w:rsidRDefault="00852002" w:rsidP="00852002">
      <w:pPr>
        <w:pStyle w:val="BodyText"/>
        <w:rPr>
          <w:rFonts w:ascii="Arial" w:hAnsi="Arial" w:cs="Arial"/>
          <w:color w:val="FF0000"/>
          <w:sz w:val="22"/>
          <w:szCs w:val="22"/>
        </w:rPr>
      </w:pPr>
    </w:p>
    <w:p w:rsidR="00EC3524" w:rsidRPr="009A6244" w:rsidRDefault="0028736E" w:rsidP="00852002">
      <w:pPr>
        <w:pStyle w:val="BodyText"/>
        <w:rPr>
          <w:rFonts w:ascii="Arial" w:hAnsi="Arial" w:cs="Arial"/>
          <w:color w:val="auto"/>
          <w:sz w:val="22"/>
          <w:szCs w:val="22"/>
        </w:rPr>
      </w:pPr>
      <w:r w:rsidRPr="009A6244">
        <w:rPr>
          <w:rFonts w:ascii="Arial" w:hAnsi="Arial" w:cs="Arial"/>
          <w:b/>
          <w:color w:val="auto"/>
          <w:sz w:val="22"/>
          <w:szCs w:val="22"/>
        </w:rPr>
        <w:t xml:space="preserve">  -</w:t>
      </w:r>
      <w:r w:rsidR="0020716D" w:rsidRPr="009A6244">
        <w:rPr>
          <w:rFonts w:ascii="Arial" w:hAnsi="Arial" w:cs="Arial"/>
          <w:b/>
          <w:color w:val="auto"/>
          <w:sz w:val="22"/>
          <w:szCs w:val="22"/>
        </w:rPr>
        <w:t>Prihod</w:t>
      </w:r>
      <w:r w:rsidRPr="009A6244">
        <w:rPr>
          <w:rFonts w:ascii="Arial" w:hAnsi="Arial" w:cs="Arial"/>
          <w:b/>
          <w:color w:val="auto"/>
          <w:sz w:val="22"/>
          <w:szCs w:val="22"/>
        </w:rPr>
        <w:t>a</w:t>
      </w:r>
      <w:r w:rsidR="0020716D" w:rsidRPr="009A6244">
        <w:rPr>
          <w:rFonts w:ascii="Arial" w:hAnsi="Arial" w:cs="Arial"/>
          <w:b/>
          <w:color w:val="auto"/>
          <w:sz w:val="22"/>
          <w:szCs w:val="22"/>
        </w:rPr>
        <w:t xml:space="preserve"> od prodaje proizvedene dugotrajn</w:t>
      </w:r>
      <w:r w:rsidR="007B5772" w:rsidRPr="009A6244">
        <w:rPr>
          <w:rFonts w:ascii="Arial" w:hAnsi="Arial" w:cs="Arial"/>
          <w:b/>
          <w:color w:val="auto"/>
          <w:sz w:val="22"/>
          <w:szCs w:val="22"/>
        </w:rPr>
        <w:t>e</w:t>
      </w:r>
      <w:r w:rsidR="0020716D" w:rsidRPr="009A6244">
        <w:rPr>
          <w:rFonts w:ascii="Arial" w:hAnsi="Arial" w:cs="Arial"/>
          <w:b/>
          <w:color w:val="auto"/>
          <w:sz w:val="22"/>
          <w:szCs w:val="22"/>
        </w:rPr>
        <w:t xml:space="preserve"> imovine</w:t>
      </w:r>
      <w:r w:rsidRPr="009A6244">
        <w:rPr>
          <w:rFonts w:ascii="Arial" w:hAnsi="Arial" w:cs="Arial"/>
          <w:b/>
          <w:color w:val="auto"/>
          <w:sz w:val="22"/>
          <w:szCs w:val="22"/>
        </w:rPr>
        <w:t>(pro</w:t>
      </w:r>
      <w:r w:rsidR="00B00F4C" w:rsidRPr="009A6244">
        <w:rPr>
          <w:rFonts w:ascii="Arial" w:hAnsi="Arial" w:cs="Arial"/>
          <w:b/>
          <w:color w:val="auto"/>
          <w:sz w:val="22"/>
          <w:szCs w:val="22"/>
        </w:rPr>
        <w:t>d</w:t>
      </w:r>
      <w:r w:rsidRPr="009A6244">
        <w:rPr>
          <w:rFonts w:ascii="Arial" w:hAnsi="Arial" w:cs="Arial"/>
          <w:b/>
          <w:color w:val="auto"/>
          <w:sz w:val="22"/>
          <w:szCs w:val="22"/>
        </w:rPr>
        <w:t xml:space="preserve">aja zemljišta) </w:t>
      </w:r>
      <w:r w:rsidRPr="009A6244">
        <w:rPr>
          <w:rFonts w:ascii="Arial" w:hAnsi="Arial" w:cs="Arial"/>
          <w:color w:val="auto"/>
          <w:sz w:val="22"/>
          <w:szCs w:val="22"/>
        </w:rPr>
        <w:t>koji su</w:t>
      </w:r>
      <w:r w:rsidR="0020716D" w:rsidRPr="009A6244">
        <w:rPr>
          <w:rFonts w:ascii="Arial" w:hAnsi="Arial" w:cs="Arial"/>
          <w:color w:val="auto"/>
          <w:sz w:val="22"/>
          <w:szCs w:val="22"/>
        </w:rPr>
        <w:t xml:space="preserve"> ostvareni u iznosu od </w:t>
      </w:r>
      <w:r w:rsidR="00931B45">
        <w:rPr>
          <w:rFonts w:ascii="Arial" w:hAnsi="Arial" w:cs="Arial"/>
          <w:color w:val="auto"/>
          <w:sz w:val="22"/>
          <w:szCs w:val="22"/>
        </w:rPr>
        <w:t>420</w:t>
      </w:r>
      <w:r w:rsidR="00D23901" w:rsidRPr="009A6244">
        <w:rPr>
          <w:rFonts w:ascii="Arial" w:hAnsi="Arial" w:cs="Arial"/>
          <w:color w:val="auto"/>
          <w:sz w:val="22"/>
          <w:szCs w:val="22"/>
        </w:rPr>
        <w:t>.</w:t>
      </w:r>
      <w:r w:rsidR="00931B45">
        <w:rPr>
          <w:rFonts w:ascii="Arial" w:hAnsi="Arial" w:cs="Arial"/>
          <w:color w:val="auto"/>
          <w:sz w:val="22"/>
          <w:szCs w:val="22"/>
        </w:rPr>
        <w:t>982</w:t>
      </w:r>
      <w:r w:rsidR="0020716D" w:rsidRPr="009A6244">
        <w:rPr>
          <w:rFonts w:ascii="Arial" w:hAnsi="Arial" w:cs="Arial"/>
          <w:color w:val="auto"/>
          <w:sz w:val="22"/>
          <w:szCs w:val="22"/>
        </w:rPr>
        <w:t xml:space="preserve"> kn </w:t>
      </w:r>
      <w:r w:rsidR="00D23901" w:rsidRPr="009A6244">
        <w:rPr>
          <w:rFonts w:ascii="Arial" w:hAnsi="Arial" w:cs="Arial"/>
          <w:color w:val="auto"/>
          <w:sz w:val="22"/>
          <w:szCs w:val="22"/>
        </w:rPr>
        <w:t xml:space="preserve">i isti su ostvareni s </w:t>
      </w:r>
      <w:r w:rsidR="00931B45">
        <w:rPr>
          <w:rFonts w:ascii="Arial" w:hAnsi="Arial" w:cs="Arial"/>
          <w:color w:val="auto"/>
          <w:sz w:val="22"/>
          <w:szCs w:val="22"/>
        </w:rPr>
        <w:t>11</w:t>
      </w:r>
      <w:r w:rsidR="00D23901" w:rsidRPr="009A6244">
        <w:rPr>
          <w:rFonts w:ascii="Arial" w:hAnsi="Arial" w:cs="Arial"/>
          <w:color w:val="auto"/>
          <w:sz w:val="22"/>
          <w:szCs w:val="22"/>
        </w:rPr>
        <w:t>% u odnosu na  planirani iznos za 201</w:t>
      </w:r>
      <w:r w:rsidR="00931B45">
        <w:rPr>
          <w:rFonts w:ascii="Arial" w:hAnsi="Arial" w:cs="Arial"/>
          <w:color w:val="auto"/>
          <w:sz w:val="22"/>
          <w:szCs w:val="22"/>
        </w:rPr>
        <w:t>9</w:t>
      </w:r>
      <w:r w:rsidR="00D23901" w:rsidRPr="009A6244">
        <w:rPr>
          <w:rFonts w:ascii="Arial" w:hAnsi="Arial" w:cs="Arial"/>
          <w:color w:val="auto"/>
          <w:sz w:val="22"/>
          <w:szCs w:val="22"/>
        </w:rPr>
        <w:t>. godinu.</w:t>
      </w:r>
    </w:p>
    <w:p w:rsidR="0028736E" w:rsidRPr="009A6244" w:rsidRDefault="0028736E" w:rsidP="00852002">
      <w:pPr>
        <w:pStyle w:val="BodyText"/>
        <w:rPr>
          <w:rFonts w:ascii="Arial" w:hAnsi="Arial" w:cs="Arial"/>
          <w:color w:val="auto"/>
          <w:sz w:val="22"/>
          <w:szCs w:val="22"/>
        </w:rPr>
      </w:pPr>
    </w:p>
    <w:p w:rsidR="0028736E" w:rsidRPr="009A6244" w:rsidRDefault="0028736E" w:rsidP="0028736E">
      <w:pPr>
        <w:pStyle w:val="BodyText"/>
        <w:rPr>
          <w:rFonts w:ascii="Arial" w:hAnsi="Arial" w:cs="Arial"/>
          <w:color w:val="auto"/>
          <w:sz w:val="22"/>
          <w:szCs w:val="22"/>
        </w:rPr>
      </w:pPr>
      <w:r w:rsidRPr="009A6244">
        <w:rPr>
          <w:rFonts w:ascii="Arial" w:hAnsi="Arial" w:cs="Arial"/>
          <w:color w:val="auto"/>
          <w:sz w:val="22"/>
          <w:szCs w:val="22"/>
        </w:rPr>
        <w:t xml:space="preserve">  -</w:t>
      </w:r>
      <w:r w:rsidRPr="009A6244">
        <w:rPr>
          <w:rFonts w:ascii="Arial" w:hAnsi="Arial" w:cs="Arial"/>
          <w:b/>
          <w:color w:val="auto"/>
          <w:sz w:val="22"/>
          <w:szCs w:val="22"/>
        </w:rPr>
        <w:t>Prihoda od prodaje proizvedene dugotrajne imovine(građevinski objekti)</w:t>
      </w:r>
      <w:r w:rsidRPr="009A6244">
        <w:rPr>
          <w:rFonts w:ascii="Arial" w:hAnsi="Arial" w:cs="Arial"/>
          <w:color w:val="auto"/>
          <w:sz w:val="22"/>
          <w:szCs w:val="22"/>
        </w:rPr>
        <w:t xml:space="preserve"> koji su ost</w:t>
      </w:r>
      <w:r w:rsidR="001776A6">
        <w:rPr>
          <w:rFonts w:ascii="Arial" w:hAnsi="Arial" w:cs="Arial"/>
          <w:color w:val="auto"/>
          <w:sz w:val="22"/>
          <w:szCs w:val="22"/>
        </w:rPr>
        <w:t xml:space="preserve">vareni u iznosu od </w:t>
      </w:r>
      <w:r w:rsidR="00931B45">
        <w:rPr>
          <w:rFonts w:ascii="Arial" w:hAnsi="Arial" w:cs="Arial"/>
          <w:color w:val="auto"/>
          <w:sz w:val="22"/>
          <w:szCs w:val="22"/>
        </w:rPr>
        <w:t>624</w:t>
      </w:r>
      <w:r w:rsidR="001776A6">
        <w:rPr>
          <w:rFonts w:ascii="Arial" w:hAnsi="Arial" w:cs="Arial"/>
          <w:color w:val="auto"/>
          <w:sz w:val="22"/>
          <w:szCs w:val="22"/>
        </w:rPr>
        <w:t>.</w:t>
      </w:r>
      <w:r w:rsidR="00931B45">
        <w:rPr>
          <w:rFonts w:ascii="Arial" w:hAnsi="Arial" w:cs="Arial"/>
          <w:color w:val="auto"/>
          <w:sz w:val="22"/>
          <w:szCs w:val="22"/>
        </w:rPr>
        <w:t>217</w:t>
      </w:r>
      <w:r w:rsidR="001776A6">
        <w:rPr>
          <w:rFonts w:ascii="Arial" w:hAnsi="Arial" w:cs="Arial"/>
          <w:color w:val="auto"/>
          <w:sz w:val="22"/>
          <w:szCs w:val="22"/>
        </w:rPr>
        <w:t xml:space="preserve"> kn</w:t>
      </w:r>
      <w:r w:rsidRPr="009A6244">
        <w:rPr>
          <w:rFonts w:ascii="Arial" w:hAnsi="Arial" w:cs="Arial"/>
          <w:color w:val="auto"/>
          <w:sz w:val="22"/>
          <w:szCs w:val="22"/>
        </w:rPr>
        <w:t xml:space="preserve"> i isti su ostvareni s </w:t>
      </w:r>
      <w:r w:rsidR="00931B45">
        <w:rPr>
          <w:rFonts w:ascii="Arial" w:hAnsi="Arial" w:cs="Arial"/>
          <w:color w:val="auto"/>
          <w:sz w:val="22"/>
          <w:szCs w:val="22"/>
        </w:rPr>
        <w:t>7</w:t>
      </w:r>
      <w:r w:rsidRPr="009A6244">
        <w:rPr>
          <w:rFonts w:ascii="Arial" w:hAnsi="Arial" w:cs="Arial"/>
          <w:color w:val="auto"/>
          <w:sz w:val="22"/>
          <w:szCs w:val="22"/>
        </w:rPr>
        <w:t>7% u odnosu na  planirani iznos za 201</w:t>
      </w:r>
      <w:r w:rsidR="00931B45">
        <w:rPr>
          <w:rFonts w:ascii="Arial" w:hAnsi="Arial" w:cs="Arial"/>
          <w:color w:val="auto"/>
          <w:sz w:val="22"/>
          <w:szCs w:val="22"/>
        </w:rPr>
        <w:t>9</w:t>
      </w:r>
      <w:r w:rsidRPr="009A6244">
        <w:rPr>
          <w:rFonts w:ascii="Arial" w:hAnsi="Arial" w:cs="Arial"/>
          <w:color w:val="auto"/>
          <w:sz w:val="22"/>
          <w:szCs w:val="22"/>
        </w:rPr>
        <w:t>. godinu.</w:t>
      </w:r>
    </w:p>
    <w:p w:rsidR="00B46AE8" w:rsidRPr="009A6244" w:rsidRDefault="00B46AE8" w:rsidP="0028736E">
      <w:pPr>
        <w:pStyle w:val="BodyText"/>
        <w:rPr>
          <w:rFonts w:ascii="Arial" w:hAnsi="Arial" w:cs="Arial"/>
          <w:color w:val="auto"/>
          <w:sz w:val="22"/>
          <w:szCs w:val="22"/>
        </w:rPr>
      </w:pPr>
    </w:p>
    <w:p w:rsidR="00B46AE8" w:rsidRPr="00D41D5D" w:rsidRDefault="00B46AE8" w:rsidP="0028736E">
      <w:pPr>
        <w:pStyle w:val="BodyText"/>
        <w:rPr>
          <w:rFonts w:ascii="Arial" w:hAnsi="Arial" w:cs="Arial"/>
          <w:color w:val="auto"/>
          <w:sz w:val="22"/>
          <w:szCs w:val="22"/>
        </w:rPr>
      </w:pPr>
      <w:r w:rsidRPr="00D41D5D">
        <w:rPr>
          <w:rFonts w:ascii="Arial" w:hAnsi="Arial" w:cs="Arial"/>
          <w:color w:val="auto"/>
          <w:sz w:val="22"/>
          <w:szCs w:val="22"/>
        </w:rPr>
        <w:t>Od ukupno ostvarenih prihoda</w:t>
      </w:r>
      <w:r w:rsidR="00D41D5D" w:rsidRPr="00D41D5D">
        <w:rPr>
          <w:rFonts w:ascii="Arial" w:hAnsi="Arial" w:cs="Arial"/>
          <w:color w:val="auto"/>
          <w:sz w:val="22"/>
          <w:szCs w:val="22"/>
        </w:rPr>
        <w:t xml:space="preserve"> (bez primitaka)</w:t>
      </w:r>
      <w:r w:rsidR="002B1051" w:rsidRPr="00D41D5D">
        <w:rPr>
          <w:rFonts w:ascii="Arial" w:hAnsi="Arial" w:cs="Arial"/>
          <w:color w:val="auto"/>
          <w:sz w:val="22"/>
          <w:szCs w:val="22"/>
        </w:rPr>
        <w:t>,</w:t>
      </w:r>
      <w:r w:rsidRPr="00D41D5D">
        <w:rPr>
          <w:rFonts w:ascii="Arial" w:hAnsi="Arial" w:cs="Arial"/>
          <w:color w:val="auto"/>
          <w:sz w:val="22"/>
          <w:szCs w:val="22"/>
        </w:rPr>
        <w:t xml:space="preserve"> u ovom razdoblju proračunske</w:t>
      </w:r>
      <w:r w:rsidR="001776A6" w:rsidRPr="00D41D5D">
        <w:rPr>
          <w:rFonts w:ascii="Arial" w:hAnsi="Arial" w:cs="Arial"/>
          <w:color w:val="auto"/>
          <w:sz w:val="22"/>
          <w:szCs w:val="22"/>
        </w:rPr>
        <w:t xml:space="preserve"> 201</w:t>
      </w:r>
      <w:r w:rsidR="00931B45">
        <w:rPr>
          <w:rFonts w:ascii="Arial" w:hAnsi="Arial" w:cs="Arial"/>
          <w:color w:val="auto"/>
          <w:sz w:val="22"/>
          <w:szCs w:val="22"/>
        </w:rPr>
        <w:t>9</w:t>
      </w:r>
      <w:r w:rsidR="001776A6" w:rsidRPr="00D41D5D">
        <w:rPr>
          <w:rFonts w:ascii="Arial" w:hAnsi="Arial" w:cs="Arial"/>
          <w:color w:val="auto"/>
          <w:sz w:val="22"/>
          <w:szCs w:val="22"/>
        </w:rPr>
        <w:t>.</w:t>
      </w:r>
      <w:r w:rsidRPr="00D41D5D">
        <w:rPr>
          <w:rFonts w:ascii="Arial" w:hAnsi="Arial" w:cs="Arial"/>
          <w:color w:val="auto"/>
          <w:sz w:val="22"/>
          <w:szCs w:val="22"/>
        </w:rPr>
        <w:t xml:space="preserve"> godine</w:t>
      </w:r>
      <w:r w:rsidR="002B1051" w:rsidRPr="00D41D5D">
        <w:rPr>
          <w:rFonts w:ascii="Arial" w:hAnsi="Arial" w:cs="Arial"/>
          <w:color w:val="auto"/>
          <w:sz w:val="22"/>
          <w:szCs w:val="22"/>
        </w:rPr>
        <w:t>,</w:t>
      </w:r>
      <w:r w:rsidR="001776A6" w:rsidRPr="00D41D5D">
        <w:rPr>
          <w:rFonts w:ascii="Arial" w:hAnsi="Arial" w:cs="Arial"/>
          <w:color w:val="auto"/>
          <w:sz w:val="22"/>
          <w:szCs w:val="22"/>
        </w:rPr>
        <w:t>u</w:t>
      </w:r>
      <w:r w:rsidRPr="00D41D5D">
        <w:rPr>
          <w:rFonts w:ascii="Arial" w:hAnsi="Arial" w:cs="Arial"/>
          <w:color w:val="auto"/>
          <w:sz w:val="22"/>
          <w:szCs w:val="22"/>
        </w:rPr>
        <w:t xml:space="preserve"> iznosu od 2</w:t>
      </w:r>
      <w:r w:rsidR="00931B45">
        <w:rPr>
          <w:rFonts w:ascii="Arial" w:hAnsi="Arial" w:cs="Arial"/>
          <w:color w:val="auto"/>
          <w:sz w:val="22"/>
          <w:szCs w:val="22"/>
        </w:rPr>
        <w:t>37</w:t>
      </w:r>
      <w:r w:rsidRPr="00D41D5D">
        <w:rPr>
          <w:rFonts w:ascii="Arial" w:hAnsi="Arial" w:cs="Arial"/>
          <w:color w:val="auto"/>
          <w:sz w:val="22"/>
          <w:szCs w:val="22"/>
        </w:rPr>
        <w:t>.5</w:t>
      </w:r>
      <w:r w:rsidR="00931B45">
        <w:rPr>
          <w:rFonts w:ascii="Arial" w:hAnsi="Arial" w:cs="Arial"/>
          <w:color w:val="auto"/>
          <w:sz w:val="22"/>
          <w:szCs w:val="22"/>
        </w:rPr>
        <w:t>51</w:t>
      </w:r>
      <w:r w:rsidRPr="00D41D5D">
        <w:rPr>
          <w:rFonts w:ascii="Arial" w:hAnsi="Arial" w:cs="Arial"/>
          <w:color w:val="auto"/>
          <w:sz w:val="22"/>
          <w:szCs w:val="22"/>
        </w:rPr>
        <w:t>.</w:t>
      </w:r>
      <w:r w:rsidR="00931B45">
        <w:rPr>
          <w:rFonts w:ascii="Arial" w:hAnsi="Arial" w:cs="Arial"/>
          <w:color w:val="auto"/>
          <w:sz w:val="22"/>
          <w:szCs w:val="22"/>
        </w:rPr>
        <w:t>131</w:t>
      </w:r>
      <w:r w:rsidRPr="00D41D5D">
        <w:rPr>
          <w:rFonts w:ascii="Arial" w:hAnsi="Arial" w:cs="Arial"/>
          <w:color w:val="auto"/>
          <w:sz w:val="22"/>
          <w:szCs w:val="22"/>
        </w:rPr>
        <w:t xml:space="preserve"> kuna</w:t>
      </w:r>
      <w:r w:rsidR="002B1051" w:rsidRPr="00D41D5D">
        <w:rPr>
          <w:rFonts w:ascii="Arial" w:hAnsi="Arial" w:cs="Arial"/>
          <w:color w:val="auto"/>
          <w:sz w:val="22"/>
          <w:szCs w:val="22"/>
        </w:rPr>
        <w:t>,</w:t>
      </w:r>
      <w:r w:rsidRPr="00D41D5D">
        <w:rPr>
          <w:rFonts w:ascii="Arial" w:hAnsi="Arial" w:cs="Arial"/>
          <w:color w:val="auto"/>
          <w:sz w:val="22"/>
          <w:szCs w:val="22"/>
        </w:rPr>
        <w:t xml:space="preserve"> udio vanproračunskih prihoda proračunskih korisnika iznosi 1</w:t>
      </w:r>
      <w:r w:rsidR="00931B45">
        <w:rPr>
          <w:rFonts w:ascii="Arial" w:hAnsi="Arial" w:cs="Arial"/>
          <w:color w:val="auto"/>
          <w:sz w:val="22"/>
          <w:szCs w:val="22"/>
        </w:rPr>
        <w:t>9</w:t>
      </w:r>
      <w:r w:rsidRPr="00D41D5D">
        <w:rPr>
          <w:rFonts w:ascii="Arial" w:hAnsi="Arial" w:cs="Arial"/>
          <w:color w:val="auto"/>
          <w:sz w:val="22"/>
          <w:szCs w:val="22"/>
        </w:rPr>
        <w:t>.</w:t>
      </w:r>
      <w:r w:rsidR="00931B45">
        <w:rPr>
          <w:rFonts w:ascii="Arial" w:hAnsi="Arial" w:cs="Arial"/>
          <w:color w:val="auto"/>
          <w:sz w:val="22"/>
          <w:szCs w:val="22"/>
        </w:rPr>
        <w:t>066</w:t>
      </w:r>
      <w:r w:rsidRPr="00D41D5D">
        <w:rPr>
          <w:rFonts w:ascii="Arial" w:hAnsi="Arial" w:cs="Arial"/>
          <w:color w:val="auto"/>
          <w:sz w:val="22"/>
          <w:szCs w:val="22"/>
        </w:rPr>
        <w:t>.</w:t>
      </w:r>
      <w:r w:rsidR="00931B45">
        <w:rPr>
          <w:rFonts w:ascii="Arial" w:hAnsi="Arial" w:cs="Arial"/>
          <w:color w:val="auto"/>
          <w:sz w:val="22"/>
          <w:szCs w:val="22"/>
        </w:rPr>
        <w:t>667</w:t>
      </w:r>
      <w:r w:rsidRPr="00D41D5D">
        <w:rPr>
          <w:rFonts w:ascii="Arial" w:hAnsi="Arial" w:cs="Arial"/>
          <w:color w:val="auto"/>
          <w:sz w:val="22"/>
          <w:szCs w:val="22"/>
        </w:rPr>
        <w:t xml:space="preserve"> kuna ili 8% </w:t>
      </w:r>
    </w:p>
    <w:p w:rsidR="0028736E" w:rsidRPr="009A6244" w:rsidRDefault="0028736E" w:rsidP="00852002">
      <w:pPr>
        <w:pStyle w:val="BodyText"/>
        <w:rPr>
          <w:rFonts w:ascii="Arial" w:hAnsi="Arial" w:cs="Arial"/>
          <w:b/>
          <w:color w:val="auto"/>
          <w:sz w:val="22"/>
          <w:szCs w:val="22"/>
        </w:rPr>
      </w:pPr>
    </w:p>
    <w:p w:rsidR="002F4DDA" w:rsidRDefault="00A54012" w:rsidP="001679F1">
      <w:pPr>
        <w:pStyle w:val="BodyText"/>
        <w:rPr>
          <w:rFonts w:ascii="Arial" w:hAnsi="Arial" w:cs="Arial"/>
          <w:color w:val="auto"/>
          <w:sz w:val="22"/>
          <w:szCs w:val="22"/>
        </w:rPr>
      </w:pPr>
      <w:r w:rsidRPr="009A6244">
        <w:rPr>
          <w:rFonts w:ascii="Arial" w:hAnsi="Arial" w:cs="Arial"/>
          <w:b/>
          <w:color w:val="auto"/>
          <w:sz w:val="22"/>
          <w:szCs w:val="22"/>
        </w:rPr>
        <w:t>Primici od financijske imovine i zaduživanja</w:t>
      </w:r>
      <w:r w:rsidR="00233E47" w:rsidRPr="009A6244">
        <w:rPr>
          <w:rFonts w:ascii="Arial" w:hAnsi="Arial" w:cs="Arial"/>
          <w:color w:val="auto"/>
          <w:sz w:val="22"/>
          <w:szCs w:val="22"/>
        </w:rPr>
        <w:t>planirani su u iznosu od</w:t>
      </w:r>
      <w:r w:rsidR="0028736E" w:rsidRPr="009A6244">
        <w:rPr>
          <w:rFonts w:ascii="Arial" w:hAnsi="Arial" w:cs="Arial"/>
          <w:color w:val="auto"/>
          <w:sz w:val="22"/>
          <w:szCs w:val="22"/>
        </w:rPr>
        <w:t xml:space="preserve"> 1</w:t>
      </w:r>
      <w:r w:rsidR="004805AD">
        <w:rPr>
          <w:rFonts w:ascii="Arial" w:hAnsi="Arial" w:cs="Arial"/>
          <w:color w:val="auto"/>
          <w:sz w:val="22"/>
          <w:szCs w:val="22"/>
        </w:rPr>
        <w:t>15</w:t>
      </w:r>
      <w:r w:rsidR="00233E47" w:rsidRPr="009A6244">
        <w:rPr>
          <w:rFonts w:ascii="Arial" w:hAnsi="Arial" w:cs="Arial"/>
          <w:color w:val="auto"/>
          <w:sz w:val="22"/>
          <w:szCs w:val="22"/>
        </w:rPr>
        <w:t>.</w:t>
      </w:r>
      <w:r w:rsidR="004805AD">
        <w:rPr>
          <w:rFonts w:ascii="Arial" w:hAnsi="Arial" w:cs="Arial"/>
          <w:color w:val="auto"/>
          <w:sz w:val="22"/>
          <w:szCs w:val="22"/>
        </w:rPr>
        <w:t>700</w:t>
      </w:r>
      <w:r w:rsidR="0028736E" w:rsidRPr="009A6244">
        <w:rPr>
          <w:rFonts w:ascii="Arial" w:hAnsi="Arial" w:cs="Arial"/>
          <w:color w:val="auto"/>
          <w:sz w:val="22"/>
          <w:szCs w:val="22"/>
        </w:rPr>
        <w:t>.0</w:t>
      </w:r>
      <w:r w:rsidR="00233E47" w:rsidRPr="009A6244">
        <w:rPr>
          <w:rFonts w:ascii="Arial" w:hAnsi="Arial" w:cs="Arial"/>
          <w:color w:val="auto"/>
          <w:sz w:val="22"/>
          <w:szCs w:val="22"/>
        </w:rPr>
        <w:t xml:space="preserve">00 kuna, a u šestomjesečnom razdoblju ove godine ostvareni su u iznosu od </w:t>
      </w:r>
      <w:r w:rsidR="004805AD">
        <w:rPr>
          <w:rFonts w:ascii="Arial" w:hAnsi="Arial" w:cs="Arial"/>
          <w:color w:val="auto"/>
          <w:sz w:val="22"/>
          <w:szCs w:val="22"/>
        </w:rPr>
        <w:t>46</w:t>
      </w:r>
      <w:r w:rsidR="00233E47" w:rsidRPr="009A6244">
        <w:rPr>
          <w:rFonts w:ascii="Arial" w:hAnsi="Arial" w:cs="Arial"/>
          <w:color w:val="auto"/>
          <w:sz w:val="22"/>
          <w:szCs w:val="22"/>
        </w:rPr>
        <w:t>.</w:t>
      </w:r>
      <w:r w:rsidR="004805AD">
        <w:rPr>
          <w:rFonts w:ascii="Arial" w:hAnsi="Arial" w:cs="Arial"/>
          <w:color w:val="auto"/>
          <w:sz w:val="22"/>
          <w:szCs w:val="22"/>
        </w:rPr>
        <w:t>981.657</w:t>
      </w:r>
      <w:r w:rsidR="00233E47" w:rsidRPr="009A6244">
        <w:rPr>
          <w:rFonts w:ascii="Arial" w:hAnsi="Arial" w:cs="Arial"/>
          <w:color w:val="auto"/>
          <w:sz w:val="22"/>
          <w:szCs w:val="22"/>
        </w:rPr>
        <w:t xml:space="preserve"> kn, odnosno sa </w:t>
      </w:r>
      <w:r w:rsidR="004805AD">
        <w:rPr>
          <w:rFonts w:ascii="Arial" w:hAnsi="Arial" w:cs="Arial"/>
          <w:color w:val="auto"/>
          <w:sz w:val="22"/>
          <w:szCs w:val="22"/>
        </w:rPr>
        <w:t>41</w:t>
      </w:r>
      <w:r w:rsidR="00233E47" w:rsidRPr="009A6244">
        <w:rPr>
          <w:rFonts w:ascii="Arial" w:hAnsi="Arial" w:cs="Arial"/>
          <w:color w:val="auto"/>
          <w:sz w:val="22"/>
          <w:szCs w:val="22"/>
        </w:rPr>
        <w:t>%.</w:t>
      </w:r>
    </w:p>
    <w:p w:rsidR="002F4DDA" w:rsidRDefault="002F4DDA" w:rsidP="001679F1">
      <w:pPr>
        <w:pStyle w:val="BodyText"/>
        <w:rPr>
          <w:rFonts w:ascii="Arial" w:hAnsi="Arial" w:cs="Arial"/>
          <w:color w:val="auto"/>
          <w:sz w:val="22"/>
          <w:szCs w:val="22"/>
        </w:rPr>
      </w:pPr>
    </w:p>
    <w:p w:rsidR="002F4DDA" w:rsidRDefault="002F4DDA" w:rsidP="001679F1">
      <w:pPr>
        <w:pStyle w:val="BodyText"/>
        <w:rPr>
          <w:rFonts w:ascii="Arial" w:hAnsi="Arial" w:cs="Arial"/>
          <w:color w:val="auto"/>
          <w:sz w:val="22"/>
          <w:szCs w:val="22"/>
        </w:rPr>
      </w:pPr>
      <w:r>
        <w:rPr>
          <w:rFonts w:ascii="Arial" w:hAnsi="Arial" w:cs="Arial"/>
          <w:color w:val="auto"/>
          <w:sz w:val="22"/>
          <w:szCs w:val="22"/>
        </w:rPr>
        <w:t>Ukupan iznos primitaka dijeli sa na primitke od primljenih</w:t>
      </w:r>
      <w:r w:rsidR="0075174C">
        <w:rPr>
          <w:rFonts w:ascii="Arial" w:hAnsi="Arial" w:cs="Arial"/>
          <w:color w:val="auto"/>
          <w:sz w:val="22"/>
          <w:szCs w:val="22"/>
        </w:rPr>
        <w:t xml:space="preserve"> otplata (povrata) glavnice danih zajmova </w:t>
      </w:r>
      <w:r w:rsidR="0042484C">
        <w:rPr>
          <w:rFonts w:ascii="Arial" w:hAnsi="Arial" w:cs="Arial"/>
          <w:color w:val="auto"/>
          <w:sz w:val="22"/>
          <w:szCs w:val="22"/>
        </w:rPr>
        <w:t xml:space="preserve"> a </w:t>
      </w:r>
      <w:r w:rsidR="0075174C">
        <w:rPr>
          <w:rFonts w:ascii="Arial" w:hAnsi="Arial" w:cs="Arial"/>
          <w:color w:val="auto"/>
          <w:sz w:val="22"/>
          <w:szCs w:val="22"/>
        </w:rPr>
        <w:t>ostvareni</w:t>
      </w:r>
      <w:r w:rsidR="0042484C">
        <w:rPr>
          <w:rFonts w:ascii="Arial" w:hAnsi="Arial" w:cs="Arial"/>
          <w:color w:val="auto"/>
          <w:sz w:val="22"/>
          <w:szCs w:val="22"/>
        </w:rPr>
        <w:t xml:space="preserve"> su</w:t>
      </w:r>
      <w:r w:rsidR="0075174C">
        <w:rPr>
          <w:rFonts w:ascii="Arial" w:hAnsi="Arial" w:cs="Arial"/>
          <w:color w:val="auto"/>
          <w:sz w:val="22"/>
          <w:szCs w:val="22"/>
        </w:rPr>
        <w:t xml:space="preserve"> u iznosu od 610.850 knšto je 95% plana prihoda po ovoj stavci</w:t>
      </w:r>
      <w:r w:rsidR="0042484C">
        <w:rPr>
          <w:rFonts w:ascii="Arial" w:hAnsi="Arial" w:cs="Arial"/>
          <w:color w:val="auto"/>
          <w:sz w:val="22"/>
          <w:szCs w:val="22"/>
        </w:rPr>
        <w:t>,</w:t>
      </w:r>
      <w:r w:rsidR="0075174C">
        <w:rPr>
          <w:rFonts w:ascii="Arial" w:hAnsi="Arial" w:cs="Arial"/>
          <w:color w:val="auto"/>
          <w:sz w:val="22"/>
          <w:szCs w:val="22"/>
        </w:rPr>
        <w:t xml:space="preserve"> te primitaka od zaduživanja koji su ostvareni u iznosu od 46.370.807 kuna ili 40% ukupno planiranih (115.060.000 kn) u 2019. godini.</w:t>
      </w:r>
    </w:p>
    <w:p w:rsidR="002F4DDA" w:rsidRDefault="002F4DDA" w:rsidP="001679F1">
      <w:pPr>
        <w:pStyle w:val="BodyText"/>
        <w:rPr>
          <w:rFonts w:ascii="Arial" w:hAnsi="Arial" w:cs="Arial"/>
          <w:color w:val="auto"/>
          <w:sz w:val="22"/>
          <w:szCs w:val="22"/>
        </w:rPr>
      </w:pPr>
    </w:p>
    <w:p w:rsidR="002D3FC0" w:rsidRDefault="002D3FC0" w:rsidP="001679F1">
      <w:pPr>
        <w:pStyle w:val="BodyText"/>
        <w:rPr>
          <w:rFonts w:ascii="Arial" w:hAnsi="Arial" w:cs="Arial"/>
          <w:color w:val="auto"/>
          <w:sz w:val="22"/>
          <w:szCs w:val="22"/>
        </w:rPr>
      </w:pPr>
      <w:r>
        <w:rPr>
          <w:rFonts w:ascii="Arial" w:hAnsi="Arial" w:cs="Arial"/>
          <w:color w:val="auto"/>
          <w:sz w:val="22"/>
          <w:szCs w:val="22"/>
        </w:rPr>
        <w:t xml:space="preserve">Svi primici </w:t>
      </w:r>
      <w:r w:rsidR="0075174C">
        <w:rPr>
          <w:rFonts w:ascii="Arial" w:hAnsi="Arial" w:cs="Arial"/>
          <w:color w:val="auto"/>
          <w:sz w:val="22"/>
          <w:szCs w:val="22"/>
        </w:rPr>
        <w:t xml:space="preserve"> od zaduživanja </w:t>
      </w:r>
      <w:r>
        <w:rPr>
          <w:rFonts w:ascii="Arial" w:hAnsi="Arial" w:cs="Arial"/>
          <w:color w:val="auto"/>
          <w:sz w:val="22"/>
          <w:szCs w:val="22"/>
        </w:rPr>
        <w:t>u 2019. godini u konsolidiranom izvješću odnose se na plan proračuna Grada Dubrovnika</w:t>
      </w:r>
      <w:r w:rsidR="0075174C">
        <w:rPr>
          <w:rFonts w:ascii="Arial" w:hAnsi="Arial" w:cs="Arial"/>
          <w:color w:val="auto"/>
          <w:sz w:val="22"/>
          <w:szCs w:val="22"/>
        </w:rPr>
        <w:t>,</w:t>
      </w:r>
      <w:r>
        <w:rPr>
          <w:rFonts w:ascii="Arial" w:hAnsi="Arial" w:cs="Arial"/>
          <w:color w:val="auto"/>
          <w:sz w:val="22"/>
          <w:szCs w:val="22"/>
        </w:rPr>
        <w:t xml:space="preserve"> a odnosi se na nastavak realizacije kreditnog zaduživanja tj korištenje kredita</w:t>
      </w:r>
      <w:r w:rsidR="00B024F7">
        <w:rPr>
          <w:rFonts w:ascii="Arial" w:hAnsi="Arial" w:cs="Arial"/>
          <w:color w:val="auto"/>
          <w:sz w:val="22"/>
          <w:szCs w:val="22"/>
        </w:rPr>
        <w:t xml:space="preserve"> HBOR-a</w:t>
      </w:r>
      <w:r>
        <w:rPr>
          <w:rFonts w:ascii="Arial" w:hAnsi="Arial" w:cs="Arial"/>
          <w:color w:val="auto"/>
          <w:sz w:val="22"/>
          <w:szCs w:val="22"/>
        </w:rPr>
        <w:t xml:space="preserve"> iz 2018. godineza više infrastrukturnih projekata Grada. Također u prvom polugodištu 2019. godine realizirano je i novo kreditno zaduživanje sukladno odluci Gradskog vijeća kod OTP banke d.d. za kupnju stanova u Mokošici</w:t>
      </w:r>
      <w:r w:rsidR="000F27CE">
        <w:rPr>
          <w:rFonts w:ascii="Arial" w:hAnsi="Arial" w:cs="Arial"/>
          <w:color w:val="auto"/>
          <w:sz w:val="22"/>
          <w:szCs w:val="22"/>
        </w:rPr>
        <w:t xml:space="preserve"> od Ministarstva hrvatskih branitelja</w:t>
      </w:r>
      <w:r>
        <w:rPr>
          <w:rFonts w:ascii="Arial" w:hAnsi="Arial" w:cs="Arial"/>
          <w:color w:val="auto"/>
          <w:sz w:val="22"/>
          <w:szCs w:val="22"/>
        </w:rPr>
        <w:t xml:space="preserve"> (od ukupno 38.000.000 kn izvršena je uplata prve rate u izno</w:t>
      </w:r>
      <w:r w:rsidR="00B024F7">
        <w:rPr>
          <w:rFonts w:ascii="Arial" w:hAnsi="Arial" w:cs="Arial"/>
          <w:color w:val="auto"/>
          <w:sz w:val="22"/>
          <w:szCs w:val="22"/>
        </w:rPr>
        <w:t>s</w:t>
      </w:r>
      <w:r>
        <w:rPr>
          <w:rFonts w:ascii="Arial" w:hAnsi="Arial" w:cs="Arial"/>
          <w:color w:val="auto"/>
          <w:sz w:val="22"/>
          <w:szCs w:val="22"/>
        </w:rPr>
        <w:t>u od 28.000.000 kn</w:t>
      </w:r>
      <w:r w:rsidR="000F27CE">
        <w:rPr>
          <w:rFonts w:ascii="Arial" w:hAnsi="Arial" w:cs="Arial"/>
          <w:color w:val="auto"/>
          <w:sz w:val="22"/>
          <w:szCs w:val="22"/>
        </w:rPr>
        <w:t xml:space="preserve"> sukladno Ugovoru o kupoprodaji</w:t>
      </w:r>
      <w:r>
        <w:rPr>
          <w:rFonts w:ascii="Arial" w:hAnsi="Arial" w:cs="Arial"/>
          <w:color w:val="auto"/>
          <w:sz w:val="22"/>
          <w:szCs w:val="22"/>
        </w:rPr>
        <w:t>).</w:t>
      </w:r>
    </w:p>
    <w:p w:rsidR="002D3FC0" w:rsidRDefault="002D3FC0" w:rsidP="001679F1">
      <w:pPr>
        <w:pStyle w:val="BodyText"/>
        <w:rPr>
          <w:rFonts w:ascii="Arial" w:hAnsi="Arial" w:cs="Arial"/>
          <w:color w:val="auto"/>
          <w:sz w:val="22"/>
          <w:szCs w:val="22"/>
        </w:rPr>
      </w:pPr>
    </w:p>
    <w:p w:rsidR="00B00F4C" w:rsidRPr="009A6244" w:rsidRDefault="002D3FC0" w:rsidP="001679F1">
      <w:pPr>
        <w:pStyle w:val="BodyText"/>
        <w:rPr>
          <w:rFonts w:ascii="Arial" w:hAnsi="Arial" w:cs="Arial"/>
          <w:color w:val="auto"/>
          <w:sz w:val="22"/>
          <w:szCs w:val="22"/>
        </w:rPr>
      </w:pPr>
      <w:r w:rsidRPr="00B024F7">
        <w:rPr>
          <w:rFonts w:ascii="Arial" w:hAnsi="Arial" w:cs="Arial"/>
          <w:color w:val="auto"/>
          <w:sz w:val="22"/>
          <w:szCs w:val="22"/>
        </w:rPr>
        <w:t>Nastavak korištenja kredita HBOR-a za</w:t>
      </w:r>
      <w:r w:rsidR="00B024F7" w:rsidRPr="00B024F7">
        <w:rPr>
          <w:rFonts w:ascii="Arial" w:hAnsi="Arial" w:cs="Arial"/>
          <w:color w:val="auto"/>
          <w:sz w:val="22"/>
          <w:szCs w:val="22"/>
        </w:rPr>
        <w:t xml:space="preserve"> realizaciju</w:t>
      </w:r>
      <w:r w:rsidRPr="00B024F7">
        <w:rPr>
          <w:rFonts w:ascii="Arial" w:hAnsi="Arial" w:cs="Arial"/>
          <w:color w:val="auto"/>
          <w:sz w:val="22"/>
          <w:szCs w:val="22"/>
        </w:rPr>
        <w:t xml:space="preserve"> projek</w:t>
      </w:r>
      <w:r w:rsidR="00B024F7" w:rsidRPr="00B024F7">
        <w:rPr>
          <w:rFonts w:ascii="Arial" w:hAnsi="Arial" w:cs="Arial"/>
          <w:color w:val="auto"/>
          <w:sz w:val="22"/>
          <w:szCs w:val="22"/>
        </w:rPr>
        <w:t>ata</w:t>
      </w:r>
      <w:r w:rsidR="0028736E" w:rsidRPr="00B024F7">
        <w:rPr>
          <w:rFonts w:ascii="Arial" w:hAnsi="Arial" w:cs="Arial"/>
          <w:color w:val="auto"/>
          <w:sz w:val="22"/>
          <w:szCs w:val="22"/>
        </w:rPr>
        <w:t>Grada Dubrovnika</w:t>
      </w:r>
      <w:r w:rsidR="00B00F4C" w:rsidRPr="00B024F7">
        <w:rPr>
          <w:rFonts w:ascii="Arial" w:hAnsi="Arial" w:cs="Arial"/>
          <w:color w:val="auto"/>
          <w:sz w:val="22"/>
          <w:szCs w:val="22"/>
        </w:rPr>
        <w:t xml:space="preserve"> planiran</w:t>
      </w:r>
      <w:r w:rsidR="00B024F7" w:rsidRPr="00B024F7">
        <w:rPr>
          <w:rFonts w:ascii="Arial" w:hAnsi="Arial" w:cs="Arial"/>
          <w:color w:val="auto"/>
          <w:sz w:val="22"/>
          <w:szCs w:val="22"/>
        </w:rPr>
        <w:t>ih Proračunom</w:t>
      </w:r>
      <w:r w:rsidR="00B00F4C" w:rsidRPr="00B024F7">
        <w:rPr>
          <w:rFonts w:ascii="Arial" w:hAnsi="Arial" w:cs="Arial"/>
          <w:color w:val="auto"/>
          <w:sz w:val="22"/>
          <w:szCs w:val="22"/>
        </w:rPr>
        <w:t xml:space="preserve"> u 201</w:t>
      </w:r>
      <w:r w:rsidRPr="00B024F7">
        <w:rPr>
          <w:rFonts w:ascii="Arial" w:hAnsi="Arial" w:cs="Arial"/>
          <w:color w:val="auto"/>
          <w:sz w:val="22"/>
          <w:szCs w:val="22"/>
        </w:rPr>
        <w:t>9</w:t>
      </w:r>
      <w:r w:rsidR="00B00F4C" w:rsidRPr="00B024F7">
        <w:rPr>
          <w:rFonts w:ascii="Arial" w:hAnsi="Arial" w:cs="Arial"/>
          <w:color w:val="auto"/>
          <w:sz w:val="22"/>
          <w:szCs w:val="22"/>
        </w:rPr>
        <w:t>. godini realizirat će se</w:t>
      </w:r>
      <w:r w:rsidRPr="00B024F7">
        <w:rPr>
          <w:rFonts w:ascii="Arial" w:hAnsi="Arial" w:cs="Arial"/>
          <w:color w:val="auto"/>
          <w:sz w:val="22"/>
          <w:szCs w:val="22"/>
        </w:rPr>
        <w:t xml:space="preserve"> i</w:t>
      </w:r>
      <w:r w:rsidR="00B00F4C" w:rsidRPr="00B024F7">
        <w:rPr>
          <w:rFonts w:ascii="Arial" w:hAnsi="Arial" w:cs="Arial"/>
          <w:color w:val="auto"/>
          <w:sz w:val="22"/>
          <w:szCs w:val="22"/>
        </w:rPr>
        <w:t xml:space="preserve"> u drugoj polovici 201</w:t>
      </w:r>
      <w:r w:rsidRPr="00B024F7">
        <w:rPr>
          <w:rFonts w:ascii="Arial" w:hAnsi="Arial" w:cs="Arial"/>
          <w:color w:val="auto"/>
          <w:sz w:val="22"/>
          <w:szCs w:val="22"/>
        </w:rPr>
        <w:t>9</w:t>
      </w:r>
      <w:r w:rsidR="00B00F4C" w:rsidRPr="00B024F7">
        <w:rPr>
          <w:rFonts w:ascii="Arial" w:hAnsi="Arial" w:cs="Arial"/>
          <w:color w:val="auto"/>
          <w:sz w:val="22"/>
          <w:szCs w:val="22"/>
        </w:rPr>
        <w:t xml:space="preserve"> sukladno dinamici</w:t>
      </w:r>
      <w:r w:rsidR="00B024F7" w:rsidRPr="00B024F7">
        <w:rPr>
          <w:rFonts w:ascii="Arial" w:hAnsi="Arial" w:cs="Arial"/>
          <w:color w:val="auto"/>
          <w:sz w:val="22"/>
          <w:szCs w:val="22"/>
        </w:rPr>
        <w:t xml:space="preserve"> izvođenja</w:t>
      </w:r>
      <w:r w:rsidR="00B00F4C" w:rsidRPr="00B024F7">
        <w:rPr>
          <w:rFonts w:ascii="Arial" w:hAnsi="Arial" w:cs="Arial"/>
          <w:color w:val="auto"/>
          <w:sz w:val="22"/>
          <w:szCs w:val="22"/>
        </w:rPr>
        <w:t xml:space="preserve"> radova</w:t>
      </w:r>
      <w:r w:rsidR="0075174C">
        <w:rPr>
          <w:rFonts w:ascii="Arial" w:hAnsi="Arial" w:cs="Arial"/>
          <w:color w:val="auto"/>
          <w:sz w:val="22"/>
          <w:szCs w:val="22"/>
        </w:rPr>
        <w:t>.</w:t>
      </w:r>
    </w:p>
    <w:p w:rsidR="00B00F4C" w:rsidRPr="009A6244" w:rsidRDefault="00B00F4C" w:rsidP="001679F1">
      <w:pPr>
        <w:pStyle w:val="BodyText"/>
        <w:rPr>
          <w:rFonts w:ascii="Arial" w:hAnsi="Arial" w:cs="Arial"/>
          <w:color w:val="auto"/>
          <w:sz w:val="22"/>
          <w:szCs w:val="22"/>
        </w:rPr>
      </w:pPr>
    </w:p>
    <w:p w:rsidR="0056755D" w:rsidRPr="009A6244" w:rsidRDefault="0056755D" w:rsidP="001679F1">
      <w:pPr>
        <w:pStyle w:val="BodyText"/>
        <w:rPr>
          <w:rFonts w:ascii="Arial" w:hAnsi="Arial" w:cs="Arial"/>
          <w:color w:val="FF0000"/>
          <w:sz w:val="22"/>
          <w:szCs w:val="22"/>
        </w:rPr>
      </w:pPr>
    </w:p>
    <w:p w:rsidR="0056755D" w:rsidRPr="009A6244" w:rsidRDefault="0056755D"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Pr="009A6244" w:rsidRDefault="00E54CD5" w:rsidP="001679F1">
      <w:pPr>
        <w:pStyle w:val="BodyText"/>
        <w:rPr>
          <w:rFonts w:ascii="Arial" w:hAnsi="Arial" w:cs="Arial"/>
          <w:color w:val="auto"/>
          <w:sz w:val="22"/>
          <w:szCs w:val="22"/>
        </w:rPr>
      </w:pPr>
    </w:p>
    <w:p w:rsidR="00E54CD5" w:rsidRDefault="00E54CD5" w:rsidP="001679F1">
      <w:pPr>
        <w:pStyle w:val="BodyText"/>
        <w:rPr>
          <w:rFonts w:ascii="Arial" w:hAnsi="Arial" w:cs="Arial"/>
          <w:color w:val="auto"/>
          <w:sz w:val="22"/>
          <w:szCs w:val="22"/>
        </w:rPr>
      </w:pPr>
    </w:p>
    <w:p w:rsidR="009A6244" w:rsidRDefault="009A6244" w:rsidP="001679F1">
      <w:pPr>
        <w:pStyle w:val="BodyText"/>
        <w:rPr>
          <w:rFonts w:ascii="Arial" w:hAnsi="Arial" w:cs="Arial"/>
          <w:color w:val="auto"/>
          <w:sz w:val="22"/>
          <w:szCs w:val="22"/>
        </w:rPr>
      </w:pPr>
    </w:p>
    <w:p w:rsidR="009A6244" w:rsidRDefault="009A6244" w:rsidP="001679F1">
      <w:pPr>
        <w:pStyle w:val="BodyText"/>
        <w:rPr>
          <w:rFonts w:ascii="Arial" w:hAnsi="Arial" w:cs="Arial"/>
          <w:color w:val="auto"/>
          <w:sz w:val="22"/>
          <w:szCs w:val="22"/>
        </w:rPr>
      </w:pPr>
    </w:p>
    <w:p w:rsidR="009A6244" w:rsidRDefault="009A6244" w:rsidP="001679F1">
      <w:pPr>
        <w:pStyle w:val="BodyText"/>
        <w:rPr>
          <w:rFonts w:ascii="Arial" w:hAnsi="Arial" w:cs="Arial"/>
          <w:color w:val="auto"/>
          <w:sz w:val="22"/>
          <w:szCs w:val="22"/>
        </w:rPr>
      </w:pPr>
    </w:p>
    <w:p w:rsidR="009A6244" w:rsidRDefault="009A6244" w:rsidP="001679F1">
      <w:pPr>
        <w:pStyle w:val="BodyText"/>
        <w:rPr>
          <w:rFonts w:ascii="Arial" w:hAnsi="Arial" w:cs="Arial"/>
          <w:color w:val="auto"/>
          <w:sz w:val="22"/>
          <w:szCs w:val="22"/>
        </w:rPr>
      </w:pPr>
    </w:p>
    <w:p w:rsidR="009A6244" w:rsidRPr="009A6244" w:rsidRDefault="009A6244" w:rsidP="001679F1">
      <w:pPr>
        <w:pStyle w:val="BodyText"/>
        <w:rPr>
          <w:rFonts w:ascii="Arial" w:hAnsi="Arial" w:cs="Arial"/>
          <w:color w:val="auto"/>
          <w:sz w:val="22"/>
          <w:szCs w:val="22"/>
        </w:rPr>
      </w:pPr>
    </w:p>
    <w:p w:rsidR="00DA53E6" w:rsidRDefault="00DA53E6" w:rsidP="001679F1">
      <w:pPr>
        <w:pStyle w:val="BodyText"/>
        <w:rPr>
          <w:rFonts w:ascii="Arial" w:hAnsi="Arial" w:cs="Arial"/>
          <w:color w:val="auto"/>
          <w:sz w:val="22"/>
          <w:szCs w:val="22"/>
        </w:rPr>
      </w:pPr>
    </w:p>
    <w:p w:rsidR="006B24EE" w:rsidRPr="009A6244" w:rsidRDefault="006B24EE" w:rsidP="001679F1">
      <w:pPr>
        <w:pStyle w:val="BodyText"/>
        <w:rPr>
          <w:rFonts w:ascii="Arial" w:hAnsi="Arial" w:cs="Arial"/>
          <w:color w:val="auto"/>
          <w:sz w:val="22"/>
          <w:szCs w:val="22"/>
        </w:rPr>
      </w:pPr>
    </w:p>
    <w:p w:rsidR="004D48FA" w:rsidRDefault="009307B3" w:rsidP="008D36A8">
      <w:pPr>
        <w:pStyle w:val="Heading6"/>
        <w:ind w:firstLine="708"/>
        <w:rPr>
          <w:rFonts w:ascii="Arial" w:hAnsi="Arial" w:cs="Arial"/>
          <w:color w:val="auto"/>
          <w:sz w:val="22"/>
          <w:szCs w:val="22"/>
          <w:u w:val="single"/>
        </w:rPr>
      </w:pPr>
      <w:r w:rsidRPr="009A6244">
        <w:rPr>
          <w:rFonts w:ascii="Arial" w:hAnsi="Arial" w:cs="Arial"/>
          <w:color w:val="auto"/>
          <w:sz w:val="22"/>
          <w:szCs w:val="22"/>
          <w:u w:val="single"/>
        </w:rPr>
        <w:t xml:space="preserve">III   </w:t>
      </w:r>
      <w:r w:rsidR="004D48FA" w:rsidRPr="009A6244">
        <w:rPr>
          <w:rFonts w:ascii="Arial" w:hAnsi="Arial" w:cs="Arial"/>
          <w:color w:val="auto"/>
          <w:sz w:val="22"/>
          <w:szCs w:val="22"/>
          <w:u w:val="single"/>
        </w:rPr>
        <w:t>RASHODI</w:t>
      </w:r>
      <w:r w:rsidR="00FC0226" w:rsidRPr="009A6244">
        <w:rPr>
          <w:rFonts w:ascii="Arial" w:hAnsi="Arial" w:cs="Arial"/>
          <w:color w:val="auto"/>
          <w:sz w:val="22"/>
          <w:szCs w:val="22"/>
          <w:u w:val="single"/>
        </w:rPr>
        <w:t xml:space="preserve">  I  IZDACI</w:t>
      </w:r>
    </w:p>
    <w:p w:rsidR="00545688" w:rsidRPr="00545688" w:rsidRDefault="00545688" w:rsidP="00545688"/>
    <w:p w:rsidR="00C6386E" w:rsidRPr="009A6244" w:rsidRDefault="00C6386E" w:rsidP="0067301E">
      <w:pPr>
        <w:pStyle w:val="BodyText"/>
        <w:rPr>
          <w:rFonts w:ascii="Arial" w:hAnsi="Arial" w:cs="Arial"/>
          <w:color w:val="auto"/>
          <w:sz w:val="22"/>
          <w:szCs w:val="22"/>
        </w:rPr>
      </w:pPr>
    </w:p>
    <w:p w:rsidR="00B02DAF" w:rsidRPr="009A6244" w:rsidRDefault="004D48FA" w:rsidP="001679F1">
      <w:pPr>
        <w:pStyle w:val="BodyText"/>
        <w:rPr>
          <w:rFonts w:ascii="Arial" w:hAnsi="Arial" w:cs="Arial"/>
          <w:color w:val="FF0000"/>
          <w:sz w:val="22"/>
          <w:szCs w:val="22"/>
        </w:rPr>
      </w:pPr>
      <w:r w:rsidRPr="009A6244">
        <w:rPr>
          <w:rFonts w:ascii="Arial" w:hAnsi="Arial" w:cs="Arial"/>
          <w:color w:val="auto"/>
          <w:sz w:val="22"/>
          <w:szCs w:val="22"/>
        </w:rPr>
        <w:t>U Općem dijelu proračuna, planirani izdaci proračuna iskazani su sintetički po skupinama, a u Posebnom dijelu te skupine dijelimo analitički po kontima, odnosno iskazujemo ih po mjestu troška. U ovom dijelu obrazložiti ćemo Opći dio, dok će obrazloženje Proračuna sa ostvarenjem izdataka</w:t>
      </w:r>
      <w:r w:rsidR="005E7C36" w:rsidRPr="009A6244">
        <w:rPr>
          <w:rFonts w:ascii="Arial" w:hAnsi="Arial" w:cs="Arial"/>
          <w:color w:val="auto"/>
          <w:sz w:val="22"/>
          <w:szCs w:val="22"/>
        </w:rPr>
        <w:t xml:space="preserve"> u pisanoj formi dati pročelnici Upravnih odjela svaki za svoj odjel</w:t>
      </w:r>
      <w:r w:rsidR="0021622E" w:rsidRPr="009A6244">
        <w:rPr>
          <w:rFonts w:ascii="Arial" w:hAnsi="Arial" w:cs="Arial"/>
          <w:color w:val="auto"/>
          <w:sz w:val="22"/>
          <w:szCs w:val="22"/>
        </w:rPr>
        <w:t xml:space="preserve"> i isti čine sastavni dio ovog obrazloženja.</w:t>
      </w:r>
    </w:p>
    <w:p w:rsidR="00B02DAF" w:rsidRPr="009A6244" w:rsidRDefault="00B02DAF" w:rsidP="001679F1">
      <w:pPr>
        <w:pStyle w:val="BodyText"/>
        <w:rPr>
          <w:rFonts w:ascii="Arial" w:hAnsi="Arial" w:cs="Arial"/>
          <w:color w:val="FF0000"/>
          <w:sz w:val="22"/>
          <w:szCs w:val="22"/>
        </w:rPr>
      </w:pPr>
    </w:p>
    <w:p w:rsidR="00B02DAF" w:rsidRPr="009A6244" w:rsidRDefault="00B02DAF" w:rsidP="001679F1">
      <w:pPr>
        <w:pStyle w:val="BodyText"/>
        <w:rPr>
          <w:rFonts w:ascii="Arial" w:hAnsi="Arial" w:cs="Arial"/>
          <w:color w:val="FF0000"/>
          <w:sz w:val="22"/>
          <w:szCs w:val="22"/>
        </w:rPr>
      </w:pPr>
      <w:bookmarkStart w:id="0" w:name="_Hlk17707642"/>
    </w:p>
    <w:p w:rsidR="006A7BDB" w:rsidRDefault="004D48FA" w:rsidP="00C6386E">
      <w:pPr>
        <w:pStyle w:val="BodyTextIndent"/>
        <w:ind w:firstLine="0"/>
        <w:rPr>
          <w:rFonts w:ascii="Arial" w:hAnsi="Arial" w:cs="Arial"/>
          <w:b/>
          <w:color w:val="auto"/>
          <w:sz w:val="22"/>
          <w:szCs w:val="22"/>
        </w:rPr>
      </w:pPr>
      <w:r w:rsidRPr="009A6244">
        <w:rPr>
          <w:rFonts w:ascii="Arial" w:hAnsi="Arial" w:cs="Arial"/>
          <w:b/>
          <w:color w:val="auto"/>
          <w:sz w:val="22"/>
          <w:szCs w:val="22"/>
        </w:rPr>
        <w:t>Tabl</w:t>
      </w:r>
      <w:r w:rsidR="00186C06" w:rsidRPr="009A6244">
        <w:rPr>
          <w:rFonts w:ascii="Arial" w:hAnsi="Arial" w:cs="Arial"/>
          <w:b/>
          <w:color w:val="auto"/>
          <w:sz w:val="22"/>
          <w:szCs w:val="22"/>
        </w:rPr>
        <w:t>ica</w:t>
      </w:r>
      <w:r w:rsidRPr="009A6244">
        <w:rPr>
          <w:rFonts w:ascii="Arial" w:hAnsi="Arial" w:cs="Arial"/>
          <w:b/>
          <w:color w:val="auto"/>
          <w:sz w:val="22"/>
          <w:szCs w:val="22"/>
        </w:rPr>
        <w:t xml:space="preserve"> br.4. </w:t>
      </w:r>
      <w:r w:rsidR="006A7BDB">
        <w:rPr>
          <w:rFonts w:ascii="Arial" w:hAnsi="Arial" w:cs="Arial"/>
          <w:b/>
          <w:color w:val="auto"/>
          <w:sz w:val="22"/>
          <w:szCs w:val="22"/>
        </w:rPr>
        <w:t>Konsolidirano izvješće</w:t>
      </w:r>
      <w:r w:rsidR="0087360C">
        <w:rPr>
          <w:rFonts w:ascii="Arial" w:hAnsi="Arial" w:cs="Arial"/>
          <w:b/>
          <w:color w:val="auto"/>
          <w:sz w:val="22"/>
          <w:szCs w:val="22"/>
        </w:rPr>
        <w:t xml:space="preserve"> (sa proračunskim korisnicima)</w:t>
      </w:r>
    </w:p>
    <w:p w:rsidR="004D48FA" w:rsidRPr="009A6244" w:rsidRDefault="004D48FA" w:rsidP="00C6386E">
      <w:pPr>
        <w:pStyle w:val="BodyTextIndent"/>
        <w:ind w:firstLine="0"/>
        <w:rPr>
          <w:rFonts w:ascii="Arial" w:hAnsi="Arial" w:cs="Arial"/>
          <w:color w:val="auto"/>
          <w:sz w:val="22"/>
          <w:szCs w:val="22"/>
        </w:rPr>
      </w:pPr>
      <w:r w:rsidRPr="009A6244">
        <w:rPr>
          <w:rFonts w:ascii="Arial" w:hAnsi="Arial" w:cs="Arial"/>
          <w:color w:val="auto"/>
          <w:sz w:val="22"/>
          <w:szCs w:val="22"/>
        </w:rPr>
        <w:t>u 000 kuna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559"/>
        <w:gridCol w:w="1134"/>
        <w:gridCol w:w="1426"/>
        <w:gridCol w:w="810"/>
        <w:gridCol w:w="882"/>
      </w:tblGrid>
      <w:tr w:rsidR="00F215B5" w:rsidRPr="009A6244" w:rsidTr="00F215B5">
        <w:tc>
          <w:tcPr>
            <w:tcW w:w="3261" w:type="dxa"/>
            <w:shd w:val="clear" w:color="auto" w:fill="FFFFFF"/>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bookmarkStart w:id="1" w:name="_Hlk17707575"/>
            <w:bookmarkEnd w:id="0"/>
            <w:r w:rsidRPr="009A6244">
              <w:rPr>
                <w:rFonts w:ascii="Arial" w:hAnsi="Arial" w:cs="Arial"/>
                <w:b/>
                <w:color w:val="auto"/>
                <w:sz w:val="22"/>
                <w:szCs w:val="22"/>
              </w:rPr>
              <w:t>RASHODI</w:t>
            </w:r>
          </w:p>
        </w:tc>
        <w:tc>
          <w:tcPr>
            <w:tcW w:w="1559" w:type="dxa"/>
            <w:shd w:val="clear" w:color="auto" w:fill="FFFFFF"/>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9A6244">
              <w:rPr>
                <w:rFonts w:ascii="Arial" w:hAnsi="Arial" w:cs="Arial"/>
                <w:b/>
                <w:color w:val="auto"/>
                <w:sz w:val="22"/>
                <w:szCs w:val="22"/>
              </w:rPr>
              <w:t>Ostvarenje</w:t>
            </w:r>
          </w:p>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 xml:space="preserve">01.- 06. </w:t>
            </w:r>
            <w:r>
              <w:rPr>
                <w:rFonts w:ascii="Arial" w:hAnsi="Arial" w:cs="Arial"/>
                <w:b/>
                <w:color w:val="auto"/>
                <w:sz w:val="22"/>
                <w:szCs w:val="22"/>
              </w:rPr>
              <w:t>20</w:t>
            </w:r>
            <w:r w:rsidRPr="009A6244">
              <w:rPr>
                <w:rFonts w:ascii="Arial" w:hAnsi="Arial" w:cs="Arial"/>
                <w:b/>
                <w:color w:val="auto"/>
                <w:sz w:val="22"/>
                <w:szCs w:val="22"/>
              </w:rPr>
              <w:t>18.</w:t>
            </w:r>
          </w:p>
        </w:tc>
        <w:tc>
          <w:tcPr>
            <w:tcW w:w="1134" w:type="dxa"/>
            <w:shd w:val="clear" w:color="auto" w:fill="FFFFFF"/>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Plan</w:t>
            </w:r>
          </w:p>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201</w:t>
            </w:r>
            <w:r>
              <w:rPr>
                <w:rFonts w:ascii="Arial" w:hAnsi="Arial" w:cs="Arial"/>
                <w:b/>
                <w:color w:val="auto"/>
                <w:sz w:val="22"/>
                <w:szCs w:val="22"/>
              </w:rPr>
              <w:t>9</w:t>
            </w:r>
            <w:r w:rsidRPr="009A6244">
              <w:rPr>
                <w:rFonts w:ascii="Arial" w:hAnsi="Arial" w:cs="Arial"/>
                <w:b/>
                <w:color w:val="auto"/>
                <w:sz w:val="22"/>
                <w:szCs w:val="22"/>
              </w:rPr>
              <w:t>.</w:t>
            </w:r>
          </w:p>
        </w:tc>
        <w:tc>
          <w:tcPr>
            <w:tcW w:w="1426" w:type="dxa"/>
            <w:shd w:val="clear" w:color="auto" w:fill="FFFFFF"/>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9A6244">
              <w:rPr>
                <w:rFonts w:ascii="Arial" w:hAnsi="Arial" w:cs="Arial"/>
                <w:b/>
                <w:color w:val="auto"/>
                <w:sz w:val="22"/>
                <w:szCs w:val="22"/>
              </w:rPr>
              <w:t>Ostvarenje</w:t>
            </w:r>
          </w:p>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 xml:space="preserve">01.- 06. </w:t>
            </w:r>
            <w:r>
              <w:rPr>
                <w:rFonts w:ascii="Arial" w:hAnsi="Arial" w:cs="Arial"/>
                <w:b/>
                <w:color w:val="auto"/>
                <w:sz w:val="22"/>
                <w:szCs w:val="22"/>
              </w:rPr>
              <w:t>20</w:t>
            </w:r>
            <w:r w:rsidRPr="009A6244">
              <w:rPr>
                <w:rFonts w:ascii="Arial" w:hAnsi="Arial" w:cs="Arial"/>
                <w:b/>
                <w:color w:val="auto"/>
                <w:sz w:val="22"/>
                <w:szCs w:val="22"/>
              </w:rPr>
              <w:t>1</w:t>
            </w:r>
            <w:r>
              <w:rPr>
                <w:rFonts w:ascii="Arial" w:hAnsi="Arial" w:cs="Arial"/>
                <w:b/>
                <w:color w:val="auto"/>
                <w:sz w:val="22"/>
                <w:szCs w:val="22"/>
              </w:rPr>
              <w:t>9</w:t>
            </w:r>
            <w:r w:rsidRPr="009A6244">
              <w:rPr>
                <w:rFonts w:ascii="Arial" w:hAnsi="Arial" w:cs="Arial"/>
                <w:b/>
                <w:color w:val="auto"/>
                <w:sz w:val="22"/>
                <w:szCs w:val="22"/>
              </w:rPr>
              <w:t>.</w:t>
            </w:r>
          </w:p>
        </w:tc>
        <w:tc>
          <w:tcPr>
            <w:tcW w:w="810" w:type="dxa"/>
            <w:shd w:val="clear" w:color="auto" w:fill="FFFFFF"/>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4/2</w:t>
            </w:r>
          </w:p>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p>
        </w:tc>
        <w:tc>
          <w:tcPr>
            <w:tcW w:w="882" w:type="dxa"/>
            <w:shd w:val="clear" w:color="auto" w:fill="FFFFFF"/>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4/3</w:t>
            </w:r>
          </w:p>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p>
        </w:tc>
      </w:tr>
      <w:tr w:rsidR="00F215B5" w:rsidRPr="009A6244" w:rsidTr="00F215B5">
        <w:trPr>
          <w:trHeight w:val="340"/>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1</w:t>
            </w:r>
          </w:p>
        </w:tc>
        <w:tc>
          <w:tcPr>
            <w:tcW w:w="1559"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3</w:t>
            </w:r>
          </w:p>
        </w:tc>
        <w:tc>
          <w:tcPr>
            <w:tcW w:w="1426"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4</w:t>
            </w:r>
          </w:p>
        </w:tc>
        <w:tc>
          <w:tcPr>
            <w:tcW w:w="810"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5</w:t>
            </w:r>
          </w:p>
        </w:tc>
        <w:tc>
          <w:tcPr>
            <w:tcW w:w="882"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6</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Rashodi za zaposlene</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6</w:t>
            </w:r>
            <w:r w:rsidR="00AF55FC" w:rsidRPr="00B0084E">
              <w:rPr>
                <w:rFonts w:ascii="Arial" w:hAnsi="Arial" w:cs="Arial"/>
                <w:color w:val="auto"/>
                <w:sz w:val="22"/>
                <w:szCs w:val="22"/>
              </w:rPr>
              <w:t>6</w:t>
            </w:r>
            <w:r w:rsidRPr="00B0084E">
              <w:rPr>
                <w:rFonts w:ascii="Arial" w:hAnsi="Arial" w:cs="Arial"/>
                <w:color w:val="auto"/>
                <w:sz w:val="22"/>
                <w:szCs w:val="22"/>
              </w:rPr>
              <w:t>.</w:t>
            </w:r>
            <w:r w:rsidR="00AF55FC" w:rsidRPr="00B0084E">
              <w:rPr>
                <w:rFonts w:ascii="Arial" w:hAnsi="Arial" w:cs="Arial"/>
                <w:color w:val="auto"/>
                <w:sz w:val="22"/>
                <w:szCs w:val="22"/>
              </w:rPr>
              <w:t>205</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140.544</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67.610</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102</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48</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Materijalni rashodi</w:t>
            </w:r>
          </w:p>
        </w:tc>
        <w:tc>
          <w:tcPr>
            <w:tcW w:w="1559" w:type="dxa"/>
            <w:vAlign w:val="center"/>
          </w:tcPr>
          <w:p w:rsidR="00F215B5" w:rsidRPr="00B0084E" w:rsidRDefault="00AF55FC"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56</w:t>
            </w:r>
            <w:r w:rsidR="00F215B5" w:rsidRPr="00B0084E">
              <w:rPr>
                <w:rFonts w:ascii="Arial" w:hAnsi="Arial" w:cs="Arial"/>
                <w:color w:val="auto"/>
                <w:sz w:val="22"/>
                <w:szCs w:val="22"/>
              </w:rPr>
              <w:t>.</w:t>
            </w:r>
            <w:r w:rsidRPr="00B0084E">
              <w:rPr>
                <w:rFonts w:ascii="Arial" w:hAnsi="Arial" w:cs="Arial"/>
                <w:color w:val="auto"/>
                <w:sz w:val="22"/>
                <w:szCs w:val="22"/>
              </w:rPr>
              <w:t>461</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192.865</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65.330</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116</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34</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Financijski rashodi</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1.</w:t>
            </w:r>
            <w:r w:rsidR="00AF55FC" w:rsidRPr="00B0084E">
              <w:rPr>
                <w:rFonts w:ascii="Arial" w:hAnsi="Arial" w:cs="Arial"/>
                <w:color w:val="auto"/>
                <w:sz w:val="22"/>
                <w:szCs w:val="22"/>
              </w:rPr>
              <w:t>786</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4.710</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1.772</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99</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38</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Subvencije</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7.837</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23.092</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8.399</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107</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36</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Pomoći</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6.58</w:t>
            </w:r>
            <w:r w:rsidR="00AF55FC" w:rsidRPr="00B0084E">
              <w:rPr>
                <w:rFonts w:ascii="Arial" w:hAnsi="Arial" w:cs="Arial"/>
                <w:color w:val="auto"/>
                <w:sz w:val="22"/>
                <w:szCs w:val="22"/>
              </w:rPr>
              <w:t>2</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47.094</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21.129</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321</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45</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Naknade građanima i kućanstvima</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10.</w:t>
            </w:r>
            <w:r w:rsidR="00B0084E" w:rsidRPr="00B0084E">
              <w:rPr>
                <w:rFonts w:ascii="Arial" w:hAnsi="Arial" w:cs="Arial"/>
                <w:color w:val="auto"/>
                <w:sz w:val="22"/>
                <w:szCs w:val="22"/>
              </w:rPr>
              <w:t>8</w:t>
            </w:r>
            <w:r w:rsidR="00AF55FC" w:rsidRPr="00B0084E">
              <w:rPr>
                <w:rFonts w:ascii="Arial" w:hAnsi="Arial" w:cs="Arial"/>
                <w:color w:val="auto"/>
                <w:sz w:val="22"/>
                <w:szCs w:val="22"/>
              </w:rPr>
              <w:t>2</w:t>
            </w:r>
            <w:r w:rsidR="00B06022">
              <w:rPr>
                <w:rFonts w:ascii="Arial" w:hAnsi="Arial" w:cs="Arial"/>
                <w:color w:val="auto"/>
                <w:sz w:val="22"/>
                <w:szCs w:val="22"/>
              </w:rPr>
              <w:t>8</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27.369</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11.863</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109</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43</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Ostali rashodi</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32.45</w:t>
            </w:r>
            <w:r w:rsidR="00AF55FC" w:rsidRPr="00B0084E">
              <w:rPr>
                <w:rFonts w:ascii="Arial" w:hAnsi="Arial" w:cs="Arial"/>
                <w:color w:val="auto"/>
                <w:sz w:val="22"/>
                <w:szCs w:val="22"/>
              </w:rPr>
              <w:t>9</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69.262</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27.447</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84</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40</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Rashodi za nabavu ne proizvedene imovine</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0</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30.107</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1.397</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5</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Rashodi za nabavu proizvedene dugotrajne imovine</w:t>
            </w:r>
          </w:p>
        </w:tc>
        <w:tc>
          <w:tcPr>
            <w:tcW w:w="1559" w:type="dxa"/>
            <w:vAlign w:val="center"/>
          </w:tcPr>
          <w:p w:rsidR="00F215B5" w:rsidRPr="00B0084E" w:rsidRDefault="00AF55FC"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21</w:t>
            </w:r>
            <w:r w:rsidR="00F215B5" w:rsidRPr="00B0084E">
              <w:rPr>
                <w:rFonts w:ascii="Arial" w:hAnsi="Arial" w:cs="Arial"/>
                <w:color w:val="auto"/>
                <w:sz w:val="22"/>
                <w:szCs w:val="22"/>
              </w:rPr>
              <w:t>.0</w:t>
            </w:r>
            <w:r w:rsidRPr="00B0084E">
              <w:rPr>
                <w:rFonts w:ascii="Arial" w:hAnsi="Arial" w:cs="Arial"/>
                <w:color w:val="auto"/>
                <w:sz w:val="22"/>
                <w:szCs w:val="22"/>
              </w:rPr>
              <w:t>45</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137.059</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41.670</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198</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30</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 xml:space="preserve">Rashodi za dodatna ulaganja </w:t>
            </w:r>
          </w:p>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na nefinancijskoj imovini i rashodi za plemenite metale, umjetnička i znanstvena djela</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2.6</w:t>
            </w:r>
            <w:r w:rsidR="00AF55FC" w:rsidRPr="00B0084E">
              <w:rPr>
                <w:rFonts w:ascii="Arial" w:hAnsi="Arial" w:cs="Arial"/>
                <w:color w:val="auto"/>
                <w:sz w:val="22"/>
                <w:szCs w:val="22"/>
              </w:rPr>
              <w:t>14</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120.588</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23.32</w:t>
            </w:r>
            <w:r w:rsidR="00704154">
              <w:rPr>
                <w:rFonts w:ascii="Arial" w:hAnsi="Arial" w:cs="Arial"/>
                <w:color w:val="auto"/>
                <w:sz w:val="22"/>
                <w:szCs w:val="22"/>
              </w:rPr>
              <w:t>0</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892</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19</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Izdaci za dane zajmove</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0</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200</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0</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r>
      <w:tr w:rsidR="00291E84" w:rsidRPr="009A6244" w:rsidTr="00F215B5">
        <w:trPr>
          <w:trHeight w:val="397"/>
        </w:trPr>
        <w:tc>
          <w:tcPr>
            <w:tcW w:w="3261" w:type="dxa"/>
            <w:vAlign w:val="center"/>
          </w:tcPr>
          <w:p w:rsidR="00291E84" w:rsidRPr="009A6244" w:rsidRDefault="00291E84"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Pr>
                <w:rFonts w:ascii="Arial" w:hAnsi="Arial" w:cs="Arial"/>
                <w:color w:val="auto"/>
                <w:sz w:val="22"/>
                <w:szCs w:val="22"/>
              </w:rPr>
              <w:t>Izdaci za dionice i udjele u glavnici</w:t>
            </w:r>
          </w:p>
        </w:tc>
        <w:tc>
          <w:tcPr>
            <w:tcW w:w="1559" w:type="dxa"/>
            <w:vAlign w:val="center"/>
          </w:tcPr>
          <w:p w:rsidR="00291E84" w:rsidRPr="00B0084E" w:rsidRDefault="00AF55FC"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0</w:t>
            </w:r>
          </w:p>
        </w:tc>
        <w:tc>
          <w:tcPr>
            <w:tcW w:w="1134" w:type="dxa"/>
            <w:vAlign w:val="center"/>
          </w:tcPr>
          <w:p w:rsidR="00291E84" w:rsidRDefault="00291E84"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16.979</w:t>
            </w:r>
          </w:p>
        </w:tc>
        <w:tc>
          <w:tcPr>
            <w:tcW w:w="1426" w:type="dxa"/>
            <w:vAlign w:val="center"/>
          </w:tcPr>
          <w:p w:rsidR="00291E84"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16.979</w:t>
            </w:r>
          </w:p>
        </w:tc>
        <w:tc>
          <w:tcPr>
            <w:tcW w:w="810" w:type="dxa"/>
            <w:vAlign w:val="center"/>
          </w:tcPr>
          <w:p w:rsidR="00291E84"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c>
          <w:tcPr>
            <w:tcW w:w="882" w:type="dxa"/>
            <w:vAlign w:val="center"/>
          </w:tcPr>
          <w:p w:rsidR="00291E84"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100</w:t>
            </w:r>
          </w:p>
        </w:tc>
      </w:tr>
      <w:tr w:rsidR="00F215B5" w:rsidRPr="009A6244" w:rsidTr="00F215B5">
        <w:trPr>
          <w:trHeight w:val="397"/>
        </w:trPr>
        <w:tc>
          <w:tcPr>
            <w:tcW w:w="3261"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Izdaci za otplatu glavnice primljenih zajmova</w:t>
            </w:r>
          </w:p>
        </w:tc>
        <w:tc>
          <w:tcPr>
            <w:tcW w:w="1559" w:type="dxa"/>
            <w:vAlign w:val="center"/>
          </w:tcPr>
          <w:p w:rsidR="00F215B5" w:rsidRPr="00B0084E"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B0084E">
              <w:rPr>
                <w:rFonts w:ascii="Arial" w:hAnsi="Arial" w:cs="Arial"/>
                <w:color w:val="auto"/>
                <w:sz w:val="22"/>
                <w:szCs w:val="22"/>
              </w:rPr>
              <w:t>4.9</w:t>
            </w:r>
            <w:r w:rsidR="00AF55FC" w:rsidRPr="00B0084E">
              <w:rPr>
                <w:rFonts w:ascii="Arial" w:hAnsi="Arial" w:cs="Arial"/>
                <w:color w:val="auto"/>
                <w:sz w:val="22"/>
                <w:szCs w:val="22"/>
              </w:rPr>
              <w:t>86</w:t>
            </w:r>
          </w:p>
        </w:tc>
        <w:tc>
          <w:tcPr>
            <w:tcW w:w="1134" w:type="dxa"/>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10.203</w:t>
            </w:r>
          </w:p>
        </w:tc>
        <w:tc>
          <w:tcPr>
            <w:tcW w:w="1426" w:type="dxa"/>
            <w:vAlign w:val="center"/>
          </w:tcPr>
          <w:p w:rsidR="00F215B5" w:rsidRPr="009A6244" w:rsidRDefault="00F1171D"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6.113</w:t>
            </w:r>
          </w:p>
        </w:tc>
        <w:tc>
          <w:tcPr>
            <w:tcW w:w="810"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123</w:t>
            </w:r>
          </w:p>
        </w:tc>
        <w:tc>
          <w:tcPr>
            <w:tcW w:w="882" w:type="dxa"/>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60</w:t>
            </w:r>
          </w:p>
        </w:tc>
      </w:tr>
      <w:tr w:rsidR="00F215B5" w:rsidRPr="009A6244" w:rsidTr="00F215B5">
        <w:trPr>
          <w:trHeight w:val="476"/>
        </w:trPr>
        <w:tc>
          <w:tcPr>
            <w:tcW w:w="3261" w:type="dxa"/>
            <w:shd w:val="clear" w:color="auto" w:fill="FFFFFF"/>
            <w:vAlign w:val="center"/>
          </w:tcPr>
          <w:p w:rsidR="00F215B5" w:rsidRPr="009A6244" w:rsidRDefault="00F215B5"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auto"/>
                <w:sz w:val="22"/>
                <w:szCs w:val="22"/>
              </w:rPr>
            </w:pPr>
            <w:r w:rsidRPr="009A6244">
              <w:rPr>
                <w:rFonts w:ascii="Arial" w:hAnsi="Arial" w:cs="Arial"/>
                <w:b/>
                <w:color w:val="auto"/>
                <w:sz w:val="22"/>
                <w:szCs w:val="22"/>
              </w:rPr>
              <w:t xml:space="preserve">U k u p n o     r a s h o d i : </w:t>
            </w:r>
          </w:p>
        </w:tc>
        <w:tc>
          <w:tcPr>
            <w:tcW w:w="1559" w:type="dxa"/>
            <w:shd w:val="clear" w:color="auto" w:fill="FFFFFF"/>
            <w:vAlign w:val="center"/>
          </w:tcPr>
          <w:p w:rsidR="00F215B5" w:rsidRPr="00B0084E"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sidRPr="00B0084E">
              <w:rPr>
                <w:rFonts w:ascii="Arial" w:hAnsi="Arial" w:cs="Arial"/>
                <w:b/>
                <w:color w:val="auto"/>
                <w:sz w:val="22"/>
                <w:szCs w:val="22"/>
              </w:rPr>
              <w:t>210.80</w:t>
            </w:r>
            <w:r w:rsidR="00B06022">
              <w:rPr>
                <w:rFonts w:ascii="Arial" w:hAnsi="Arial" w:cs="Arial"/>
                <w:b/>
                <w:color w:val="auto"/>
                <w:sz w:val="22"/>
                <w:szCs w:val="22"/>
              </w:rPr>
              <w:t>3</w:t>
            </w:r>
          </w:p>
        </w:tc>
        <w:tc>
          <w:tcPr>
            <w:tcW w:w="1134" w:type="dxa"/>
            <w:shd w:val="clear" w:color="auto" w:fill="FFFFFF"/>
            <w:vAlign w:val="center"/>
          </w:tcPr>
          <w:p w:rsidR="00F215B5" w:rsidRPr="009A6244" w:rsidRDefault="00291E84"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Pr>
                <w:rFonts w:ascii="Arial" w:hAnsi="Arial" w:cs="Arial"/>
                <w:b/>
                <w:color w:val="auto"/>
                <w:sz w:val="22"/>
                <w:szCs w:val="22"/>
              </w:rPr>
              <w:t>820.072</w:t>
            </w:r>
          </w:p>
        </w:tc>
        <w:tc>
          <w:tcPr>
            <w:tcW w:w="1426" w:type="dxa"/>
            <w:shd w:val="clear" w:color="auto" w:fill="FFFFFF"/>
            <w:vAlign w:val="center"/>
          </w:tcPr>
          <w:p w:rsidR="00F215B5" w:rsidRPr="009A6244" w:rsidRDefault="00704154"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Pr>
                <w:rFonts w:ascii="Arial" w:hAnsi="Arial" w:cs="Arial"/>
                <w:b/>
                <w:color w:val="auto"/>
                <w:sz w:val="22"/>
                <w:szCs w:val="22"/>
              </w:rPr>
              <w:t>293.029</w:t>
            </w:r>
          </w:p>
        </w:tc>
        <w:tc>
          <w:tcPr>
            <w:tcW w:w="810" w:type="dxa"/>
            <w:shd w:val="clear" w:color="auto" w:fill="FFFFFF"/>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Pr>
                <w:rFonts w:ascii="Arial" w:hAnsi="Arial" w:cs="Arial"/>
                <w:b/>
                <w:color w:val="auto"/>
                <w:sz w:val="22"/>
                <w:szCs w:val="22"/>
              </w:rPr>
              <w:t>139</w:t>
            </w:r>
          </w:p>
        </w:tc>
        <w:tc>
          <w:tcPr>
            <w:tcW w:w="882" w:type="dxa"/>
            <w:shd w:val="clear" w:color="auto" w:fill="FFFFFF"/>
            <w:vAlign w:val="center"/>
          </w:tcPr>
          <w:p w:rsidR="00F215B5" w:rsidRPr="009A6244" w:rsidRDefault="00B0084E" w:rsidP="00F215B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Pr>
                <w:rFonts w:ascii="Arial" w:hAnsi="Arial" w:cs="Arial"/>
                <w:b/>
                <w:color w:val="auto"/>
                <w:sz w:val="22"/>
                <w:szCs w:val="22"/>
              </w:rPr>
              <w:t>36</w:t>
            </w:r>
          </w:p>
        </w:tc>
      </w:tr>
      <w:bookmarkEnd w:id="1"/>
    </w:tbl>
    <w:p w:rsidR="00C6386E" w:rsidRPr="009A6244" w:rsidRDefault="00C6386E" w:rsidP="0067301E">
      <w:pPr>
        <w:pStyle w:val="BodyText"/>
        <w:rPr>
          <w:rFonts w:ascii="Arial" w:hAnsi="Arial" w:cs="Arial"/>
          <w:b/>
          <w:color w:val="FF0000"/>
          <w:sz w:val="22"/>
          <w:szCs w:val="22"/>
        </w:rPr>
      </w:pPr>
    </w:p>
    <w:p w:rsidR="00704154" w:rsidRDefault="00704154" w:rsidP="0067301E">
      <w:pPr>
        <w:pStyle w:val="BodyText"/>
        <w:rPr>
          <w:rFonts w:ascii="Arial" w:hAnsi="Arial" w:cs="Arial"/>
          <w:color w:val="auto"/>
          <w:sz w:val="22"/>
          <w:szCs w:val="22"/>
        </w:rPr>
      </w:pPr>
    </w:p>
    <w:p w:rsidR="00704154" w:rsidRDefault="00704154" w:rsidP="0067301E">
      <w:pPr>
        <w:pStyle w:val="BodyText"/>
        <w:rPr>
          <w:rFonts w:ascii="Arial" w:hAnsi="Arial" w:cs="Arial"/>
          <w:color w:val="auto"/>
          <w:sz w:val="22"/>
          <w:szCs w:val="22"/>
        </w:rPr>
      </w:pPr>
    </w:p>
    <w:p w:rsidR="00704154" w:rsidRDefault="00704154" w:rsidP="0067301E">
      <w:pPr>
        <w:pStyle w:val="BodyText"/>
        <w:rPr>
          <w:rFonts w:ascii="Arial" w:hAnsi="Arial" w:cs="Arial"/>
          <w:color w:val="auto"/>
          <w:sz w:val="22"/>
          <w:szCs w:val="22"/>
        </w:rPr>
      </w:pPr>
    </w:p>
    <w:p w:rsidR="00704154" w:rsidRDefault="00704154" w:rsidP="0067301E">
      <w:pPr>
        <w:pStyle w:val="BodyText"/>
        <w:rPr>
          <w:rFonts w:ascii="Arial" w:hAnsi="Arial" w:cs="Arial"/>
          <w:color w:val="auto"/>
          <w:sz w:val="22"/>
          <w:szCs w:val="22"/>
        </w:rPr>
      </w:pPr>
    </w:p>
    <w:p w:rsidR="00AF55FC" w:rsidRDefault="00AF55FC" w:rsidP="0067301E">
      <w:pPr>
        <w:pStyle w:val="BodyText"/>
        <w:rPr>
          <w:rFonts w:ascii="Arial" w:hAnsi="Arial" w:cs="Arial"/>
          <w:color w:val="auto"/>
          <w:sz w:val="22"/>
          <w:szCs w:val="22"/>
        </w:rPr>
      </w:pPr>
    </w:p>
    <w:p w:rsidR="00AF55FC" w:rsidRDefault="00AF55FC" w:rsidP="0067301E">
      <w:pPr>
        <w:pStyle w:val="BodyText"/>
        <w:rPr>
          <w:rFonts w:ascii="Arial" w:hAnsi="Arial" w:cs="Arial"/>
          <w:color w:val="auto"/>
          <w:sz w:val="22"/>
          <w:szCs w:val="22"/>
        </w:rPr>
      </w:pPr>
    </w:p>
    <w:p w:rsidR="00AF55FC" w:rsidRDefault="00AF55FC" w:rsidP="0067301E">
      <w:pPr>
        <w:pStyle w:val="BodyText"/>
        <w:rPr>
          <w:rFonts w:ascii="Arial" w:hAnsi="Arial" w:cs="Arial"/>
          <w:color w:val="auto"/>
          <w:sz w:val="22"/>
          <w:szCs w:val="22"/>
        </w:rPr>
      </w:pPr>
    </w:p>
    <w:p w:rsidR="00704154" w:rsidRDefault="00704154" w:rsidP="0067301E">
      <w:pPr>
        <w:pStyle w:val="BodyText"/>
        <w:rPr>
          <w:rFonts w:ascii="Arial" w:hAnsi="Arial" w:cs="Arial"/>
          <w:color w:val="auto"/>
          <w:sz w:val="22"/>
          <w:szCs w:val="22"/>
        </w:rPr>
      </w:pPr>
    </w:p>
    <w:p w:rsidR="00646C21" w:rsidRDefault="00704154" w:rsidP="0067301E">
      <w:pPr>
        <w:pStyle w:val="BodyText"/>
        <w:rPr>
          <w:rFonts w:ascii="Arial" w:hAnsi="Arial" w:cs="Arial"/>
          <w:b/>
          <w:bCs/>
          <w:sz w:val="22"/>
          <w:szCs w:val="22"/>
        </w:rPr>
      </w:pPr>
      <w:r>
        <w:rPr>
          <w:rFonts w:ascii="Arial" w:hAnsi="Arial" w:cs="Arial"/>
          <w:b/>
          <w:bCs/>
          <w:sz w:val="22"/>
          <w:szCs w:val="22"/>
        </w:rPr>
        <w:t>Tablica 5. Rashodi proračuna Grada Dubrovnika- bez uključenih</w:t>
      </w:r>
      <w:r w:rsidR="00646C21">
        <w:rPr>
          <w:rFonts w:ascii="Arial" w:hAnsi="Arial" w:cs="Arial"/>
          <w:b/>
          <w:bCs/>
          <w:sz w:val="22"/>
          <w:szCs w:val="22"/>
        </w:rPr>
        <w:t xml:space="preserve"> rashoda</w:t>
      </w:r>
      <w:r>
        <w:rPr>
          <w:rFonts w:ascii="Arial" w:hAnsi="Arial" w:cs="Arial"/>
          <w:b/>
          <w:bCs/>
          <w:sz w:val="22"/>
          <w:szCs w:val="22"/>
        </w:rPr>
        <w:t xml:space="preserve"> proračunskih </w:t>
      </w:r>
    </w:p>
    <w:p w:rsidR="00704154" w:rsidRDefault="00704154" w:rsidP="0067301E">
      <w:pPr>
        <w:pStyle w:val="BodyText"/>
        <w:rPr>
          <w:rFonts w:ascii="Arial" w:hAnsi="Arial" w:cs="Arial"/>
          <w:b/>
          <w:bCs/>
          <w:sz w:val="22"/>
          <w:szCs w:val="22"/>
        </w:rPr>
      </w:pPr>
      <w:r>
        <w:rPr>
          <w:rFonts w:ascii="Arial" w:hAnsi="Arial" w:cs="Arial"/>
          <w:b/>
          <w:bCs/>
          <w:sz w:val="22"/>
          <w:szCs w:val="22"/>
        </w:rPr>
        <w:t>korisnika</w:t>
      </w:r>
      <w:r w:rsidR="00646C21">
        <w:rPr>
          <w:rFonts w:ascii="Arial" w:hAnsi="Arial" w:cs="Arial"/>
          <w:b/>
          <w:bCs/>
          <w:sz w:val="22"/>
          <w:szCs w:val="22"/>
        </w:rPr>
        <w:t xml:space="preserve"> financiranih vlastitim prihodima</w:t>
      </w:r>
    </w:p>
    <w:p w:rsidR="00704154" w:rsidRPr="00704154" w:rsidRDefault="00704154" w:rsidP="0067301E">
      <w:pPr>
        <w:pStyle w:val="BodyText"/>
        <w:rPr>
          <w:rFonts w:ascii="Arial" w:hAnsi="Arial" w:cs="Arial"/>
          <w:color w:val="auto"/>
          <w:sz w:val="22"/>
          <w:szCs w:val="22"/>
        </w:rPr>
      </w:pPr>
      <w:r w:rsidRPr="00704154">
        <w:rPr>
          <w:rFonts w:ascii="Arial" w:hAnsi="Arial" w:cs="Arial"/>
          <w:sz w:val="22"/>
          <w:szCs w:val="22"/>
        </w:rPr>
        <w:t xml:space="preserve">                                                                                                                                         u 000 kn</w:t>
      </w:r>
    </w:p>
    <w:p w:rsidR="00704154" w:rsidRDefault="00704154" w:rsidP="0067301E">
      <w:pPr>
        <w:pStyle w:val="BodyText"/>
        <w:rPr>
          <w:rFonts w:ascii="Arial" w:hAnsi="Arial" w:cs="Arial"/>
          <w:color w:val="auto"/>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559"/>
        <w:gridCol w:w="1134"/>
        <w:gridCol w:w="1426"/>
        <w:gridCol w:w="810"/>
        <w:gridCol w:w="882"/>
      </w:tblGrid>
      <w:tr w:rsidR="00704154" w:rsidRPr="009A6244" w:rsidTr="002F4C12">
        <w:tc>
          <w:tcPr>
            <w:tcW w:w="3261"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RASHODI</w:t>
            </w:r>
          </w:p>
        </w:tc>
        <w:tc>
          <w:tcPr>
            <w:tcW w:w="1559"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9A6244">
              <w:rPr>
                <w:rFonts w:ascii="Arial" w:hAnsi="Arial" w:cs="Arial"/>
                <w:b/>
                <w:color w:val="auto"/>
                <w:sz w:val="22"/>
                <w:szCs w:val="22"/>
              </w:rPr>
              <w:t>Ostvarenje</w:t>
            </w:r>
          </w:p>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 xml:space="preserve">01.- 06. </w:t>
            </w:r>
            <w:r>
              <w:rPr>
                <w:rFonts w:ascii="Arial" w:hAnsi="Arial" w:cs="Arial"/>
                <w:b/>
                <w:color w:val="auto"/>
                <w:sz w:val="22"/>
                <w:szCs w:val="22"/>
              </w:rPr>
              <w:t>20</w:t>
            </w:r>
            <w:r w:rsidRPr="009A6244">
              <w:rPr>
                <w:rFonts w:ascii="Arial" w:hAnsi="Arial" w:cs="Arial"/>
                <w:b/>
                <w:color w:val="auto"/>
                <w:sz w:val="22"/>
                <w:szCs w:val="22"/>
              </w:rPr>
              <w:t>18.</w:t>
            </w:r>
          </w:p>
        </w:tc>
        <w:tc>
          <w:tcPr>
            <w:tcW w:w="1134"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Plan</w:t>
            </w:r>
          </w:p>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201</w:t>
            </w:r>
            <w:r>
              <w:rPr>
                <w:rFonts w:ascii="Arial" w:hAnsi="Arial" w:cs="Arial"/>
                <w:b/>
                <w:color w:val="auto"/>
                <w:sz w:val="22"/>
                <w:szCs w:val="22"/>
              </w:rPr>
              <w:t>9</w:t>
            </w:r>
            <w:r w:rsidRPr="009A6244">
              <w:rPr>
                <w:rFonts w:ascii="Arial" w:hAnsi="Arial" w:cs="Arial"/>
                <w:b/>
                <w:color w:val="auto"/>
                <w:sz w:val="22"/>
                <w:szCs w:val="22"/>
              </w:rPr>
              <w:t>.</w:t>
            </w:r>
          </w:p>
        </w:tc>
        <w:tc>
          <w:tcPr>
            <w:tcW w:w="1426"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9A6244">
              <w:rPr>
                <w:rFonts w:ascii="Arial" w:hAnsi="Arial" w:cs="Arial"/>
                <w:b/>
                <w:color w:val="auto"/>
                <w:sz w:val="22"/>
                <w:szCs w:val="22"/>
              </w:rPr>
              <w:t>Ostvarenje</w:t>
            </w:r>
          </w:p>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 xml:space="preserve">01.- 06. </w:t>
            </w:r>
            <w:r>
              <w:rPr>
                <w:rFonts w:ascii="Arial" w:hAnsi="Arial" w:cs="Arial"/>
                <w:b/>
                <w:color w:val="auto"/>
                <w:sz w:val="22"/>
                <w:szCs w:val="22"/>
              </w:rPr>
              <w:t>20</w:t>
            </w:r>
            <w:r w:rsidRPr="009A6244">
              <w:rPr>
                <w:rFonts w:ascii="Arial" w:hAnsi="Arial" w:cs="Arial"/>
                <w:b/>
                <w:color w:val="auto"/>
                <w:sz w:val="22"/>
                <w:szCs w:val="22"/>
              </w:rPr>
              <w:t>1</w:t>
            </w:r>
            <w:r>
              <w:rPr>
                <w:rFonts w:ascii="Arial" w:hAnsi="Arial" w:cs="Arial"/>
                <w:b/>
                <w:color w:val="auto"/>
                <w:sz w:val="22"/>
                <w:szCs w:val="22"/>
              </w:rPr>
              <w:t>9</w:t>
            </w:r>
            <w:r w:rsidRPr="009A6244">
              <w:rPr>
                <w:rFonts w:ascii="Arial" w:hAnsi="Arial" w:cs="Arial"/>
                <w:b/>
                <w:color w:val="auto"/>
                <w:sz w:val="22"/>
                <w:szCs w:val="22"/>
              </w:rPr>
              <w:t>.</w:t>
            </w:r>
          </w:p>
        </w:tc>
        <w:tc>
          <w:tcPr>
            <w:tcW w:w="810"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4/2</w:t>
            </w:r>
          </w:p>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p>
        </w:tc>
        <w:tc>
          <w:tcPr>
            <w:tcW w:w="882"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sidRPr="009A6244">
              <w:rPr>
                <w:rFonts w:ascii="Arial" w:hAnsi="Arial" w:cs="Arial"/>
                <w:b/>
                <w:color w:val="auto"/>
                <w:sz w:val="22"/>
                <w:szCs w:val="22"/>
              </w:rPr>
              <w:t>4/3</w:t>
            </w:r>
          </w:p>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p>
        </w:tc>
      </w:tr>
      <w:tr w:rsidR="00704154" w:rsidRPr="009A6244" w:rsidTr="002F4C12">
        <w:trPr>
          <w:trHeight w:val="340"/>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1</w:t>
            </w:r>
          </w:p>
        </w:tc>
        <w:tc>
          <w:tcPr>
            <w:tcW w:w="1559" w:type="dxa"/>
            <w:vAlign w:val="center"/>
          </w:tcPr>
          <w:p w:rsidR="00704154" w:rsidRPr="009A6244" w:rsidRDefault="00952F60"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3</w:t>
            </w:r>
          </w:p>
        </w:tc>
        <w:tc>
          <w:tcPr>
            <w:tcW w:w="1426"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4</w:t>
            </w:r>
          </w:p>
        </w:tc>
        <w:tc>
          <w:tcPr>
            <w:tcW w:w="810"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5</w:t>
            </w:r>
          </w:p>
        </w:tc>
        <w:tc>
          <w:tcPr>
            <w:tcW w:w="882"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sidRPr="009A6244">
              <w:rPr>
                <w:rFonts w:ascii="Arial" w:hAnsi="Arial" w:cs="Arial"/>
                <w:color w:val="auto"/>
                <w:sz w:val="22"/>
                <w:szCs w:val="22"/>
              </w:rPr>
              <w:t>6</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Rashodi za zaposlene</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64.918</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140.544</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66.641</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103</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47</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Materijalni rashodi</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47.719</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192.865</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54.432</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114</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28</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Financijski rashodi</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1.696</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4.710</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1.656</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98</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35</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Subvencije</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7.837</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23.092</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8.399</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107</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36</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Pomoći</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6.581</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47.094</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21.129</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321</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45</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Naknade građanima i kućanstvima</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10.735</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27.369</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11.740</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109</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43</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Ostali rashodi</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32.451</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69.262</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27.113</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8</w:t>
            </w:r>
            <w:r w:rsidR="00055F02">
              <w:rPr>
                <w:rFonts w:ascii="Arial" w:hAnsi="Arial" w:cs="Arial"/>
                <w:color w:val="auto"/>
                <w:sz w:val="22"/>
                <w:szCs w:val="22"/>
              </w:rPr>
              <w:t>4</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39</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Rashodi za nabavu ne proizvedene imovine</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0</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30.107</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1.391</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5</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Rashodi za nabavu proizvedene dugotrajne imovine</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17.014</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137.059</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39.358</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231</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29</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 xml:space="preserve">Rashodi za dodatna ulaganja </w:t>
            </w:r>
          </w:p>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na nefinancijskoj imovini i rashodi za plemenite metale, umjetnička i znanstvena djela</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2.607</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120.588</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22.957</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88</w:t>
            </w:r>
            <w:r w:rsidR="00055F02">
              <w:rPr>
                <w:rFonts w:ascii="Arial" w:hAnsi="Arial" w:cs="Arial"/>
                <w:color w:val="auto"/>
                <w:sz w:val="22"/>
                <w:szCs w:val="22"/>
              </w:rPr>
              <w:t>1</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19</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sidRPr="009A6244">
              <w:rPr>
                <w:rFonts w:ascii="Arial" w:hAnsi="Arial" w:cs="Arial"/>
                <w:color w:val="auto"/>
                <w:sz w:val="22"/>
                <w:szCs w:val="22"/>
              </w:rPr>
              <w:t>Izdaci za dane zajmove</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0</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200</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0</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rPr>
            </w:pPr>
            <w:r>
              <w:rPr>
                <w:rFonts w:ascii="Arial" w:hAnsi="Arial" w:cs="Arial"/>
                <w:color w:val="auto"/>
                <w:sz w:val="22"/>
                <w:szCs w:val="22"/>
              </w:rPr>
              <w:t>Izdaci za dionice i udjele u glavnici</w:t>
            </w:r>
          </w:p>
        </w:tc>
        <w:tc>
          <w:tcPr>
            <w:tcW w:w="1559" w:type="dxa"/>
            <w:vAlign w:val="center"/>
          </w:tcPr>
          <w:p w:rsidR="00704154" w:rsidRPr="00407534" w:rsidRDefault="00B06022"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0</w:t>
            </w:r>
          </w:p>
        </w:tc>
        <w:tc>
          <w:tcPr>
            <w:tcW w:w="1134" w:type="dxa"/>
            <w:vAlign w:val="center"/>
          </w:tcPr>
          <w:p w:rsidR="0070415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16.979</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16.979</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0</w:t>
            </w:r>
          </w:p>
        </w:tc>
        <w:tc>
          <w:tcPr>
            <w:tcW w:w="882"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100</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Izdaci za otplatu glavnice primljenih zajmova</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4.951</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10.203</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4.961</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100</w:t>
            </w:r>
          </w:p>
        </w:tc>
        <w:tc>
          <w:tcPr>
            <w:tcW w:w="882" w:type="dxa"/>
            <w:vAlign w:val="center"/>
          </w:tcPr>
          <w:p w:rsidR="00704154" w:rsidRPr="009A6244" w:rsidRDefault="00D4475B"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49</w:t>
            </w:r>
          </w:p>
        </w:tc>
      </w:tr>
      <w:tr w:rsidR="00704154" w:rsidRPr="009A6244" w:rsidTr="002F4C12">
        <w:trPr>
          <w:trHeight w:val="397"/>
        </w:trPr>
        <w:tc>
          <w:tcPr>
            <w:tcW w:w="3261"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9A6244">
              <w:rPr>
                <w:rFonts w:ascii="Arial" w:hAnsi="Arial" w:cs="Arial"/>
                <w:color w:val="auto"/>
                <w:sz w:val="22"/>
                <w:szCs w:val="22"/>
              </w:rPr>
              <w:t>Rashodi financirani iz vlastitih prihoda proračunskih korisnika</w:t>
            </w:r>
          </w:p>
        </w:tc>
        <w:tc>
          <w:tcPr>
            <w:tcW w:w="1559" w:type="dxa"/>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407534">
              <w:rPr>
                <w:rFonts w:ascii="Arial" w:hAnsi="Arial" w:cs="Arial"/>
                <w:color w:val="auto"/>
                <w:sz w:val="22"/>
                <w:szCs w:val="22"/>
              </w:rPr>
              <w:t>14.29</w:t>
            </w:r>
            <w:r w:rsidR="00B06022" w:rsidRPr="00407534">
              <w:rPr>
                <w:rFonts w:ascii="Arial" w:hAnsi="Arial" w:cs="Arial"/>
                <w:color w:val="auto"/>
                <w:sz w:val="22"/>
                <w:szCs w:val="22"/>
              </w:rPr>
              <w:t>4</w:t>
            </w:r>
          </w:p>
        </w:tc>
        <w:tc>
          <w:tcPr>
            <w:tcW w:w="1134" w:type="dxa"/>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sidRPr="009A6244">
              <w:rPr>
                <w:rFonts w:ascii="Arial" w:hAnsi="Arial" w:cs="Arial"/>
                <w:color w:val="auto"/>
                <w:sz w:val="22"/>
                <w:szCs w:val="22"/>
              </w:rPr>
              <w:t>*0</w:t>
            </w:r>
          </w:p>
        </w:tc>
        <w:tc>
          <w:tcPr>
            <w:tcW w:w="1426" w:type="dxa"/>
            <w:vAlign w:val="center"/>
          </w:tcPr>
          <w:p w:rsidR="00704154" w:rsidRPr="009A6244" w:rsidRDefault="00253B98"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sz w:val="22"/>
                <w:szCs w:val="22"/>
              </w:rPr>
            </w:pPr>
            <w:r>
              <w:rPr>
                <w:rFonts w:ascii="Arial" w:hAnsi="Arial" w:cs="Arial"/>
                <w:color w:val="auto"/>
                <w:sz w:val="22"/>
                <w:szCs w:val="22"/>
              </w:rPr>
              <w:t>16.273</w:t>
            </w:r>
          </w:p>
        </w:tc>
        <w:tc>
          <w:tcPr>
            <w:tcW w:w="810" w:type="dxa"/>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114</w:t>
            </w:r>
          </w:p>
        </w:tc>
        <w:tc>
          <w:tcPr>
            <w:tcW w:w="882" w:type="dxa"/>
            <w:vAlign w:val="center"/>
          </w:tcPr>
          <w:p w:rsidR="00704154" w:rsidRPr="009A6244" w:rsidRDefault="00D4475B"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auto"/>
                <w:sz w:val="22"/>
                <w:szCs w:val="22"/>
              </w:rPr>
            </w:pPr>
            <w:r>
              <w:rPr>
                <w:rFonts w:ascii="Arial" w:hAnsi="Arial" w:cs="Arial"/>
                <w:color w:val="auto"/>
                <w:sz w:val="22"/>
                <w:szCs w:val="22"/>
              </w:rPr>
              <w:t>/</w:t>
            </w:r>
          </w:p>
        </w:tc>
      </w:tr>
      <w:tr w:rsidR="00704154" w:rsidRPr="009A6244" w:rsidTr="002F4C12">
        <w:trPr>
          <w:trHeight w:val="476"/>
        </w:trPr>
        <w:tc>
          <w:tcPr>
            <w:tcW w:w="3261"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auto"/>
                <w:sz w:val="22"/>
                <w:szCs w:val="22"/>
              </w:rPr>
            </w:pPr>
            <w:r w:rsidRPr="009A6244">
              <w:rPr>
                <w:rFonts w:ascii="Arial" w:hAnsi="Arial" w:cs="Arial"/>
                <w:b/>
                <w:color w:val="auto"/>
                <w:sz w:val="22"/>
                <w:szCs w:val="22"/>
              </w:rPr>
              <w:t xml:space="preserve">U k u p n o     r a s h o d i : </w:t>
            </w:r>
          </w:p>
        </w:tc>
        <w:tc>
          <w:tcPr>
            <w:tcW w:w="1559" w:type="dxa"/>
            <w:shd w:val="clear" w:color="auto" w:fill="FFFFFF"/>
            <w:vAlign w:val="center"/>
          </w:tcPr>
          <w:p w:rsidR="00704154" w:rsidRPr="0040753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sidRPr="00407534">
              <w:rPr>
                <w:rFonts w:ascii="Arial" w:hAnsi="Arial" w:cs="Arial"/>
                <w:b/>
                <w:color w:val="auto"/>
                <w:sz w:val="22"/>
                <w:szCs w:val="22"/>
              </w:rPr>
              <w:t>210.80</w:t>
            </w:r>
            <w:r w:rsidR="00B06022" w:rsidRPr="00407534">
              <w:rPr>
                <w:rFonts w:ascii="Arial" w:hAnsi="Arial" w:cs="Arial"/>
                <w:b/>
                <w:color w:val="auto"/>
                <w:sz w:val="22"/>
                <w:szCs w:val="22"/>
              </w:rPr>
              <w:t>3</w:t>
            </w:r>
          </w:p>
        </w:tc>
        <w:tc>
          <w:tcPr>
            <w:tcW w:w="1134"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Pr>
                <w:rFonts w:ascii="Arial" w:hAnsi="Arial" w:cs="Arial"/>
                <w:b/>
                <w:color w:val="auto"/>
                <w:sz w:val="22"/>
                <w:szCs w:val="22"/>
              </w:rPr>
              <w:t>820.072</w:t>
            </w:r>
          </w:p>
        </w:tc>
        <w:tc>
          <w:tcPr>
            <w:tcW w:w="1426" w:type="dxa"/>
            <w:shd w:val="clear" w:color="auto" w:fill="FFFFFF"/>
            <w:vAlign w:val="center"/>
          </w:tcPr>
          <w:p w:rsidR="00704154" w:rsidRPr="009A6244" w:rsidRDefault="00704154"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color w:val="auto"/>
                <w:sz w:val="22"/>
                <w:szCs w:val="22"/>
              </w:rPr>
            </w:pPr>
            <w:r>
              <w:rPr>
                <w:rFonts w:ascii="Arial" w:hAnsi="Arial" w:cs="Arial"/>
                <w:b/>
                <w:color w:val="auto"/>
                <w:sz w:val="22"/>
                <w:szCs w:val="22"/>
              </w:rPr>
              <w:t>293.029</w:t>
            </w:r>
          </w:p>
        </w:tc>
        <w:tc>
          <w:tcPr>
            <w:tcW w:w="810" w:type="dxa"/>
            <w:shd w:val="clear" w:color="auto" w:fill="FFFFFF"/>
            <w:vAlign w:val="center"/>
          </w:tcPr>
          <w:p w:rsidR="00704154" w:rsidRPr="009A6244" w:rsidRDefault="00942469"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Pr>
                <w:rFonts w:ascii="Arial" w:hAnsi="Arial" w:cs="Arial"/>
                <w:b/>
                <w:color w:val="auto"/>
                <w:sz w:val="22"/>
                <w:szCs w:val="22"/>
              </w:rPr>
              <w:t>139</w:t>
            </w:r>
          </w:p>
        </w:tc>
        <w:tc>
          <w:tcPr>
            <w:tcW w:w="882" w:type="dxa"/>
            <w:shd w:val="clear" w:color="auto" w:fill="FFFFFF"/>
            <w:vAlign w:val="center"/>
          </w:tcPr>
          <w:p w:rsidR="00704154" w:rsidRPr="009A6244" w:rsidRDefault="00D4475B" w:rsidP="002F4C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auto"/>
                <w:sz w:val="22"/>
                <w:szCs w:val="22"/>
              </w:rPr>
            </w:pPr>
            <w:r>
              <w:rPr>
                <w:rFonts w:ascii="Arial" w:hAnsi="Arial" w:cs="Arial"/>
                <w:b/>
                <w:color w:val="auto"/>
                <w:sz w:val="22"/>
                <w:szCs w:val="22"/>
              </w:rPr>
              <w:t>36</w:t>
            </w:r>
          </w:p>
        </w:tc>
      </w:tr>
    </w:tbl>
    <w:p w:rsidR="00704154" w:rsidRDefault="00704154" w:rsidP="0067301E">
      <w:pPr>
        <w:pStyle w:val="BodyText"/>
        <w:rPr>
          <w:rFonts w:ascii="Arial" w:hAnsi="Arial" w:cs="Arial"/>
          <w:color w:val="auto"/>
          <w:sz w:val="22"/>
          <w:szCs w:val="22"/>
        </w:rPr>
      </w:pPr>
    </w:p>
    <w:p w:rsidR="002F4C12" w:rsidRDefault="00AF55FC" w:rsidP="0067301E">
      <w:pPr>
        <w:pStyle w:val="BodyText"/>
        <w:rPr>
          <w:rFonts w:ascii="Arial" w:hAnsi="Arial" w:cs="Arial"/>
          <w:color w:val="auto"/>
          <w:sz w:val="22"/>
          <w:szCs w:val="22"/>
        </w:rPr>
      </w:pPr>
      <w:r w:rsidRPr="009A6244">
        <w:rPr>
          <w:rFonts w:ascii="Arial" w:hAnsi="Arial" w:cs="Arial"/>
          <w:color w:val="auto"/>
          <w:sz w:val="22"/>
          <w:szCs w:val="22"/>
        </w:rPr>
        <w:t xml:space="preserve">*Rashodi proračunskih korisnika </w:t>
      </w:r>
      <w:r>
        <w:rPr>
          <w:rFonts w:ascii="Arial" w:hAnsi="Arial" w:cs="Arial"/>
          <w:color w:val="auto"/>
          <w:sz w:val="22"/>
          <w:szCs w:val="22"/>
        </w:rPr>
        <w:t xml:space="preserve">za 2019. </w:t>
      </w:r>
      <w:r w:rsidRPr="009A6244">
        <w:rPr>
          <w:rFonts w:ascii="Arial" w:hAnsi="Arial" w:cs="Arial"/>
          <w:color w:val="auto"/>
          <w:sz w:val="22"/>
          <w:szCs w:val="22"/>
        </w:rPr>
        <w:t xml:space="preserve">planirani su u koloni 3. zajedno sa planiranim rashodima  Grada Dubrovnika. </w:t>
      </w:r>
    </w:p>
    <w:p w:rsidR="00657207" w:rsidRDefault="00657207" w:rsidP="0067301E">
      <w:pPr>
        <w:pStyle w:val="BodyText"/>
        <w:rPr>
          <w:rFonts w:ascii="Arial" w:hAnsi="Arial" w:cs="Arial"/>
          <w:color w:val="auto"/>
          <w:sz w:val="22"/>
          <w:szCs w:val="22"/>
        </w:rPr>
      </w:pPr>
    </w:p>
    <w:p w:rsidR="007D3862" w:rsidRDefault="0039129C" w:rsidP="0067301E">
      <w:pPr>
        <w:pStyle w:val="BodyText"/>
        <w:rPr>
          <w:rFonts w:ascii="Arial" w:hAnsi="Arial" w:cs="Arial"/>
          <w:b/>
          <w:color w:val="auto"/>
          <w:sz w:val="22"/>
          <w:szCs w:val="22"/>
        </w:rPr>
      </w:pPr>
      <w:r>
        <w:rPr>
          <w:rFonts w:ascii="Arial" w:hAnsi="Arial" w:cs="Arial"/>
          <w:color w:val="auto"/>
          <w:sz w:val="22"/>
          <w:szCs w:val="22"/>
        </w:rPr>
        <w:t>U</w:t>
      </w:r>
      <w:r w:rsidR="002F4C12">
        <w:rPr>
          <w:rFonts w:ascii="Arial" w:hAnsi="Arial" w:cs="Arial"/>
          <w:color w:val="auto"/>
          <w:sz w:val="22"/>
          <w:szCs w:val="22"/>
        </w:rPr>
        <w:t xml:space="preserve"> nastavku slijedi detaljnije obrazloženje stavki </w:t>
      </w:r>
      <w:r>
        <w:rPr>
          <w:rFonts w:ascii="Arial" w:hAnsi="Arial" w:cs="Arial"/>
          <w:color w:val="auto"/>
          <w:sz w:val="22"/>
          <w:szCs w:val="22"/>
        </w:rPr>
        <w:t>općeg dijela proračuna Grada Dubrovnika bez uključenih troškova proračunskih korisnika koji se financiraju vlastitim prihodima</w:t>
      </w:r>
      <w:r w:rsidR="0057453F">
        <w:rPr>
          <w:rFonts w:ascii="Arial" w:hAnsi="Arial" w:cs="Arial"/>
          <w:color w:val="auto"/>
          <w:sz w:val="22"/>
          <w:szCs w:val="22"/>
        </w:rPr>
        <w:t>(i koji za navedeno razdoblje ukupno iznose 16.272.869 kn).</w:t>
      </w:r>
    </w:p>
    <w:p w:rsidR="007D3862" w:rsidRPr="009A6244" w:rsidRDefault="007D3862" w:rsidP="0067301E">
      <w:pPr>
        <w:pStyle w:val="BodyText"/>
        <w:rPr>
          <w:rFonts w:ascii="Arial" w:hAnsi="Arial" w:cs="Arial"/>
          <w:b/>
          <w:color w:val="auto"/>
          <w:sz w:val="22"/>
          <w:szCs w:val="22"/>
        </w:rPr>
      </w:pPr>
    </w:p>
    <w:p w:rsidR="002F4C12" w:rsidRDefault="004D48FA" w:rsidP="001679F1">
      <w:pPr>
        <w:pStyle w:val="BodyText"/>
        <w:rPr>
          <w:rFonts w:ascii="Arial" w:hAnsi="Arial" w:cs="Arial"/>
          <w:color w:val="auto"/>
          <w:sz w:val="22"/>
          <w:szCs w:val="22"/>
        </w:rPr>
      </w:pPr>
      <w:r w:rsidRPr="009A6244">
        <w:rPr>
          <w:rFonts w:ascii="Arial" w:hAnsi="Arial" w:cs="Arial"/>
          <w:b/>
          <w:color w:val="auto"/>
          <w:sz w:val="22"/>
          <w:szCs w:val="22"/>
        </w:rPr>
        <w:t xml:space="preserve">Rashodi za zaposlene </w:t>
      </w:r>
      <w:r w:rsidRPr="009A6244">
        <w:rPr>
          <w:rFonts w:ascii="Arial" w:hAnsi="Arial" w:cs="Arial"/>
          <w:color w:val="auto"/>
          <w:sz w:val="22"/>
          <w:szCs w:val="22"/>
        </w:rPr>
        <w:t xml:space="preserve">ostvareni su </w:t>
      </w:r>
      <w:r w:rsidR="003F2861" w:rsidRPr="009A6244">
        <w:rPr>
          <w:rFonts w:ascii="Arial" w:hAnsi="Arial" w:cs="Arial"/>
          <w:color w:val="auto"/>
          <w:sz w:val="22"/>
          <w:szCs w:val="22"/>
        </w:rPr>
        <w:t>u iznosu o</w:t>
      </w:r>
      <w:r w:rsidRPr="009A6244">
        <w:rPr>
          <w:rFonts w:ascii="Arial" w:hAnsi="Arial" w:cs="Arial"/>
          <w:color w:val="auto"/>
          <w:sz w:val="22"/>
          <w:szCs w:val="22"/>
        </w:rPr>
        <w:t xml:space="preserve">d </w:t>
      </w:r>
      <w:r w:rsidR="002F4C12">
        <w:rPr>
          <w:rFonts w:ascii="Arial" w:hAnsi="Arial" w:cs="Arial"/>
          <w:color w:val="auto"/>
          <w:sz w:val="22"/>
          <w:szCs w:val="22"/>
        </w:rPr>
        <w:t>66</w:t>
      </w:r>
      <w:r w:rsidR="004A2D5C" w:rsidRPr="009A6244">
        <w:rPr>
          <w:rFonts w:ascii="Arial" w:hAnsi="Arial" w:cs="Arial"/>
          <w:color w:val="auto"/>
          <w:sz w:val="22"/>
          <w:szCs w:val="22"/>
        </w:rPr>
        <w:t>.</w:t>
      </w:r>
      <w:r w:rsidR="002F4C12">
        <w:rPr>
          <w:rFonts w:ascii="Arial" w:hAnsi="Arial" w:cs="Arial"/>
          <w:color w:val="auto"/>
          <w:sz w:val="22"/>
          <w:szCs w:val="22"/>
        </w:rPr>
        <w:t>640</w:t>
      </w:r>
      <w:r w:rsidR="004A2D5C" w:rsidRPr="009A6244">
        <w:rPr>
          <w:rFonts w:ascii="Arial" w:hAnsi="Arial" w:cs="Arial"/>
          <w:color w:val="auto"/>
          <w:sz w:val="22"/>
          <w:szCs w:val="22"/>
        </w:rPr>
        <w:t>.</w:t>
      </w:r>
      <w:r w:rsidR="002F4C12">
        <w:rPr>
          <w:rFonts w:ascii="Arial" w:hAnsi="Arial" w:cs="Arial"/>
          <w:color w:val="auto"/>
          <w:sz w:val="22"/>
          <w:szCs w:val="22"/>
        </w:rPr>
        <w:t>525</w:t>
      </w:r>
      <w:r w:rsidRPr="009A6244">
        <w:rPr>
          <w:rFonts w:ascii="Arial" w:hAnsi="Arial" w:cs="Arial"/>
          <w:color w:val="auto"/>
          <w:sz w:val="22"/>
          <w:szCs w:val="22"/>
        </w:rPr>
        <w:t>kun</w:t>
      </w:r>
      <w:r w:rsidR="00B6495A" w:rsidRPr="009A6244">
        <w:rPr>
          <w:rFonts w:ascii="Arial" w:hAnsi="Arial" w:cs="Arial"/>
          <w:color w:val="auto"/>
          <w:sz w:val="22"/>
          <w:szCs w:val="22"/>
        </w:rPr>
        <w:t>a</w:t>
      </w:r>
      <w:r w:rsidR="00534586" w:rsidRPr="009A6244">
        <w:rPr>
          <w:rFonts w:ascii="Arial" w:hAnsi="Arial" w:cs="Arial"/>
          <w:color w:val="auto"/>
          <w:sz w:val="22"/>
          <w:szCs w:val="22"/>
        </w:rPr>
        <w:t xml:space="preserve"> odnosno</w:t>
      </w:r>
      <w:r w:rsidR="000E55FA" w:rsidRPr="009A6244">
        <w:rPr>
          <w:rFonts w:ascii="Arial" w:hAnsi="Arial" w:cs="Arial"/>
          <w:color w:val="auto"/>
          <w:sz w:val="22"/>
          <w:szCs w:val="22"/>
        </w:rPr>
        <w:t>4</w:t>
      </w:r>
      <w:r w:rsidR="005F1936">
        <w:rPr>
          <w:rFonts w:ascii="Arial" w:hAnsi="Arial" w:cs="Arial"/>
          <w:color w:val="auto"/>
          <w:sz w:val="22"/>
          <w:szCs w:val="22"/>
        </w:rPr>
        <w:t>7</w:t>
      </w:r>
      <w:r w:rsidR="00534586" w:rsidRPr="009A6244">
        <w:rPr>
          <w:rFonts w:ascii="Arial" w:hAnsi="Arial" w:cs="Arial"/>
          <w:color w:val="auto"/>
          <w:sz w:val="22"/>
          <w:szCs w:val="22"/>
        </w:rPr>
        <w:t>% od ukupno planiranih.</w:t>
      </w:r>
      <w:r w:rsidR="002F4C12">
        <w:rPr>
          <w:rFonts w:ascii="Arial" w:hAnsi="Arial" w:cs="Arial"/>
          <w:color w:val="auto"/>
          <w:sz w:val="22"/>
          <w:szCs w:val="22"/>
        </w:rPr>
        <w:t xml:space="preserve"> Rashodi za zaposlene sastoje se o rashoda za plaće(55.181.258 kn), ostalih rashoda za zaposlene (2.244.227 kn) i doprinosa na plaće (9.215.040 kn).</w:t>
      </w:r>
    </w:p>
    <w:p w:rsidR="00657207" w:rsidRDefault="002F4C12" w:rsidP="001679F1">
      <w:pPr>
        <w:pStyle w:val="BodyText"/>
        <w:rPr>
          <w:rFonts w:ascii="Arial" w:hAnsi="Arial" w:cs="Arial"/>
          <w:color w:val="auto"/>
          <w:sz w:val="22"/>
          <w:szCs w:val="22"/>
        </w:rPr>
      </w:pPr>
      <w:r>
        <w:rPr>
          <w:rFonts w:ascii="Arial" w:hAnsi="Arial" w:cs="Arial"/>
          <w:color w:val="auto"/>
          <w:sz w:val="22"/>
          <w:szCs w:val="22"/>
        </w:rPr>
        <w:t>Trošak plaće na</w:t>
      </w:r>
      <w:r w:rsidR="003F2861" w:rsidRPr="009A6244">
        <w:rPr>
          <w:rFonts w:ascii="Arial" w:hAnsi="Arial" w:cs="Arial"/>
          <w:color w:val="auto"/>
          <w:sz w:val="22"/>
          <w:szCs w:val="22"/>
        </w:rPr>
        <w:t xml:space="preserve"> zaposlenike gradske uprave odnosi </w:t>
      </w:r>
      <w:r w:rsidR="00534586" w:rsidRPr="009A6244">
        <w:rPr>
          <w:rFonts w:ascii="Arial" w:hAnsi="Arial" w:cs="Arial"/>
          <w:color w:val="auto"/>
          <w:sz w:val="22"/>
          <w:szCs w:val="22"/>
        </w:rPr>
        <w:t>se</w:t>
      </w:r>
      <w:r>
        <w:rPr>
          <w:rFonts w:ascii="Arial" w:hAnsi="Arial" w:cs="Arial"/>
          <w:color w:val="auto"/>
          <w:sz w:val="22"/>
          <w:szCs w:val="22"/>
        </w:rPr>
        <w:t xml:space="preserve"> sa17</w:t>
      </w:r>
      <w:r w:rsidR="00987243" w:rsidRPr="009A6244">
        <w:rPr>
          <w:rFonts w:ascii="Arial" w:hAnsi="Arial" w:cs="Arial"/>
          <w:color w:val="auto"/>
          <w:sz w:val="22"/>
          <w:szCs w:val="22"/>
        </w:rPr>
        <w:t>.</w:t>
      </w:r>
      <w:r>
        <w:rPr>
          <w:rFonts w:ascii="Arial" w:hAnsi="Arial" w:cs="Arial"/>
          <w:color w:val="auto"/>
          <w:sz w:val="22"/>
          <w:szCs w:val="22"/>
        </w:rPr>
        <w:t>947</w:t>
      </w:r>
      <w:r w:rsidR="00987243" w:rsidRPr="009A6244">
        <w:rPr>
          <w:rFonts w:ascii="Arial" w:hAnsi="Arial" w:cs="Arial"/>
          <w:color w:val="auto"/>
          <w:sz w:val="22"/>
          <w:szCs w:val="22"/>
        </w:rPr>
        <w:t>.</w:t>
      </w:r>
      <w:r>
        <w:rPr>
          <w:rFonts w:ascii="Arial" w:hAnsi="Arial" w:cs="Arial"/>
          <w:color w:val="auto"/>
          <w:sz w:val="22"/>
          <w:szCs w:val="22"/>
        </w:rPr>
        <w:t>861</w:t>
      </w:r>
      <w:r w:rsidR="0058085A" w:rsidRPr="009A6244">
        <w:rPr>
          <w:rFonts w:ascii="Arial" w:hAnsi="Arial" w:cs="Arial"/>
          <w:color w:val="auto"/>
          <w:sz w:val="22"/>
          <w:szCs w:val="22"/>
        </w:rPr>
        <w:t>kn, a d</w:t>
      </w:r>
      <w:r w:rsidR="00534586" w:rsidRPr="009A6244">
        <w:rPr>
          <w:rFonts w:ascii="Arial" w:hAnsi="Arial" w:cs="Arial"/>
          <w:color w:val="auto"/>
          <w:sz w:val="22"/>
          <w:szCs w:val="22"/>
        </w:rPr>
        <w:t xml:space="preserve">rugi dio rashoda za zaposlene u iznosu od </w:t>
      </w:r>
      <w:r>
        <w:rPr>
          <w:rFonts w:ascii="Arial" w:hAnsi="Arial" w:cs="Arial"/>
          <w:color w:val="auto"/>
          <w:sz w:val="22"/>
          <w:szCs w:val="22"/>
        </w:rPr>
        <w:t>37.233</w:t>
      </w:r>
      <w:r w:rsidR="0058085A" w:rsidRPr="009A6244">
        <w:rPr>
          <w:rFonts w:ascii="Arial" w:hAnsi="Arial" w:cs="Arial"/>
          <w:color w:val="auto"/>
          <w:sz w:val="22"/>
          <w:szCs w:val="22"/>
        </w:rPr>
        <w:t>.</w:t>
      </w:r>
      <w:r>
        <w:rPr>
          <w:rFonts w:ascii="Arial" w:hAnsi="Arial" w:cs="Arial"/>
          <w:color w:val="auto"/>
          <w:sz w:val="22"/>
          <w:szCs w:val="22"/>
        </w:rPr>
        <w:t>397</w:t>
      </w:r>
      <w:r w:rsidR="00534586" w:rsidRPr="009A6244">
        <w:rPr>
          <w:rFonts w:ascii="Arial" w:hAnsi="Arial" w:cs="Arial"/>
          <w:color w:val="auto"/>
          <w:sz w:val="22"/>
          <w:szCs w:val="22"/>
        </w:rPr>
        <w:t>kun</w:t>
      </w:r>
      <w:r w:rsidR="0058085A" w:rsidRPr="009A6244">
        <w:rPr>
          <w:rFonts w:ascii="Arial" w:hAnsi="Arial" w:cs="Arial"/>
          <w:color w:val="auto"/>
          <w:sz w:val="22"/>
          <w:szCs w:val="22"/>
        </w:rPr>
        <w:t>a</w:t>
      </w:r>
      <w:r w:rsidR="00534586" w:rsidRPr="009A6244">
        <w:rPr>
          <w:rFonts w:ascii="Arial" w:hAnsi="Arial" w:cs="Arial"/>
          <w:color w:val="auto"/>
          <w:sz w:val="22"/>
          <w:szCs w:val="22"/>
        </w:rPr>
        <w:t xml:space="preserve"> odnosi se na zaposlenike u ustanovama u vlasništvu Grada i Javnu vatrogasnu postrojbu.</w:t>
      </w:r>
      <w:r w:rsidR="004A2D5C" w:rsidRPr="009A6244">
        <w:rPr>
          <w:rFonts w:ascii="Arial" w:hAnsi="Arial" w:cs="Arial"/>
          <w:color w:val="auto"/>
          <w:sz w:val="22"/>
          <w:szCs w:val="22"/>
        </w:rPr>
        <w:t xml:space="preserve"> Ostvarenje rashoda za zaposlene u prvih šest mjeseci ove godine povećano je u odnosu na ostvarenje u istom razdoblju prošle godine i to za </w:t>
      </w:r>
      <w:r>
        <w:rPr>
          <w:rFonts w:ascii="Arial" w:hAnsi="Arial" w:cs="Arial"/>
          <w:color w:val="auto"/>
          <w:sz w:val="22"/>
          <w:szCs w:val="22"/>
        </w:rPr>
        <w:t>1</w:t>
      </w:r>
      <w:r w:rsidR="004A2D5C" w:rsidRPr="009A6244">
        <w:rPr>
          <w:rFonts w:ascii="Arial" w:hAnsi="Arial" w:cs="Arial"/>
          <w:color w:val="auto"/>
          <w:sz w:val="22"/>
          <w:szCs w:val="22"/>
        </w:rPr>
        <w:t>.</w:t>
      </w:r>
      <w:r>
        <w:rPr>
          <w:rFonts w:ascii="Arial" w:hAnsi="Arial" w:cs="Arial"/>
          <w:color w:val="auto"/>
          <w:sz w:val="22"/>
          <w:szCs w:val="22"/>
        </w:rPr>
        <w:t>722</w:t>
      </w:r>
      <w:r w:rsidR="003D3A29" w:rsidRPr="009A6244">
        <w:rPr>
          <w:rFonts w:ascii="Arial" w:hAnsi="Arial" w:cs="Arial"/>
          <w:color w:val="auto"/>
          <w:sz w:val="22"/>
          <w:szCs w:val="22"/>
        </w:rPr>
        <w:t>.</w:t>
      </w:r>
      <w:r>
        <w:rPr>
          <w:rFonts w:ascii="Arial" w:hAnsi="Arial" w:cs="Arial"/>
          <w:color w:val="auto"/>
          <w:sz w:val="22"/>
          <w:szCs w:val="22"/>
        </w:rPr>
        <w:t>398</w:t>
      </w:r>
      <w:r w:rsidR="004A2D5C" w:rsidRPr="009A6244">
        <w:rPr>
          <w:rFonts w:ascii="Arial" w:hAnsi="Arial" w:cs="Arial"/>
          <w:color w:val="auto"/>
          <w:sz w:val="22"/>
          <w:szCs w:val="22"/>
        </w:rPr>
        <w:t xml:space="preserve"> kuna</w:t>
      </w:r>
      <w:r w:rsidR="003D3A29" w:rsidRPr="009A6244">
        <w:rPr>
          <w:rFonts w:ascii="Arial" w:hAnsi="Arial" w:cs="Arial"/>
          <w:color w:val="auto"/>
          <w:sz w:val="22"/>
          <w:szCs w:val="22"/>
        </w:rPr>
        <w:t>.</w:t>
      </w:r>
    </w:p>
    <w:p w:rsidR="0030401A" w:rsidRPr="009A6244" w:rsidRDefault="0030401A" w:rsidP="001679F1">
      <w:pPr>
        <w:pStyle w:val="BodyText"/>
        <w:rPr>
          <w:rFonts w:ascii="Arial" w:hAnsi="Arial" w:cs="Arial"/>
          <w:color w:val="auto"/>
          <w:sz w:val="22"/>
          <w:szCs w:val="22"/>
        </w:rPr>
      </w:pPr>
      <w:r w:rsidRPr="009A6244">
        <w:rPr>
          <w:rFonts w:ascii="Arial" w:hAnsi="Arial" w:cs="Arial"/>
          <w:color w:val="auto"/>
          <w:sz w:val="22"/>
          <w:szCs w:val="22"/>
        </w:rPr>
        <w:lastRenderedPageBreak/>
        <w:t>R</w:t>
      </w:r>
      <w:r w:rsidR="00534586" w:rsidRPr="009A6244">
        <w:rPr>
          <w:rFonts w:ascii="Arial" w:hAnsi="Arial" w:cs="Arial"/>
          <w:color w:val="auto"/>
          <w:sz w:val="22"/>
          <w:szCs w:val="22"/>
        </w:rPr>
        <w:t>ashodi za zaposlene</w:t>
      </w:r>
      <w:r w:rsidRPr="009A6244">
        <w:rPr>
          <w:rFonts w:ascii="Arial" w:hAnsi="Arial" w:cs="Arial"/>
          <w:color w:val="auto"/>
          <w:sz w:val="22"/>
          <w:szCs w:val="22"/>
        </w:rPr>
        <w:t xml:space="preserve"> iznose </w:t>
      </w:r>
      <w:r w:rsidR="002F4C12">
        <w:rPr>
          <w:rFonts w:ascii="Arial" w:hAnsi="Arial" w:cs="Arial"/>
          <w:color w:val="auto"/>
          <w:sz w:val="22"/>
          <w:szCs w:val="22"/>
        </w:rPr>
        <w:t>26</w:t>
      </w:r>
      <w:r w:rsidR="00534586" w:rsidRPr="009A6244">
        <w:rPr>
          <w:rFonts w:ascii="Arial" w:hAnsi="Arial" w:cs="Arial"/>
          <w:color w:val="auto"/>
          <w:sz w:val="22"/>
          <w:szCs w:val="22"/>
        </w:rPr>
        <w:t xml:space="preserve">% </w:t>
      </w:r>
      <w:r w:rsidR="00107C16" w:rsidRPr="009A6244">
        <w:rPr>
          <w:rFonts w:ascii="Arial" w:hAnsi="Arial" w:cs="Arial"/>
          <w:color w:val="auto"/>
          <w:sz w:val="22"/>
          <w:szCs w:val="22"/>
        </w:rPr>
        <w:t xml:space="preserve">od </w:t>
      </w:r>
      <w:r w:rsidRPr="009A6244">
        <w:rPr>
          <w:rFonts w:ascii="Arial" w:hAnsi="Arial" w:cs="Arial"/>
          <w:color w:val="auto"/>
          <w:sz w:val="22"/>
          <w:szCs w:val="22"/>
        </w:rPr>
        <w:t>ukupn</w:t>
      </w:r>
      <w:r w:rsidR="004A2D5C" w:rsidRPr="009A6244">
        <w:rPr>
          <w:rFonts w:ascii="Arial" w:hAnsi="Arial" w:cs="Arial"/>
          <w:color w:val="auto"/>
          <w:sz w:val="22"/>
          <w:szCs w:val="22"/>
        </w:rPr>
        <w:t>o ostvarenih</w:t>
      </w:r>
      <w:r w:rsidRPr="009A6244">
        <w:rPr>
          <w:rFonts w:ascii="Arial" w:hAnsi="Arial" w:cs="Arial"/>
          <w:color w:val="auto"/>
          <w:sz w:val="22"/>
          <w:szCs w:val="22"/>
        </w:rPr>
        <w:t xml:space="preserve"> rashoda</w:t>
      </w:r>
      <w:r w:rsidR="002F4C12">
        <w:rPr>
          <w:rFonts w:ascii="Arial" w:hAnsi="Arial" w:cs="Arial"/>
          <w:color w:val="auto"/>
          <w:sz w:val="22"/>
          <w:szCs w:val="22"/>
        </w:rPr>
        <w:t xml:space="preserve"> gradskog proračuna bez izdataka</w:t>
      </w:r>
      <w:r w:rsidR="007D0277">
        <w:rPr>
          <w:rFonts w:ascii="Arial" w:hAnsi="Arial" w:cs="Arial"/>
          <w:color w:val="auto"/>
          <w:sz w:val="22"/>
          <w:szCs w:val="22"/>
        </w:rPr>
        <w:t>.</w:t>
      </w:r>
    </w:p>
    <w:p w:rsidR="00070FFA" w:rsidRDefault="00070FFA" w:rsidP="001679F1">
      <w:pPr>
        <w:pStyle w:val="BodyText"/>
        <w:rPr>
          <w:rFonts w:ascii="Arial" w:hAnsi="Arial" w:cs="Arial"/>
          <w:color w:val="auto"/>
          <w:sz w:val="22"/>
          <w:szCs w:val="22"/>
        </w:rPr>
      </w:pPr>
    </w:p>
    <w:p w:rsidR="00467AAA" w:rsidRPr="009A6244" w:rsidRDefault="00467AAA" w:rsidP="001679F1">
      <w:pPr>
        <w:pStyle w:val="BodyText"/>
        <w:rPr>
          <w:rFonts w:ascii="Arial" w:hAnsi="Arial" w:cs="Arial"/>
          <w:color w:val="auto"/>
          <w:sz w:val="22"/>
          <w:szCs w:val="22"/>
        </w:rPr>
      </w:pPr>
    </w:p>
    <w:p w:rsidR="004D48FA" w:rsidRPr="009A6244" w:rsidRDefault="004D48FA" w:rsidP="001679F1">
      <w:pPr>
        <w:pStyle w:val="BodyText"/>
        <w:rPr>
          <w:rFonts w:ascii="Arial" w:hAnsi="Arial" w:cs="Arial"/>
          <w:color w:val="auto"/>
          <w:sz w:val="22"/>
          <w:szCs w:val="22"/>
        </w:rPr>
      </w:pPr>
      <w:r w:rsidRPr="009A6244">
        <w:rPr>
          <w:rFonts w:ascii="Arial" w:hAnsi="Arial" w:cs="Arial"/>
          <w:b/>
          <w:color w:val="auto"/>
          <w:sz w:val="22"/>
          <w:szCs w:val="22"/>
        </w:rPr>
        <w:t xml:space="preserve">Materijalne rashode </w:t>
      </w:r>
      <w:r w:rsidRPr="009A6244">
        <w:rPr>
          <w:rFonts w:ascii="Arial" w:hAnsi="Arial" w:cs="Arial"/>
          <w:color w:val="auto"/>
          <w:sz w:val="22"/>
          <w:szCs w:val="22"/>
        </w:rPr>
        <w:t xml:space="preserve">čine naknade troškova zaposlenima, rashodi za materijal i energiju, rashodi za usluge i ostali nespomenuti rashodi poslovanja. Ostvareni su svotom od </w:t>
      </w:r>
      <w:r w:rsidR="0039129C">
        <w:rPr>
          <w:rFonts w:ascii="Arial" w:hAnsi="Arial" w:cs="Arial"/>
          <w:color w:val="auto"/>
          <w:sz w:val="22"/>
          <w:szCs w:val="22"/>
        </w:rPr>
        <w:t>54</w:t>
      </w:r>
      <w:r w:rsidR="00F30922" w:rsidRPr="009A6244">
        <w:rPr>
          <w:rFonts w:ascii="Arial" w:hAnsi="Arial" w:cs="Arial"/>
          <w:color w:val="auto"/>
          <w:sz w:val="22"/>
          <w:szCs w:val="22"/>
        </w:rPr>
        <w:t>.</w:t>
      </w:r>
      <w:r w:rsidR="0039129C">
        <w:rPr>
          <w:rFonts w:ascii="Arial" w:hAnsi="Arial" w:cs="Arial"/>
          <w:color w:val="auto"/>
          <w:sz w:val="22"/>
          <w:szCs w:val="22"/>
        </w:rPr>
        <w:t>432</w:t>
      </w:r>
      <w:r w:rsidR="00F30922" w:rsidRPr="009A6244">
        <w:rPr>
          <w:rFonts w:ascii="Arial" w:hAnsi="Arial" w:cs="Arial"/>
          <w:color w:val="auto"/>
          <w:sz w:val="22"/>
          <w:szCs w:val="22"/>
        </w:rPr>
        <w:t>.</w:t>
      </w:r>
      <w:r w:rsidR="0039129C">
        <w:rPr>
          <w:rFonts w:ascii="Arial" w:hAnsi="Arial" w:cs="Arial"/>
          <w:color w:val="auto"/>
          <w:sz w:val="22"/>
          <w:szCs w:val="22"/>
        </w:rPr>
        <w:t>508</w:t>
      </w:r>
      <w:r w:rsidRPr="009A6244">
        <w:rPr>
          <w:rFonts w:ascii="Arial" w:hAnsi="Arial" w:cs="Arial"/>
          <w:color w:val="auto"/>
          <w:sz w:val="22"/>
          <w:szCs w:val="22"/>
        </w:rPr>
        <w:t xml:space="preserve"> kun</w:t>
      </w:r>
      <w:r w:rsidR="004327DB" w:rsidRPr="009A6244">
        <w:rPr>
          <w:rFonts w:ascii="Arial" w:hAnsi="Arial" w:cs="Arial"/>
          <w:color w:val="auto"/>
          <w:sz w:val="22"/>
          <w:szCs w:val="22"/>
        </w:rPr>
        <w:t>a</w:t>
      </w:r>
      <w:r w:rsidR="00F30922" w:rsidRPr="009A6244">
        <w:rPr>
          <w:rFonts w:ascii="Arial" w:hAnsi="Arial" w:cs="Arial"/>
          <w:color w:val="auto"/>
          <w:sz w:val="22"/>
          <w:szCs w:val="22"/>
        </w:rPr>
        <w:t>, odnosno o</w:t>
      </w:r>
      <w:r w:rsidRPr="009A6244">
        <w:rPr>
          <w:rFonts w:ascii="Arial" w:hAnsi="Arial" w:cs="Arial"/>
          <w:color w:val="auto"/>
          <w:sz w:val="22"/>
          <w:szCs w:val="22"/>
        </w:rPr>
        <w:t xml:space="preserve">stvarenje čini </w:t>
      </w:r>
      <w:r w:rsidR="0039129C">
        <w:rPr>
          <w:rFonts w:ascii="Arial" w:hAnsi="Arial" w:cs="Arial"/>
          <w:color w:val="auto"/>
          <w:sz w:val="22"/>
          <w:szCs w:val="22"/>
        </w:rPr>
        <w:t>28</w:t>
      </w:r>
      <w:r w:rsidRPr="009A6244">
        <w:rPr>
          <w:rFonts w:ascii="Arial" w:hAnsi="Arial" w:cs="Arial"/>
          <w:color w:val="auto"/>
          <w:sz w:val="22"/>
          <w:szCs w:val="22"/>
        </w:rPr>
        <w:t>%</w:t>
      </w:r>
      <w:r w:rsidR="008F1C69" w:rsidRPr="009A6244">
        <w:rPr>
          <w:rFonts w:ascii="Arial" w:hAnsi="Arial" w:cs="Arial"/>
          <w:color w:val="auto"/>
          <w:sz w:val="22"/>
          <w:szCs w:val="22"/>
        </w:rPr>
        <w:t xml:space="preserve"> od </w:t>
      </w:r>
      <w:r w:rsidRPr="009A6244">
        <w:rPr>
          <w:rFonts w:ascii="Arial" w:hAnsi="Arial" w:cs="Arial"/>
          <w:color w:val="auto"/>
          <w:sz w:val="22"/>
          <w:szCs w:val="22"/>
        </w:rPr>
        <w:t>ukupno planiranog</w:t>
      </w:r>
      <w:r w:rsidR="0039129C">
        <w:rPr>
          <w:rFonts w:ascii="Arial" w:hAnsi="Arial" w:cs="Arial"/>
          <w:color w:val="auto"/>
          <w:sz w:val="22"/>
          <w:szCs w:val="22"/>
        </w:rPr>
        <w:t>, dok su u konsolidiranom prikazu ovi troškovi ostvareni u iznosu od 65.329.972 kn tj 34% ukupno planiranog u 2019. godini</w:t>
      </w:r>
    </w:p>
    <w:p w:rsidR="00EF0518" w:rsidRPr="009A6244" w:rsidRDefault="00EF0518" w:rsidP="00C6386E">
      <w:pPr>
        <w:pStyle w:val="BodyText"/>
        <w:ind w:firstLine="708"/>
        <w:rPr>
          <w:rFonts w:ascii="Arial" w:hAnsi="Arial" w:cs="Arial"/>
          <w:color w:val="FF0000"/>
          <w:sz w:val="22"/>
          <w:szCs w:val="22"/>
        </w:rPr>
      </w:pPr>
    </w:p>
    <w:p w:rsidR="004D48FA" w:rsidRPr="009A6244" w:rsidRDefault="004D48FA" w:rsidP="001679F1">
      <w:pPr>
        <w:pStyle w:val="BodyText"/>
        <w:rPr>
          <w:rFonts w:ascii="Arial" w:hAnsi="Arial" w:cs="Arial"/>
          <w:color w:val="auto"/>
          <w:sz w:val="22"/>
          <w:szCs w:val="22"/>
        </w:rPr>
      </w:pPr>
      <w:r w:rsidRPr="009A6244">
        <w:rPr>
          <w:rFonts w:ascii="Arial" w:hAnsi="Arial" w:cs="Arial"/>
          <w:b/>
          <w:color w:val="auto"/>
          <w:sz w:val="22"/>
          <w:szCs w:val="22"/>
        </w:rPr>
        <w:t xml:space="preserve">Financijski rashodi </w:t>
      </w:r>
      <w:r w:rsidRPr="009A6244">
        <w:rPr>
          <w:rFonts w:ascii="Arial" w:hAnsi="Arial" w:cs="Arial"/>
          <w:color w:val="auto"/>
          <w:sz w:val="22"/>
          <w:szCs w:val="22"/>
        </w:rPr>
        <w:t>ostvareni su u iznosu od</w:t>
      </w:r>
      <w:r w:rsidR="00824F2C" w:rsidRPr="009A6244">
        <w:rPr>
          <w:rFonts w:ascii="Arial" w:hAnsi="Arial" w:cs="Arial"/>
          <w:color w:val="auto"/>
          <w:sz w:val="22"/>
          <w:szCs w:val="22"/>
        </w:rPr>
        <w:t xml:space="preserve"> 1.</w:t>
      </w:r>
      <w:r w:rsidR="003D3A29" w:rsidRPr="009A6244">
        <w:rPr>
          <w:rFonts w:ascii="Arial" w:hAnsi="Arial" w:cs="Arial"/>
          <w:color w:val="auto"/>
          <w:sz w:val="22"/>
          <w:szCs w:val="22"/>
        </w:rPr>
        <w:t>6</w:t>
      </w:r>
      <w:r w:rsidR="0039129C">
        <w:rPr>
          <w:rFonts w:ascii="Arial" w:hAnsi="Arial" w:cs="Arial"/>
          <w:color w:val="auto"/>
          <w:sz w:val="22"/>
          <w:szCs w:val="22"/>
        </w:rPr>
        <w:t>55</w:t>
      </w:r>
      <w:r w:rsidR="00824F2C" w:rsidRPr="009A6244">
        <w:rPr>
          <w:rFonts w:ascii="Arial" w:hAnsi="Arial" w:cs="Arial"/>
          <w:color w:val="auto"/>
          <w:sz w:val="22"/>
          <w:szCs w:val="22"/>
        </w:rPr>
        <w:t>.</w:t>
      </w:r>
      <w:r w:rsidR="003D3A29" w:rsidRPr="009A6244">
        <w:rPr>
          <w:rFonts w:ascii="Arial" w:hAnsi="Arial" w:cs="Arial"/>
          <w:color w:val="auto"/>
          <w:sz w:val="22"/>
          <w:szCs w:val="22"/>
        </w:rPr>
        <w:t>5</w:t>
      </w:r>
      <w:r w:rsidR="0039129C">
        <w:rPr>
          <w:rFonts w:ascii="Arial" w:hAnsi="Arial" w:cs="Arial"/>
          <w:color w:val="auto"/>
          <w:sz w:val="22"/>
          <w:szCs w:val="22"/>
        </w:rPr>
        <w:t>30</w:t>
      </w:r>
      <w:r w:rsidRPr="009A6244">
        <w:rPr>
          <w:rFonts w:ascii="Arial" w:hAnsi="Arial" w:cs="Arial"/>
          <w:color w:val="auto"/>
          <w:sz w:val="22"/>
          <w:szCs w:val="22"/>
        </w:rPr>
        <w:t xml:space="preserve"> kun</w:t>
      </w:r>
      <w:r w:rsidR="000E55FA" w:rsidRPr="009A6244">
        <w:rPr>
          <w:rFonts w:ascii="Arial" w:hAnsi="Arial" w:cs="Arial"/>
          <w:color w:val="auto"/>
          <w:sz w:val="22"/>
          <w:szCs w:val="22"/>
        </w:rPr>
        <w:t>a</w:t>
      </w:r>
      <w:r w:rsidRPr="009A6244">
        <w:rPr>
          <w:rFonts w:ascii="Arial" w:hAnsi="Arial" w:cs="Arial"/>
          <w:color w:val="auto"/>
          <w:sz w:val="22"/>
          <w:szCs w:val="22"/>
        </w:rPr>
        <w:t xml:space="preserve"> što u odnosu na planirano iznosi </w:t>
      </w:r>
      <w:r w:rsidR="003B20BD" w:rsidRPr="009A6244">
        <w:rPr>
          <w:rFonts w:ascii="Arial" w:hAnsi="Arial" w:cs="Arial"/>
          <w:color w:val="auto"/>
          <w:sz w:val="22"/>
          <w:szCs w:val="22"/>
        </w:rPr>
        <w:t>3</w:t>
      </w:r>
      <w:r w:rsidR="0039129C">
        <w:rPr>
          <w:rFonts w:ascii="Arial" w:hAnsi="Arial" w:cs="Arial"/>
          <w:color w:val="auto"/>
          <w:sz w:val="22"/>
          <w:szCs w:val="22"/>
        </w:rPr>
        <w:t>5</w:t>
      </w:r>
      <w:r w:rsidRPr="009A6244">
        <w:rPr>
          <w:rFonts w:ascii="Arial" w:hAnsi="Arial" w:cs="Arial"/>
          <w:color w:val="auto"/>
          <w:sz w:val="22"/>
          <w:szCs w:val="22"/>
        </w:rPr>
        <w:t xml:space="preserve">%. </w:t>
      </w:r>
      <w:r w:rsidR="00824F2C" w:rsidRPr="009A6244">
        <w:rPr>
          <w:rFonts w:ascii="Arial" w:hAnsi="Arial" w:cs="Arial"/>
          <w:color w:val="auto"/>
          <w:sz w:val="22"/>
          <w:szCs w:val="22"/>
        </w:rPr>
        <w:t>Najveći dio o</w:t>
      </w:r>
      <w:r w:rsidR="0082749E" w:rsidRPr="009A6244">
        <w:rPr>
          <w:rFonts w:ascii="Arial" w:hAnsi="Arial" w:cs="Arial"/>
          <w:color w:val="auto"/>
          <w:sz w:val="22"/>
          <w:szCs w:val="22"/>
        </w:rPr>
        <w:t>vih rashod</w:t>
      </w:r>
      <w:r w:rsidR="00824F2C" w:rsidRPr="009A6244">
        <w:rPr>
          <w:rFonts w:ascii="Arial" w:hAnsi="Arial" w:cs="Arial"/>
          <w:color w:val="auto"/>
          <w:sz w:val="22"/>
          <w:szCs w:val="22"/>
        </w:rPr>
        <w:t>e</w:t>
      </w:r>
      <w:r w:rsidR="0082749E" w:rsidRPr="009A6244">
        <w:rPr>
          <w:rFonts w:ascii="Arial" w:hAnsi="Arial" w:cs="Arial"/>
          <w:color w:val="auto"/>
          <w:sz w:val="22"/>
          <w:szCs w:val="22"/>
        </w:rPr>
        <w:t xml:space="preserve"> čine</w:t>
      </w:r>
      <w:r w:rsidR="006D0914" w:rsidRPr="009A6244">
        <w:rPr>
          <w:rFonts w:ascii="Arial" w:hAnsi="Arial" w:cs="Arial"/>
          <w:color w:val="auto"/>
          <w:sz w:val="22"/>
          <w:szCs w:val="22"/>
        </w:rPr>
        <w:t xml:space="preserve"> kamate</w:t>
      </w:r>
      <w:r w:rsidR="00824F2C" w:rsidRPr="009A6244">
        <w:rPr>
          <w:rFonts w:ascii="Arial" w:hAnsi="Arial" w:cs="Arial"/>
          <w:color w:val="auto"/>
          <w:sz w:val="22"/>
          <w:szCs w:val="22"/>
        </w:rPr>
        <w:t>za</w:t>
      </w:r>
      <w:r w:rsidR="0082749E" w:rsidRPr="009A6244">
        <w:rPr>
          <w:rFonts w:ascii="Arial" w:hAnsi="Arial" w:cs="Arial"/>
          <w:color w:val="auto"/>
          <w:sz w:val="22"/>
          <w:szCs w:val="22"/>
        </w:rPr>
        <w:t xml:space="preserve"> primljene </w:t>
      </w:r>
      <w:r w:rsidR="00824F2C" w:rsidRPr="009A6244">
        <w:rPr>
          <w:rFonts w:ascii="Arial" w:hAnsi="Arial" w:cs="Arial"/>
          <w:color w:val="auto"/>
          <w:sz w:val="22"/>
          <w:szCs w:val="22"/>
        </w:rPr>
        <w:t xml:space="preserve">kredite  </w:t>
      </w:r>
      <w:r w:rsidR="0082749E" w:rsidRPr="009A6244">
        <w:rPr>
          <w:rFonts w:ascii="Arial" w:hAnsi="Arial" w:cs="Arial"/>
          <w:color w:val="auto"/>
          <w:sz w:val="22"/>
          <w:szCs w:val="22"/>
        </w:rPr>
        <w:t>(</w:t>
      </w:r>
      <w:r w:rsidR="00F77E14" w:rsidRPr="009A6244">
        <w:rPr>
          <w:rFonts w:ascii="Arial" w:hAnsi="Arial" w:cs="Arial"/>
          <w:color w:val="auto"/>
          <w:sz w:val="22"/>
          <w:szCs w:val="22"/>
        </w:rPr>
        <w:t>1.</w:t>
      </w:r>
      <w:r w:rsidR="0039129C">
        <w:rPr>
          <w:rFonts w:ascii="Arial" w:hAnsi="Arial" w:cs="Arial"/>
          <w:color w:val="auto"/>
          <w:sz w:val="22"/>
          <w:szCs w:val="22"/>
        </w:rPr>
        <w:t>423</w:t>
      </w:r>
      <w:r w:rsidR="00824F2C" w:rsidRPr="009A6244">
        <w:rPr>
          <w:rFonts w:ascii="Arial" w:hAnsi="Arial" w:cs="Arial"/>
          <w:color w:val="auto"/>
          <w:sz w:val="22"/>
          <w:szCs w:val="22"/>
        </w:rPr>
        <w:t>.</w:t>
      </w:r>
      <w:r w:rsidR="0039129C">
        <w:rPr>
          <w:rFonts w:ascii="Arial" w:hAnsi="Arial" w:cs="Arial"/>
          <w:color w:val="auto"/>
          <w:sz w:val="22"/>
          <w:szCs w:val="22"/>
        </w:rPr>
        <w:t>819</w:t>
      </w:r>
      <w:r w:rsidR="00824F2C" w:rsidRPr="009A6244">
        <w:rPr>
          <w:rFonts w:ascii="Arial" w:hAnsi="Arial" w:cs="Arial"/>
          <w:color w:val="auto"/>
          <w:sz w:val="22"/>
          <w:szCs w:val="22"/>
        </w:rPr>
        <w:t xml:space="preserve"> k</w:t>
      </w:r>
      <w:r w:rsidR="0082749E" w:rsidRPr="009A6244">
        <w:rPr>
          <w:rFonts w:ascii="Arial" w:hAnsi="Arial" w:cs="Arial"/>
          <w:color w:val="auto"/>
          <w:sz w:val="22"/>
          <w:szCs w:val="22"/>
        </w:rPr>
        <w:t>n)</w:t>
      </w:r>
      <w:r w:rsidR="00824F2C" w:rsidRPr="009A6244">
        <w:rPr>
          <w:rFonts w:ascii="Arial" w:hAnsi="Arial" w:cs="Arial"/>
          <w:color w:val="auto"/>
          <w:sz w:val="22"/>
          <w:szCs w:val="22"/>
        </w:rPr>
        <w:t xml:space="preserve">, te ostali financijski rashodi (usluge banaka, usluge platnog prometa, zatezne kamate iz poslovnih odnosa) u iznosu od </w:t>
      </w:r>
      <w:r w:rsidR="003B20BD" w:rsidRPr="009A6244">
        <w:rPr>
          <w:rFonts w:ascii="Arial" w:hAnsi="Arial" w:cs="Arial"/>
          <w:color w:val="auto"/>
          <w:sz w:val="22"/>
          <w:szCs w:val="22"/>
        </w:rPr>
        <w:t>23</w:t>
      </w:r>
      <w:r w:rsidR="0039129C">
        <w:rPr>
          <w:rFonts w:ascii="Arial" w:hAnsi="Arial" w:cs="Arial"/>
          <w:color w:val="auto"/>
          <w:sz w:val="22"/>
          <w:szCs w:val="22"/>
        </w:rPr>
        <w:t>1</w:t>
      </w:r>
      <w:r w:rsidR="00824F2C" w:rsidRPr="009A6244">
        <w:rPr>
          <w:rFonts w:ascii="Arial" w:hAnsi="Arial" w:cs="Arial"/>
          <w:color w:val="auto"/>
          <w:sz w:val="22"/>
          <w:szCs w:val="22"/>
        </w:rPr>
        <w:t>.</w:t>
      </w:r>
      <w:r w:rsidR="0039129C">
        <w:rPr>
          <w:rFonts w:ascii="Arial" w:hAnsi="Arial" w:cs="Arial"/>
          <w:color w:val="auto"/>
          <w:sz w:val="22"/>
          <w:szCs w:val="22"/>
        </w:rPr>
        <w:t>711</w:t>
      </w:r>
      <w:r w:rsidR="00824F2C" w:rsidRPr="009A6244">
        <w:rPr>
          <w:rFonts w:ascii="Arial" w:hAnsi="Arial" w:cs="Arial"/>
          <w:color w:val="auto"/>
          <w:sz w:val="22"/>
          <w:szCs w:val="22"/>
        </w:rPr>
        <w:t xml:space="preserve"> kune.</w:t>
      </w:r>
      <w:r w:rsidR="00DE500E">
        <w:rPr>
          <w:rFonts w:ascii="Arial" w:hAnsi="Arial" w:cs="Arial"/>
          <w:color w:val="auto"/>
          <w:sz w:val="22"/>
          <w:szCs w:val="22"/>
        </w:rPr>
        <w:t>K</w:t>
      </w:r>
      <w:r w:rsidR="0039129C">
        <w:rPr>
          <w:rFonts w:ascii="Arial" w:hAnsi="Arial" w:cs="Arial"/>
          <w:color w:val="auto"/>
          <w:sz w:val="22"/>
          <w:szCs w:val="22"/>
        </w:rPr>
        <w:t>onsolidirano ovaj iznos ostvaren je u nešto većem iznosu te je ostvaren sa 1.771</w:t>
      </w:r>
      <w:r w:rsidR="00EC75F2">
        <w:rPr>
          <w:rFonts w:ascii="Arial" w:hAnsi="Arial" w:cs="Arial"/>
          <w:color w:val="auto"/>
          <w:sz w:val="22"/>
          <w:szCs w:val="22"/>
        </w:rPr>
        <w:t>.671 što čini 38% planiranog iznosa.</w:t>
      </w:r>
    </w:p>
    <w:p w:rsidR="00C6386E" w:rsidRPr="009A6244" w:rsidRDefault="00C6386E" w:rsidP="00C6386E">
      <w:pPr>
        <w:pStyle w:val="BodyText"/>
        <w:ind w:firstLine="708"/>
        <w:rPr>
          <w:rFonts w:ascii="Arial" w:hAnsi="Arial" w:cs="Arial"/>
          <w:color w:val="FF0000"/>
          <w:sz w:val="22"/>
          <w:szCs w:val="22"/>
        </w:rPr>
      </w:pPr>
    </w:p>
    <w:p w:rsidR="003B20BD" w:rsidRPr="009A6244" w:rsidRDefault="004D48FA" w:rsidP="001679F1">
      <w:pPr>
        <w:pStyle w:val="BodyText"/>
        <w:rPr>
          <w:rFonts w:ascii="Arial" w:hAnsi="Arial" w:cs="Arial"/>
          <w:color w:val="auto"/>
          <w:sz w:val="22"/>
          <w:szCs w:val="22"/>
        </w:rPr>
      </w:pPr>
      <w:r w:rsidRPr="009A6244">
        <w:rPr>
          <w:rFonts w:ascii="Arial" w:hAnsi="Arial" w:cs="Arial"/>
          <w:b/>
          <w:color w:val="auto"/>
          <w:sz w:val="22"/>
          <w:szCs w:val="22"/>
        </w:rPr>
        <w:t>Subvencije</w:t>
      </w:r>
      <w:r w:rsidRPr="009A6244">
        <w:rPr>
          <w:rFonts w:ascii="Arial" w:hAnsi="Arial" w:cs="Arial"/>
          <w:color w:val="auto"/>
          <w:sz w:val="22"/>
          <w:szCs w:val="22"/>
        </w:rPr>
        <w:t xml:space="preserve"> prema klasifikaciji predstavljaju tekuće prijenose sredstava koji se daju proizvođačima za poticanje proizvodnje i pružanja usluga. </w:t>
      </w:r>
      <w:r w:rsidR="00B44955" w:rsidRPr="009A6244">
        <w:rPr>
          <w:rFonts w:ascii="Arial" w:hAnsi="Arial" w:cs="Arial"/>
          <w:color w:val="auto"/>
          <w:sz w:val="22"/>
          <w:szCs w:val="22"/>
        </w:rPr>
        <w:t xml:space="preserve">Ostvareno je </w:t>
      </w:r>
      <w:r w:rsidR="00EC75F2">
        <w:rPr>
          <w:rFonts w:ascii="Arial" w:hAnsi="Arial" w:cs="Arial"/>
          <w:color w:val="auto"/>
          <w:sz w:val="22"/>
          <w:szCs w:val="22"/>
        </w:rPr>
        <w:t>8</w:t>
      </w:r>
      <w:r w:rsidR="00836EFC" w:rsidRPr="009A6244">
        <w:rPr>
          <w:rFonts w:ascii="Arial" w:hAnsi="Arial" w:cs="Arial"/>
          <w:color w:val="auto"/>
          <w:sz w:val="22"/>
          <w:szCs w:val="22"/>
        </w:rPr>
        <w:t>.</w:t>
      </w:r>
      <w:r w:rsidR="00EC75F2">
        <w:rPr>
          <w:rFonts w:ascii="Arial" w:hAnsi="Arial" w:cs="Arial"/>
          <w:color w:val="auto"/>
          <w:sz w:val="22"/>
          <w:szCs w:val="22"/>
        </w:rPr>
        <w:t>398</w:t>
      </w:r>
      <w:r w:rsidR="00836EFC" w:rsidRPr="009A6244">
        <w:rPr>
          <w:rFonts w:ascii="Arial" w:hAnsi="Arial" w:cs="Arial"/>
          <w:color w:val="auto"/>
          <w:sz w:val="22"/>
          <w:szCs w:val="22"/>
        </w:rPr>
        <w:t>.</w:t>
      </w:r>
      <w:r w:rsidR="00EC75F2">
        <w:rPr>
          <w:rFonts w:ascii="Arial" w:hAnsi="Arial" w:cs="Arial"/>
          <w:color w:val="auto"/>
          <w:sz w:val="22"/>
          <w:szCs w:val="22"/>
        </w:rPr>
        <w:t>589</w:t>
      </w:r>
      <w:r w:rsidR="00B44955" w:rsidRPr="009A6244">
        <w:rPr>
          <w:rFonts w:ascii="Arial" w:hAnsi="Arial" w:cs="Arial"/>
          <w:color w:val="auto"/>
          <w:sz w:val="22"/>
          <w:szCs w:val="22"/>
        </w:rPr>
        <w:t xml:space="preserve"> kun</w:t>
      </w:r>
      <w:r w:rsidR="00B848E1" w:rsidRPr="009A6244">
        <w:rPr>
          <w:rFonts w:ascii="Arial" w:hAnsi="Arial" w:cs="Arial"/>
          <w:color w:val="auto"/>
          <w:sz w:val="22"/>
          <w:szCs w:val="22"/>
        </w:rPr>
        <w:t>a</w:t>
      </w:r>
      <w:r w:rsidR="00B44955" w:rsidRPr="009A6244">
        <w:rPr>
          <w:rFonts w:ascii="Arial" w:hAnsi="Arial" w:cs="Arial"/>
          <w:color w:val="auto"/>
          <w:sz w:val="22"/>
          <w:szCs w:val="22"/>
        </w:rPr>
        <w:t xml:space="preserve"> što je </w:t>
      </w:r>
      <w:r w:rsidR="003B20BD" w:rsidRPr="009A6244">
        <w:rPr>
          <w:rFonts w:ascii="Arial" w:hAnsi="Arial" w:cs="Arial"/>
          <w:color w:val="auto"/>
          <w:sz w:val="22"/>
          <w:szCs w:val="22"/>
        </w:rPr>
        <w:t>3</w:t>
      </w:r>
      <w:r w:rsidR="00EC75F2">
        <w:rPr>
          <w:rFonts w:ascii="Arial" w:hAnsi="Arial" w:cs="Arial"/>
          <w:color w:val="auto"/>
          <w:sz w:val="22"/>
          <w:szCs w:val="22"/>
        </w:rPr>
        <w:t>6</w:t>
      </w:r>
      <w:r w:rsidR="00B44955" w:rsidRPr="009A6244">
        <w:rPr>
          <w:rFonts w:ascii="Arial" w:hAnsi="Arial" w:cs="Arial"/>
          <w:color w:val="auto"/>
          <w:sz w:val="22"/>
          <w:szCs w:val="22"/>
        </w:rPr>
        <w:t>% od planiranog.</w:t>
      </w:r>
    </w:p>
    <w:p w:rsidR="004175A6" w:rsidRDefault="00C36A37" w:rsidP="001679F1">
      <w:pPr>
        <w:pStyle w:val="BodyText"/>
        <w:rPr>
          <w:rFonts w:ascii="Arial" w:hAnsi="Arial" w:cs="Arial"/>
          <w:color w:val="auto"/>
          <w:sz w:val="22"/>
          <w:szCs w:val="22"/>
        </w:rPr>
      </w:pPr>
      <w:r w:rsidRPr="009A6244">
        <w:rPr>
          <w:rFonts w:ascii="Arial" w:hAnsi="Arial" w:cs="Arial"/>
          <w:color w:val="auto"/>
          <w:sz w:val="22"/>
          <w:szCs w:val="22"/>
        </w:rPr>
        <w:t>Najveći iznos s</w:t>
      </w:r>
      <w:r w:rsidR="000050C4" w:rsidRPr="009A6244">
        <w:rPr>
          <w:rFonts w:ascii="Arial" w:hAnsi="Arial" w:cs="Arial"/>
          <w:color w:val="auto"/>
          <w:sz w:val="22"/>
          <w:szCs w:val="22"/>
        </w:rPr>
        <w:t>ubvencija</w:t>
      </w:r>
      <w:r w:rsidRPr="009A6244">
        <w:rPr>
          <w:rFonts w:ascii="Arial" w:hAnsi="Arial" w:cs="Arial"/>
          <w:color w:val="auto"/>
          <w:sz w:val="22"/>
          <w:szCs w:val="22"/>
        </w:rPr>
        <w:t xml:space="preserve"> u promatranom razdoblju dat je</w:t>
      </w:r>
      <w:r w:rsidR="000050C4" w:rsidRPr="009A6244">
        <w:rPr>
          <w:rFonts w:ascii="Arial" w:hAnsi="Arial" w:cs="Arial"/>
          <w:color w:val="auto"/>
          <w:sz w:val="22"/>
          <w:szCs w:val="22"/>
        </w:rPr>
        <w:t xml:space="preserve"> trgovačkom društvu</w:t>
      </w:r>
      <w:r w:rsidR="008F1C69" w:rsidRPr="009A6244">
        <w:rPr>
          <w:rFonts w:ascii="Arial" w:hAnsi="Arial" w:cs="Arial"/>
          <w:color w:val="auto"/>
          <w:sz w:val="22"/>
          <w:szCs w:val="22"/>
        </w:rPr>
        <w:t xml:space="preserve"> „</w:t>
      </w:r>
      <w:r w:rsidR="000050C4" w:rsidRPr="009A6244">
        <w:rPr>
          <w:rFonts w:ascii="Arial" w:hAnsi="Arial" w:cs="Arial"/>
          <w:color w:val="auto"/>
          <w:sz w:val="22"/>
          <w:szCs w:val="22"/>
        </w:rPr>
        <w:t>Libertas</w:t>
      </w:r>
      <w:r w:rsidR="008F1C69" w:rsidRPr="009A6244">
        <w:rPr>
          <w:rFonts w:ascii="Arial" w:hAnsi="Arial" w:cs="Arial"/>
          <w:color w:val="auto"/>
          <w:sz w:val="22"/>
          <w:szCs w:val="22"/>
        </w:rPr>
        <w:t>“</w:t>
      </w:r>
      <w:r w:rsidRPr="009A6244">
        <w:rPr>
          <w:rFonts w:ascii="Arial" w:hAnsi="Arial" w:cs="Arial"/>
          <w:color w:val="auto"/>
          <w:sz w:val="22"/>
          <w:szCs w:val="22"/>
        </w:rPr>
        <w:t xml:space="preserve">u iznosu od </w:t>
      </w:r>
      <w:r w:rsidR="00EC75F2">
        <w:rPr>
          <w:rFonts w:ascii="Arial" w:hAnsi="Arial" w:cs="Arial"/>
          <w:color w:val="auto"/>
          <w:sz w:val="22"/>
          <w:szCs w:val="22"/>
        </w:rPr>
        <w:t>7</w:t>
      </w:r>
      <w:r w:rsidRPr="009A6244">
        <w:rPr>
          <w:rFonts w:ascii="Arial" w:hAnsi="Arial" w:cs="Arial"/>
          <w:color w:val="auto"/>
          <w:sz w:val="22"/>
          <w:szCs w:val="22"/>
        </w:rPr>
        <w:t>.</w:t>
      </w:r>
      <w:r w:rsidR="00EC75F2">
        <w:rPr>
          <w:rFonts w:ascii="Arial" w:hAnsi="Arial" w:cs="Arial"/>
          <w:color w:val="auto"/>
          <w:sz w:val="22"/>
          <w:szCs w:val="22"/>
        </w:rPr>
        <w:t>85</w:t>
      </w:r>
      <w:r w:rsidRPr="009A6244">
        <w:rPr>
          <w:rFonts w:ascii="Arial" w:hAnsi="Arial" w:cs="Arial"/>
          <w:color w:val="auto"/>
          <w:sz w:val="22"/>
          <w:szCs w:val="22"/>
        </w:rPr>
        <w:t>0</w:t>
      </w:r>
      <w:r w:rsidR="00D91A2F" w:rsidRPr="009A6244">
        <w:rPr>
          <w:rFonts w:ascii="Arial" w:hAnsi="Arial" w:cs="Arial"/>
          <w:color w:val="auto"/>
          <w:sz w:val="22"/>
          <w:szCs w:val="22"/>
        </w:rPr>
        <w:t>.</w:t>
      </w:r>
      <w:r w:rsidRPr="009A6244">
        <w:rPr>
          <w:rFonts w:ascii="Arial" w:hAnsi="Arial" w:cs="Arial"/>
          <w:color w:val="auto"/>
          <w:sz w:val="22"/>
          <w:szCs w:val="22"/>
        </w:rPr>
        <w:t>000</w:t>
      </w:r>
      <w:r w:rsidR="00B62D50" w:rsidRPr="009A6244">
        <w:rPr>
          <w:rFonts w:ascii="Arial" w:hAnsi="Arial" w:cs="Arial"/>
          <w:color w:val="auto"/>
          <w:sz w:val="22"/>
          <w:szCs w:val="22"/>
        </w:rPr>
        <w:t xml:space="preserve"> kun</w:t>
      </w:r>
      <w:r w:rsidR="0023750A" w:rsidRPr="009A6244">
        <w:rPr>
          <w:rFonts w:ascii="Arial" w:hAnsi="Arial" w:cs="Arial"/>
          <w:color w:val="auto"/>
          <w:sz w:val="22"/>
          <w:szCs w:val="22"/>
        </w:rPr>
        <w:t>a</w:t>
      </w:r>
      <w:r w:rsidR="00282511" w:rsidRPr="009A6244">
        <w:rPr>
          <w:rFonts w:ascii="Arial" w:hAnsi="Arial" w:cs="Arial"/>
          <w:color w:val="auto"/>
          <w:sz w:val="22"/>
          <w:szCs w:val="22"/>
        </w:rPr>
        <w:t>,</w:t>
      </w:r>
      <w:r w:rsidR="008F1C69" w:rsidRPr="009A6244">
        <w:rPr>
          <w:rFonts w:ascii="Arial" w:hAnsi="Arial" w:cs="Arial"/>
          <w:color w:val="auto"/>
          <w:sz w:val="22"/>
          <w:szCs w:val="22"/>
        </w:rPr>
        <w:t xml:space="preserve"> dok su </w:t>
      </w:r>
      <w:r w:rsidR="0081376A" w:rsidRPr="009A6244">
        <w:rPr>
          <w:rFonts w:ascii="Arial" w:hAnsi="Arial" w:cs="Arial"/>
          <w:color w:val="auto"/>
          <w:sz w:val="22"/>
          <w:szCs w:val="22"/>
        </w:rPr>
        <w:t xml:space="preserve"> subvencije </w:t>
      </w:r>
      <w:r w:rsidR="002666A5" w:rsidRPr="009A6244">
        <w:rPr>
          <w:rFonts w:ascii="Arial" w:hAnsi="Arial" w:cs="Arial"/>
          <w:color w:val="auto"/>
          <w:sz w:val="22"/>
          <w:szCs w:val="22"/>
        </w:rPr>
        <w:t xml:space="preserve"> trgovačkim društvima izvan javnog sektora iznosile </w:t>
      </w:r>
      <w:r w:rsidR="003B20BD" w:rsidRPr="009A6244">
        <w:rPr>
          <w:rFonts w:ascii="Arial" w:hAnsi="Arial" w:cs="Arial"/>
          <w:color w:val="auto"/>
          <w:sz w:val="22"/>
          <w:szCs w:val="22"/>
        </w:rPr>
        <w:t>53</w:t>
      </w:r>
      <w:r w:rsidR="00EC75F2">
        <w:rPr>
          <w:rFonts w:ascii="Arial" w:hAnsi="Arial" w:cs="Arial"/>
          <w:color w:val="auto"/>
          <w:sz w:val="22"/>
          <w:szCs w:val="22"/>
        </w:rPr>
        <w:t>4</w:t>
      </w:r>
      <w:r w:rsidR="002666A5" w:rsidRPr="009A6244">
        <w:rPr>
          <w:rFonts w:ascii="Arial" w:hAnsi="Arial" w:cs="Arial"/>
          <w:color w:val="auto"/>
          <w:sz w:val="22"/>
          <w:szCs w:val="22"/>
        </w:rPr>
        <w:t>.</w:t>
      </w:r>
      <w:r w:rsidR="00EC75F2">
        <w:rPr>
          <w:rFonts w:ascii="Arial" w:hAnsi="Arial" w:cs="Arial"/>
          <w:color w:val="auto"/>
          <w:sz w:val="22"/>
          <w:szCs w:val="22"/>
        </w:rPr>
        <w:t>200</w:t>
      </w:r>
      <w:r w:rsidR="003B20BD" w:rsidRPr="009A6244">
        <w:rPr>
          <w:rFonts w:ascii="Arial" w:hAnsi="Arial" w:cs="Arial"/>
          <w:color w:val="auto"/>
          <w:sz w:val="22"/>
          <w:szCs w:val="22"/>
        </w:rPr>
        <w:t xml:space="preserve"> kuna</w:t>
      </w:r>
      <w:r w:rsidR="007D3862">
        <w:rPr>
          <w:rFonts w:ascii="Arial" w:hAnsi="Arial" w:cs="Arial"/>
          <w:color w:val="auto"/>
          <w:sz w:val="22"/>
          <w:szCs w:val="22"/>
        </w:rPr>
        <w:t>.</w:t>
      </w:r>
      <w:r w:rsidR="002666A5" w:rsidRPr="009A6244">
        <w:rPr>
          <w:rFonts w:ascii="Arial" w:hAnsi="Arial" w:cs="Arial"/>
          <w:color w:val="auto"/>
          <w:sz w:val="22"/>
          <w:szCs w:val="22"/>
        </w:rPr>
        <w:t xml:space="preserve"> Subvencije</w:t>
      </w:r>
      <w:r w:rsidR="00EC75F2">
        <w:rPr>
          <w:rFonts w:ascii="Arial" w:hAnsi="Arial" w:cs="Arial"/>
          <w:color w:val="auto"/>
          <w:sz w:val="22"/>
          <w:szCs w:val="22"/>
        </w:rPr>
        <w:t xml:space="preserve"> trgovačkim društvima, zadrugama, poljoprivrednicima i </w:t>
      </w:r>
      <w:r w:rsidR="0081376A" w:rsidRPr="009A6244">
        <w:rPr>
          <w:rFonts w:ascii="Arial" w:hAnsi="Arial" w:cs="Arial"/>
          <w:color w:val="auto"/>
          <w:sz w:val="22"/>
          <w:szCs w:val="22"/>
        </w:rPr>
        <w:t xml:space="preserve">obrtnicima </w:t>
      </w:r>
      <w:r w:rsidR="00EC75F2">
        <w:rPr>
          <w:rFonts w:ascii="Arial" w:hAnsi="Arial" w:cs="Arial"/>
          <w:color w:val="auto"/>
          <w:sz w:val="22"/>
          <w:szCs w:val="22"/>
        </w:rPr>
        <w:t xml:space="preserve">iz EU sredstava </w:t>
      </w:r>
      <w:r w:rsidR="0081376A" w:rsidRPr="009A6244">
        <w:rPr>
          <w:rFonts w:ascii="Arial" w:hAnsi="Arial" w:cs="Arial"/>
          <w:color w:val="auto"/>
          <w:sz w:val="22"/>
          <w:szCs w:val="22"/>
        </w:rPr>
        <w:t>iznosile</w:t>
      </w:r>
      <w:r w:rsidR="002666A5" w:rsidRPr="009A6244">
        <w:rPr>
          <w:rFonts w:ascii="Arial" w:hAnsi="Arial" w:cs="Arial"/>
          <w:color w:val="auto"/>
          <w:sz w:val="22"/>
          <w:szCs w:val="22"/>
        </w:rPr>
        <w:t xml:space="preserve">su </w:t>
      </w:r>
      <w:r w:rsidR="00EC75F2">
        <w:rPr>
          <w:rFonts w:ascii="Arial" w:hAnsi="Arial" w:cs="Arial"/>
          <w:color w:val="auto"/>
          <w:sz w:val="22"/>
          <w:szCs w:val="22"/>
        </w:rPr>
        <w:t>14</w:t>
      </w:r>
      <w:r w:rsidRPr="009A6244">
        <w:rPr>
          <w:rFonts w:ascii="Arial" w:hAnsi="Arial" w:cs="Arial"/>
          <w:color w:val="auto"/>
          <w:sz w:val="22"/>
          <w:szCs w:val="22"/>
        </w:rPr>
        <w:t>.</w:t>
      </w:r>
      <w:r w:rsidR="00EC75F2">
        <w:rPr>
          <w:rFonts w:ascii="Arial" w:hAnsi="Arial" w:cs="Arial"/>
          <w:color w:val="auto"/>
          <w:sz w:val="22"/>
          <w:szCs w:val="22"/>
        </w:rPr>
        <w:t>389</w:t>
      </w:r>
      <w:r w:rsidR="008F1C69" w:rsidRPr="009A6244">
        <w:rPr>
          <w:rFonts w:ascii="Arial" w:hAnsi="Arial" w:cs="Arial"/>
          <w:color w:val="auto"/>
          <w:sz w:val="22"/>
          <w:szCs w:val="22"/>
        </w:rPr>
        <w:t xml:space="preserve"> kuna</w:t>
      </w:r>
      <w:r w:rsidR="002666A5" w:rsidRPr="009A6244">
        <w:rPr>
          <w:rFonts w:ascii="Arial" w:hAnsi="Arial" w:cs="Arial"/>
          <w:color w:val="auto"/>
          <w:sz w:val="22"/>
          <w:szCs w:val="22"/>
        </w:rPr>
        <w:t>.</w:t>
      </w:r>
    </w:p>
    <w:p w:rsidR="004D48FA" w:rsidRPr="009A6244" w:rsidRDefault="00E4448E" w:rsidP="001679F1">
      <w:pPr>
        <w:pStyle w:val="BodyText"/>
        <w:rPr>
          <w:rFonts w:ascii="Arial" w:hAnsi="Arial" w:cs="Arial"/>
          <w:color w:val="auto"/>
          <w:sz w:val="22"/>
          <w:szCs w:val="22"/>
        </w:rPr>
      </w:pPr>
      <w:r>
        <w:rPr>
          <w:rFonts w:ascii="Arial" w:hAnsi="Arial" w:cs="Arial"/>
          <w:color w:val="auto"/>
          <w:sz w:val="22"/>
          <w:szCs w:val="22"/>
        </w:rPr>
        <w:t>K</w:t>
      </w:r>
      <w:r w:rsidR="004357CF">
        <w:rPr>
          <w:rFonts w:ascii="Arial" w:hAnsi="Arial" w:cs="Arial"/>
          <w:color w:val="auto"/>
          <w:sz w:val="22"/>
          <w:szCs w:val="22"/>
        </w:rPr>
        <w:t>onsolidirani podaci za</w:t>
      </w:r>
      <w:r w:rsidR="001B6E8F">
        <w:rPr>
          <w:rFonts w:ascii="Arial" w:hAnsi="Arial" w:cs="Arial"/>
          <w:color w:val="auto"/>
          <w:sz w:val="22"/>
          <w:szCs w:val="22"/>
        </w:rPr>
        <w:t xml:space="preserve"> ovu skupinu</w:t>
      </w:r>
      <w:r w:rsidR="004357CF">
        <w:rPr>
          <w:rFonts w:ascii="Arial" w:hAnsi="Arial" w:cs="Arial"/>
          <w:color w:val="auto"/>
          <w:sz w:val="22"/>
          <w:szCs w:val="22"/>
        </w:rPr>
        <w:t xml:space="preserve"> trošk</w:t>
      </w:r>
      <w:r w:rsidR="004175A6">
        <w:rPr>
          <w:rFonts w:ascii="Arial" w:hAnsi="Arial" w:cs="Arial"/>
          <w:color w:val="auto"/>
          <w:sz w:val="22"/>
          <w:szCs w:val="22"/>
        </w:rPr>
        <w:t>a</w:t>
      </w:r>
      <w:r w:rsidR="004357CF">
        <w:rPr>
          <w:rFonts w:ascii="Arial" w:hAnsi="Arial" w:cs="Arial"/>
          <w:color w:val="auto"/>
          <w:sz w:val="22"/>
          <w:szCs w:val="22"/>
        </w:rPr>
        <w:t xml:space="preserve"> su istovjetni ostvarenju proračuna Grada Dubrovnika.</w:t>
      </w:r>
    </w:p>
    <w:p w:rsidR="00C6386E" w:rsidRPr="009A6244" w:rsidRDefault="00C6386E" w:rsidP="00C6386E">
      <w:pPr>
        <w:pStyle w:val="BodyText"/>
        <w:ind w:firstLine="708"/>
        <w:rPr>
          <w:rFonts w:ascii="Arial" w:hAnsi="Arial" w:cs="Arial"/>
          <w:color w:val="FF0000"/>
          <w:sz w:val="22"/>
          <w:szCs w:val="22"/>
        </w:rPr>
      </w:pPr>
    </w:p>
    <w:p w:rsidR="00C6386E" w:rsidRPr="009A6244" w:rsidRDefault="004D48FA" w:rsidP="00D302F4">
      <w:pPr>
        <w:pStyle w:val="BodyText"/>
        <w:rPr>
          <w:rFonts w:ascii="Arial" w:hAnsi="Arial" w:cs="Arial"/>
          <w:color w:val="auto"/>
          <w:sz w:val="22"/>
          <w:szCs w:val="22"/>
        </w:rPr>
      </w:pPr>
      <w:r w:rsidRPr="009A6244">
        <w:rPr>
          <w:rFonts w:ascii="Arial" w:hAnsi="Arial" w:cs="Arial"/>
          <w:b/>
          <w:color w:val="auto"/>
          <w:sz w:val="22"/>
          <w:szCs w:val="22"/>
        </w:rPr>
        <w:t xml:space="preserve">Pomoći </w:t>
      </w:r>
      <w:r w:rsidR="00DA64AB" w:rsidRPr="009A6244">
        <w:rPr>
          <w:rFonts w:ascii="Arial" w:hAnsi="Arial" w:cs="Arial"/>
          <w:b/>
          <w:color w:val="auto"/>
          <w:sz w:val="22"/>
          <w:szCs w:val="22"/>
        </w:rPr>
        <w:t xml:space="preserve">dane u inozemstvo i </w:t>
      </w:r>
      <w:r w:rsidRPr="009A6244">
        <w:rPr>
          <w:rFonts w:ascii="Arial" w:hAnsi="Arial" w:cs="Arial"/>
          <w:b/>
          <w:color w:val="auto"/>
          <w:sz w:val="22"/>
          <w:szCs w:val="22"/>
        </w:rPr>
        <w:t>unutar opće države</w:t>
      </w:r>
      <w:r w:rsidRPr="009A6244">
        <w:rPr>
          <w:rFonts w:ascii="Arial" w:hAnsi="Arial" w:cs="Arial"/>
          <w:color w:val="auto"/>
          <w:sz w:val="22"/>
          <w:szCs w:val="22"/>
        </w:rPr>
        <w:t xml:space="preserve"> ostvarene su u iznosu od </w:t>
      </w:r>
      <w:r w:rsidR="004357CF">
        <w:rPr>
          <w:rFonts w:ascii="Arial" w:hAnsi="Arial" w:cs="Arial"/>
          <w:color w:val="auto"/>
          <w:sz w:val="22"/>
          <w:szCs w:val="22"/>
        </w:rPr>
        <w:t>21</w:t>
      </w:r>
      <w:r w:rsidR="00E158E2" w:rsidRPr="009A6244">
        <w:rPr>
          <w:rFonts w:ascii="Arial" w:hAnsi="Arial" w:cs="Arial"/>
          <w:color w:val="auto"/>
          <w:sz w:val="22"/>
          <w:szCs w:val="22"/>
        </w:rPr>
        <w:t>.</w:t>
      </w:r>
      <w:r w:rsidR="004357CF">
        <w:rPr>
          <w:rFonts w:ascii="Arial" w:hAnsi="Arial" w:cs="Arial"/>
          <w:color w:val="auto"/>
          <w:sz w:val="22"/>
          <w:szCs w:val="22"/>
        </w:rPr>
        <w:t>129</w:t>
      </w:r>
      <w:r w:rsidR="00E158E2" w:rsidRPr="009A6244">
        <w:rPr>
          <w:rFonts w:ascii="Arial" w:hAnsi="Arial" w:cs="Arial"/>
          <w:color w:val="auto"/>
          <w:sz w:val="22"/>
          <w:szCs w:val="22"/>
        </w:rPr>
        <w:t>.</w:t>
      </w:r>
      <w:r w:rsidR="004357CF">
        <w:rPr>
          <w:rFonts w:ascii="Arial" w:hAnsi="Arial" w:cs="Arial"/>
          <w:color w:val="auto"/>
          <w:sz w:val="22"/>
          <w:szCs w:val="22"/>
        </w:rPr>
        <w:t>469</w:t>
      </w:r>
      <w:r w:rsidRPr="009A6244">
        <w:rPr>
          <w:rFonts w:ascii="Arial" w:hAnsi="Arial" w:cs="Arial"/>
          <w:color w:val="auto"/>
          <w:sz w:val="22"/>
          <w:szCs w:val="22"/>
        </w:rPr>
        <w:t xml:space="preserve"> kun</w:t>
      </w:r>
      <w:r w:rsidR="00E158E2" w:rsidRPr="009A6244">
        <w:rPr>
          <w:rFonts w:ascii="Arial" w:hAnsi="Arial" w:cs="Arial"/>
          <w:color w:val="auto"/>
          <w:sz w:val="22"/>
          <w:szCs w:val="22"/>
        </w:rPr>
        <w:t>a</w:t>
      </w:r>
      <w:r w:rsidR="00D302F4" w:rsidRPr="009A6244">
        <w:rPr>
          <w:rFonts w:ascii="Arial" w:hAnsi="Arial" w:cs="Arial"/>
          <w:color w:val="auto"/>
          <w:sz w:val="22"/>
          <w:szCs w:val="22"/>
        </w:rPr>
        <w:t xml:space="preserve"> i ostvarenje istih iznosi </w:t>
      </w:r>
      <w:r w:rsidR="004357CF">
        <w:rPr>
          <w:rFonts w:ascii="Arial" w:hAnsi="Arial" w:cs="Arial"/>
          <w:color w:val="auto"/>
          <w:sz w:val="22"/>
          <w:szCs w:val="22"/>
        </w:rPr>
        <w:t>45</w:t>
      </w:r>
      <w:r w:rsidR="00D302F4" w:rsidRPr="009A6244">
        <w:rPr>
          <w:rFonts w:ascii="Arial" w:hAnsi="Arial" w:cs="Arial"/>
          <w:color w:val="auto"/>
          <w:sz w:val="22"/>
          <w:szCs w:val="22"/>
        </w:rPr>
        <w:t>% od ukupno planiranih.</w:t>
      </w:r>
    </w:p>
    <w:p w:rsidR="00D302F4" w:rsidRPr="009A6244" w:rsidRDefault="00D302F4" w:rsidP="00D302F4">
      <w:pPr>
        <w:pStyle w:val="BodyText"/>
        <w:rPr>
          <w:rFonts w:ascii="Arial" w:hAnsi="Arial" w:cs="Arial"/>
          <w:color w:val="auto"/>
          <w:sz w:val="22"/>
          <w:szCs w:val="22"/>
        </w:rPr>
      </w:pPr>
    </w:p>
    <w:p w:rsidR="00F51E7D" w:rsidRPr="009A6244" w:rsidRDefault="004D48FA" w:rsidP="001679F1">
      <w:pPr>
        <w:pStyle w:val="BodyText"/>
        <w:rPr>
          <w:rFonts w:ascii="Arial" w:hAnsi="Arial" w:cs="Arial"/>
          <w:color w:val="auto"/>
          <w:sz w:val="22"/>
          <w:szCs w:val="22"/>
        </w:rPr>
      </w:pPr>
      <w:r w:rsidRPr="009A6244">
        <w:rPr>
          <w:rFonts w:ascii="Arial" w:hAnsi="Arial" w:cs="Arial"/>
          <w:b/>
          <w:color w:val="auto"/>
          <w:sz w:val="22"/>
          <w:szCs w:val="22"/>
        </w:rPr>
        <w:t>Naknade građanima i kućanstvima</w:t>
      </w:r>
      <w:r w:rsidRPr="009A6244">
        <w:rPr>
          <w:rFonts w:ascii="Arial" w:hAnsi="Arial" w:cs="Arial"/>
          <w:color w:val="auto"/>
          <w:sz w:val="22"/>
          <w:szCs w:val="22"/>
        </w:rPr>
        <w:t xml:space="preserve"> ostvarene su i iznosu od </w:t>
      </w:r>
      <w:r w:rsidR="004357CF">
        <w:rPr>
          <w:rFonts w:ascii="Arial" w:hAnsi="Arial" w:cs="Arial"/>
          <w:color w:val="auto"/>
          <w:sz w:val="22"/>
          <w:szCs w:val="22"/>
        </w:rPr>
        <w:t>11</w:t>
      </w:r>
      <w:r w:rsidR="0064630B" w:rsidRPr="009A6244">
        <w:rPr>
          <w:rFonts w:ascii="Arial" w:hAnsi="Arial" w:cs="Arial"/>
          <w:color w:val="auto"/>
          <w:sz w:val="22"/>
          <w:szCs w:val="22"/>
        </w:rPr>
        <w:t>.</w:t>
      </w:r>
      <w:r w:rsidR="003B20BD" w:rsidRPr="009A6244">
        <w:rPr>
          <w:rFonts w:ascii="Arial" w:hAnsi="Arial" w:cs="Arial"/>
          <w:color w:val="auto"/>
          <w:sz w:val="22"/>
          <w:szCs w:val="22"/>
        </w:rPr>
        <w:t>7</w:t>
      </w:r>
      <w:r w:rsidR="004357CF">
        <w:rPr>
          <w:rFonts w:ascii="Arial" w:hAnsi="Arial" w:cs="Arial"/>
          <w:color w:val="auto"/>
          <w:sz w:val="22"/>
          <w:szCs w:val="22"/>
        </w:rPr>
        <w:t>40</w:t>
      </w:r>
      <w:r w:rsidR="00D716E3" w:rsidRPr="009A6244">
        <w:rPr>
          <w:rFonts w:ascii="Arial" w:hAnsi="Arial" w:cs="Arial"/>
          <w:color w:val="auto"/>
          <w:sz w:val="22"/>
          <w:szCs w:val="22"/>
        </w:rPr>
        <w:t>.</w:t>
      </w:r>
      <w:r w:rsidR="004357CF">
        <w:rPr>
          <w:rFonts w:ascii="Arial" w:hAnsi="Arial" w:cs="Arial"/>
          <w:color w:val="auto"/>
          <w:sz w:val="22"/>
          <w:szCs w:val="22"/>
        </w:rPr>
        <w:t>066</w:t>
      </w:r>
      <w:r w:rsidRPr="009A6244">
        <w:rPr>
          <w:rFonts w:ascii="Arial" w:hAnsi="Arial" w:cs="Arial"/>
          <w:color w:val="auto"/>
          <w:sz w:val="22"/>
          <w:szCs w:val="22"/>
        </w:rPr>
        <w:t>kun</w:t>
      </w:r>
      <w:r w:rsidR="0023750A" w:rsidRPr="009A6244">
        <w:rPr>
          <w:rFonts w:ascii="Arial" w:hAnsi="Arial" w:cs="Arial"/>
          <w:color w:val="auto"/>
          <w:sz w:val="22"/>
          <w:szCs w:val="22"/>
        </w:rPr>
        <w:t>a</w:t>
      </w:r>
      <w:r w:rsidR="00A70DBA" w:rsidRPr="009A6244">
        <w:rPr>
          <w:rFonts w:ascii="Arial" w:hAnsi="Arial" w:cs="Arial"/>
          <w:color w:val="auto"/>
          <w:sz w:val="22"/>
          <w:szCs w:val="22"/>
        </w:rPr>
        <w:t xml:space="preserve">što je </w:t>
      </w:r>
      <w:r w:rsidR="0064630B" w:rsidRPr="009A6244">
        <w:rPr>
          <w:rFonts w:ascii="Arial" w:hAnsi="Arial" w:cs="Arial"/>
          <w:color w:val="auto"/>
          <w:sz w:val="22"/>
          <w:szCs w:val="22"/>
        </w:rPr>
        <w:t>4</w:t>
      </w:r>
      <w:r w:rsidR="003B20BD" w:rsidRPr="009A6244">
        <w:rPr>
          <w:rFonts w:ascii="Arial" w:hAnsi="Arial" w:cs="Arial"/>
          <w:color w:val="auto"/>
          <w:sz w:val="22"/>
          <w:szCs w:val="22"/>
        </w:rPr>
        <w:t>3</w:t>
      </w:r>
      <w:r w:rsidR="00A70DBA" w:rsidRPr="009A6244">
        <w:rPr>
          <w:rFonts w:ascii="Arial" w:hAnsi="Arial" w:cs="Arial"/>
          <w:color w:val="auto"/>
          <w:sz w:val="22"/>
          <w:szCs w:val="22"/>
        </w:rPr>
        <w:t>% od planiranog</w:t>
      </w:r>
      <w:r w:rsidRPr="009A6244">
        <w:rPr>
          <w:rFonts w:ascii="Arial" w:hAnsi="Arial" w:cs="Arial"/>
          <w:color w:val="auto"/>
          <w:sz w:val="22"/>
          <w:szCs w:val="22"/>
        </w:rPr>
        <w:t>.</w:t>
      </w:r>
      <w:r w:rsidR="00312DC1">
        <w:rPr>
          <w:rFonts w:ascii="Arial" w:hAnsi="Arial" w:cs="Arial"/>
          <w:color w:val="auto"/>
          <w:sz w:val="22"/>
          <w:szCs w:val="22"/>
        </w:rPr>
        <w:t xml:space="preserve"> Navedena sredstva se odnose za</w:t>
      </w:r>
      <w:r w:rsidR="00D12384" w:rsidRPr="009A6244">
        <w:rPr>
          <w:rFonts w:ascii="Arial" w:hAnsi="Arial" w:cs="Arial"/>
          <w:color w:val="auto"/>
          <w:sz w:val="22"/>
          <w:szCs w:val="22"/>
        </w:rPr>
        <w:t>:</w:t>
      </w:r>
      <w:r w:rsidRPr="009A6244">
        <w:rPr>
          <w:rFonts w:ascii="Arial" w:hAnsi="Arial" w:cs="Arial"/>
          <w:color w:val="auto"/>
          <w:sz w:val="22"/>
          <w:szCs w:val="22"/>
        </w:rPr>
        <w:t xml:space="preserve"> sufinanciranje cijen</w:t>
      </w:r>
      <w:r w:rsidR="00312DC1">
        <w:rPr>
          <w:rFonts w:ascii="Arial" w:hAnsi="Arial" w:cs="Arial"/>
          <w:color w:val="auto"/>
          <w:sz w:val="22"/>
          <w:szCs w:val="22"/>
        </w:rPr>
        <w:t>e</w:t>
      </w:r>
      <w:r w:rsidRPr="009A6244">
        <w:rPr>
          <w:rFonts w:ascii="Arial" w:hAnsi="Arial" w:cs="Arial"/>
          <w:color w:val="auto"/>
          <w:sz w:val="22"/>
          <w:szCs w:val="22"/>
        </w:rPr>
        <w:t xml:space="preserve"> prijevoza  (</w:t>
      </w:r>
      <w:r w:rsidR="00312DC1">
        <w:rPr>
          <w:rFonts w:ascii="Arial" w:hAnsi="Arial" w:cs="Arial"/>
          <w:color w:val="auto"/>
          <w:sz w:val="22"/>
          <w:szCs w:val="22"/>
        </w:rPr>
        <w:t>978</w:t>
      </w:r>
      <w:r w:rsidR="00E37CBC" w:rsidRPr="009A6244">
        <w:rPr>
          <w:rFonts w:ascii="Arial" w:hAnsi="Arial" w:cs="Arial"/>
          <w:color w:val="auto"/>
          <w:sz w:val="22"/>
          <w:szCs w:val="22"/>
        </w:rPr>
        <w:t>.</w:t>
      </w:r>
      <w:r w:rsidR="00312DC1">
        <w:rPr>
          <w:rFonts w:ascii="Arial" w:hAnsi="Arial" w:cs="Arial"/>
          <w:color w:val="auto"/>
          <w:sz w:val="22"/>
          <w:szCs w:val="22"/>
        </w:rPr>
        <w:t>710</w:t>
      </w:r>
      <w:r w:rsidRPr="009A6244">
        <w:rPr>
          <w:rFonts w:ascii="Arial" w:hAnsi="Arial" w:cs="Arial"/>
          <w:color w:val="auto"/>
          <w:sz w:val="22"/>
          <w:szCs w:val="22"/>
        </w:rPr>
        <w:t>kun</w:t>
      </w:r>
      <w:r w:rsidR="00E56863" w:rsidRPr="009A6244">
        <w:rPr>
          <w:rFonts w:ascii="Arial" w:hAnsi="Arial" w:cs="Arial"/>
          <w:color w:val="auto"/>
          <w:sz w:val="22"/>
          <w:szCs w:val="22"/>
        </w:rPr>
        <w:t>a</w:t>
      </w:r>
      <w:r w:rsidRPr="009A6244">
        <w:rPr>
          <w:rFonts w:ascii="Arial" w:hAnsi="Arial" w:cs="Arial"/>
          <w:color w:val="auto"/>
          <w:sz w:val="22"/>
          <w:szCs w:val="22"/>
        </w:rPr>
        <w:t>),</w:t>
      </w:r>
      <w:r w:rsidR="00D716E3" w:rsidRPr="009A6244">
        <w:rPr>
          <w:rFonts w:ascii="Arial" w:hAnsi="Arial" w:cs="Arial"/>
          <w:color w:val="auto"/>
          <w:sz w:val="22"/>
          <w:szCs w:val="22"/>
        </w:rPr>
        <w:t xml:space="preserve"> pomoć obiteljima i kućanstvima (</w:t>
      </w:r>
      <w:r w:rsidR="004357CF">
        <w:rPr>
          <w:rFonts w:ascii="Arial" w:hAnsi="Arial" w:cs="Arial"/>
          <w:color w:val="auto"/>
          <w:sz w:val="22"/>
          <w:szCs w:val="22"/>
        </w:rPr>
        <w:t>1.095</w:t>
      </w:r>
      <w:r w:rsidR="00D716E3" w:rsidRPr="009A6244">
        <w:rPr>
          <w:rFonts w:ascii="Arial" w:hAnsi="Arial" w:cs="Arial"/>
          <w:color w:val="auto"/>
          <w:sz w:val="22"/>
          <w:szCs w:val="22"/>
        </w:rPr>
        <w:t>.</w:t>
      </w:r>
      <w:r w:rsidR="00333D7E" w:rsidRPr="009A6244">
        <w:rPr>
          <w:rFonts w:ascii="Arial" w:hAnsi="Arial" w:cs="Arial"/>
          <w:color w:val="auto"/>
          <w:sz w:val="22"/>
          <w:szCs w:val="22"/>
        </w:rPr>
        <w:t>3</w:t>
      </w:r>
      <w:r w:rsidR="004357CF">
        <w:rPr>
          <w:rFonts w:ascii="Arial" w:hAnsi="Arial" w:cs="Arial"/>
          <w:color w:val="auto"/>
          <w:sz w:val="22"/>
          <w:szCs w:val="22"/>
        </w:rPr>
        <w:t>91</w:t>
      </w:r>
      <w:r w:rsidR="00D716E3" w:rsidRPr="009A6244">
        <w:rPr>
          <w:rFonts w:ascii="Arial" w:hAnsi="Arial" w:cs="Arial"/>
          <w:color w:val="auto"/>
          <w:sz w:val="22"/>
          <w:szCs w:val="22"/>
        </w:rPr>
        <w:t>kuna),</w:t>
      </w:r>
      <w:r w:rsidRPr="009A6244">
        <w:rPr>
          <w:rFonts w:ascii="Arial" w:hAnsi="Arial" w:cs="Arial"/>
          <w:color w:val="auto"/>
          <w:sz w:val="22"/>
          <w:szCs w:val="22"/>
        </w:rPr>
        <w:t xml:space="preserve"> prehrane (</w:t>
      </w:r>
      <w:r w:rsidR="00D716E3" w:rsidRPr="009A6244">
        <w:rPr>
          <w:rFonts w:ascii="Arial" w:hAnsi="Arial" w:cs="Arial"/>
          <w:color w:val="auto"/>
          <w:sz w:val="22"/>
          <w:szCs w:val="22"/>
        </w:rPr>
        <w:t>1.</w:t>
      </w:r>
      <w:r w:rsidR="00E37CBC" w:rsidRPr="009A6244">
        <w:rPr>
          <w:rFonts w:ascii="Arial" w:hAnsi="Arial" w:cs="Arial"/>
          <w:color w:val="auto"/>
          <w:sz w:val="22"/>
          <w:szCs w:val="22"/>
        </w:rPr>
        <w:t>2</w:t>
      </w:r>
      <w:r w:rsidR="004357CF">
        <w:rPr>
          <w:rFonts w:ascii="Arial" w:hAnsi="Arial" w:cs="Arial"/>
          <w:color w:val="auto"/>
          <w:sz w:val="22"/>
          <w:szCs w:val="22"/>
        </w:rPr>
        <w:t>86</w:t>
      </w:r>
      <w:r w:rsidR="00D716E3" w:rsidRPr="009A6244">
        <w:rPr>
          <w:rFonts w:ascii="Arial" w:hAnsi="Arial" w:cs="Arial"/>
          <w:color w:val="auto"/>
          <w:sz w:val="22"/>
          <w:szCs w:val="22"/>
        </w:rPr>
        <w:t>.</w:t>
      </w:r>
      <w:r w:rsidR="004357CF">
        <w:rPr>
          <w:rFonts w:ascii="Arial" w:hAnsi="Arial" w:cs="Arial"/>
          <w:color w:val="auto"/>
          <w:sz w:val="22"/>
          <w:szCs w:val="22"/>
        </w:rPr>
        <w:t>421</w:t>
      </w:r>
      <w:r w:rsidRPr="009A6244">
        <w:rPr>
          <w:rFonts w:ascii="Arial" w:hAnsi="Arial" w:cs="Arial"/>
          <w:color w:val="auto"/>
          <w:sz w:val="22"/>
          <w:szCs w:val="22"/>
        </w:rPr>
        <w:t>kun</w:t>
      </w:r>
      <w:r w:rsidR="00E56863" w:rsidRPr="009A6244">
        <w:rPr>
          <w:rFonts w:ascii="Arial" w:hAnsi="Arial" w:cs="Arial"/>
          <w:color w:val="auto"/>
          <w:sz w:val="22"/>
          <w:szCs w:val="22"/>
        </w:rPr>
        <w:t>a</w:t>
      </w:r>
      <w:r w:rsidRPr="009A6244">
        <w:rPr>
          <w:rFonts w:ascii="Arial" w:hAnsi="Arial" w:cs="Arial"/>
          <w:color w:val="auto"/>
          <w:sz w:val="22"/>
          <w:szCs w:val="22"/>
        </w:rPr>
        <w:t>)</w:t>
      </w:r>
      <w:r w:rsidR="002677A2" w:rsidRPr="009A6244">
        <w:rPr>
          <w:rFonts w:ascii="Arial" w:hAnsi="Arial" w:cs="Arial"/>
          <w:color w:val="auto"/>
          <w:sz w:val="22"/>
          <w:szCs w:val="22"/>
        </w:rPr>
        <w:t>,stipendije i školarine</w:t>
      </w:r>
      <w:r w:rsidRPr="009A6244">
        <w:rPr>
          <w:rFonts w:ascii="Arial" w:hAnsi="Arial" w:cs="Arial"/>
          <w:color w:val="auto"/>
          <w:sz w:val="22"/>
          <w:szCs w:val="22"/>
        </w:rPr>
        <w:t xml:space="preserve"> (</w:t>
      </w:r>
      <w:r w:rsidR="004357CF">
        <w:rPr>
          <w:rFonts w:ascii="Arial" w:hAnsi="Arial" w:cs="Arial"/>
          <w:color w:val="auto"/>
          <w:sz w:val="22"/>
          <w:szCs w:val="22"/>
        </w:rPr>
        <w:t>760</w:t>
      </w:r>
      <w:r w:rsidR="00D716E3" w:rsidRPr="009A6244">
        <w:rPr>
          <w:rFonts w:ascii="Arial" w:hAnsi="Arial" w:cs="Arial"/>
          <w:color w:val="auto"/>
          <w:sz w:val="22"/>
          <w:szCs w:val="22"/>
        </w:rPr>
        <w:t>.</w:t>
      </w:r>
      <w:r w:rsidR="00E37CBC" w:rsidRPr="009A6244">
        <w:rPr>
          <w:rFonts w:ascii="Arial" w:hAnsi="Arial" w:cs="Arial"/>
          <w:color w:val="auto"/>
          <w:sz w:val="22"/>
          <w:szCs w:val="22"/>
        </w:rPr>
        <w:t>240</w:t>
      </w:r>
      <w:r w:rsidRPr="009A6244">
        <w:rPr>
          <w:rFonts w:ascii="Arial" w:hAnsi="Arial" w:cs="Arial"/>
          <w:color w:val="auto"/>
          <w:sz w:val="22"/>
          <w:szCs w:val="22"/>
        </w:rPr>
        <w:t xml:space="preserve"> kuna)</w:t>
      </w:r>
      <w:r w:rsidR="002677A2" w:rsidRPr="009A6244">
        <w:rPr>
          <w:rFonts w:ascii="Arial" w:hAnsi="Arial" w:cs="Arial"/>
          <w:color w:val="auto"/>
          <w:sz w:val="22"/>
          <w:szCs w:val="22"/>
        </w:rPr>
        <w:t xml:space="preserve"> i ostale naknade u</w:t>
      </w:r>
      <w:r w:rsidR="00E37CBC" w:rsidRPr="009A6244">
        <w:rPr>
          <w:rFonts w:ascii="Arial" w:hAnsi="Arial" w:cs="Arial"/>
          <w:color w:val="auto"/>
          <w:sz w:val="22"/>
          <w:szCs w:val="22"/>
        </w:rPr>
        <w:t xml:space="preserve"> naravi i </w:t>
      </w:r>
      <w:r w:rsidR="002677A2" w:rsidRPr="009A6244">
        <w:rPr>
          <w:rFonts w:ascii="Arial" w:hAnsi="Arial" w:cs="Arial"/>
          <w:color w:val="auto"/>
          <w:sz w:val="22"/>
          <w:szCs w:val="22"/>
        </w:rPr>
        <w:t>novcu (</w:t>
      </w:r>
      <w:r w:rsidR="00312DC1">
        <w:rPr>
          <w:rFonts w:ascii="Arial" w:hAnsi="Arial" w:cs="Arial"/>
          <w:color w:val="auto"/>
          <w:sz w:val="22"/>
          <w:szCs w:val="22"/>
        </w:rPr>
        <w:t>7</w:t>
      </w:r>
      <w:r w:rsidR="00D716E3" w:rsidRPr="009A6244">
        <w:rPr>
          <w:rFonts w:ascii="Arial" w:hAnsi="Arial" w:cs="Arial"/>
          <w:color w:val="auto"/>
          <w:sz w:val="22"/>
          <w:szCs w:val="22"/>
        </w:rPr>
        <w:t>.</w:t>
      </w:r>
      <w:r w:rsidR="00312DC1">
        <w:rPr>
          <w:rFonts w:ascii="Arial" w:hAnsi="Arial" w:cs="Arial"/>
          <w:color w:val="auto"/>
          <w:sz w:val="22"/>
          <w:szCs w:val="22"/>
        </w:rPr>
        <w:t>619</w:t>
      </w:r>
      <w:r w:rsidR="00D716E3" w:rsidRPr="009A6244">
        <w:rPr>
          <w:rFonts w:ascii="Arial" w:hAnsi="Arial" w:cs="Arial"/>
          <w:color w:val="auto"/>
          <w:sz w:val="22"/>
          <w:szCs w:val="22"/>
        </w:rPr>
        <w:t>.</w:t>
      </w:r>
      <w:r w:rsidR="00312DC1">
        <w:rPr>
          <w:rFonts w:ascii="Arial" w:hAnsi="Arial" w:cs="Arial"/>
          <w:color w:val="auto"/>
          <w:sz w:val="22"/>
          <w:szCs w:val="22"/>
        </w:rPr>
        <w:t>304</w:t>
      </w:r>
      <w:r w:rsidR="00D716E3" w:rsidRPr="009A6244">
        <w:rPr>
          <w:rFonts w:ascii="Arial" w:hAnsi="Arial" w:cs="Arial"/>
          <w:color w:val="auto"/>
          <w:sz w:val="22"/>
          <w:szCs w:val="22"/>
        </w:rPr>
        <w:t xml:space="preserve"> k</w:t>
      </w:r>
      <w:r w:rsidR="002677A2" w:rsidRPr="009A6244">
        <w:rPr>
          <w:rFonts w:ascii="Arial" w:hAnsi="Arial" w:cs="Arial"/>
          <w:color w:val="auto"/>
          <w:sz w:val="22"/>
          <w:szCs w:val="22"/>
        </w:rPr>
        <w:t>un</w:t>
      </w:r>
      <w:r w:rsidR="00FA65D5" w:rsidRPr="009A6244">
        <w:rPr>
          <w:rFonts w:ascii="Arial" w:hAnsi="Arial" w:cs="Arial"/>
          <w:color w:val="auto"/>
          <w:sz w:val="22"/>
          <w:szCs w:val="22"/>
        </w:rPr>
        <w:t>a</w:t>
      </w:r>
      <w:r w:rsidR="002677A2" w:rsidRPr="009A6244">
        <w:rPr>
          <w:rFonts w:ascii="Arial" w:hAnsi="Arial" w:cs="Arial"/>
          <w:color w:val="auto"/>
          <w:sz w:val="22"/>
          <w:szCs w:val="22"/>
        </w:rPr>
        <w:t>)</w:t>
      </w:r>
      <w:r w:rsidR="00D21EDB" w:rsidRPr="009A6244">
        <w:rPr>
          <w:rFonts w:ascii="Arial" w:hAnsi="Arial" w:cs="Arial"/>
          <w:color w:val="auto"/>
          <w:sz w:val="22"/>
          <w:szCs w:val="22"/>
        </w:rPr>
        <w:t xml:space="preserve"> koje se o</w:t>
      </w:r>
      <w:r w:rsidR="00EB4AAE" w:rsidRPr="009A6244">
        <w:rPr>
          <w:rFonts w:ascii="Arial" w:hAnsi="Arial" w:cs="Arial"/>
          <w:color w:val="auto"/>
          <w:sz w:val="22"/>
          <w:szCs w:val="22"/>
        </w:rPr>
        <w:t>dnose se na davanja za socijalni program Grada</w:t>
      </w:r>
      <w:r w:rsidR="004049E6" w:rsidRPr="009A6244">
        <w:rPr>
          <w:rFonts w:ascii="Arial" w:hAnsi="Arial" w:cs="Arial"/>
          <w:color w:val="auto"/>
          <w:sz w:val="22"/>
          <w:szCs w:val="22"/>
        </w:rPr>
        <w:t xml:space="preserve"> (</w:t>
      </w:r>
      <w:r w:rsidR="00EB4AAE" w:rsidRPr="009A6244">
        <w:rPr>
          <w:rFonts w:ascii="Arial" w:hAnsi="Arial" w:cs="Arial"/>
          <w:color w:val="auto"/>
          <w:sz w:val="22"/>
          <w:szCs w:val="22"/>
        </w:rPr>
        <w:t>mirovi</w:t>
      </w:r>
      <w:r w:rsidR="004049E6" w:rsidRPr="009A6244">
        <w:rPr>
          <w:rFonts w:ascii="Arial" w:hAnsi="Arial" w:cs="Arial"/>
          <w:color w:val="auto"/>
          <w:sz w:val="22"/>
          <w:szCs w:val="22"/>
        </w:rPr>
        <w:t>ns</w:t>
      </w:r>
      <w:r w:rsidR="00EB4AAE" w:rsidRPr="009A6244">
        <w:rPr>
          <w:rFonts w:ascii="Arial" w:hAnsi="Arial" w:cs="Arial"/>
          <w:color w:val="auto"/>
          <w:sz w:val="22"/>
          <w:szCs w:val="22"/>
        </w:rPr>
        <w:t>ki dodatak, jednokratne pomoći</w:t>
      </w:r>
      <w:r w:rsidR="004049E6" w:rsidRPr="009A6244">
        <w:rPr>
          <w:rFonts w:ascii="Arial" w:hAnsi="Arial" w:cs="Arial"/>
          <w:color w:val="auto"/>
          <w:sz w:val="22"/>
          <w:szCs w:val="22"/>
        </w:rPr>
        <w:t>,</w:t>
      </w:r>
      <w:r w:rsidR="00EB4AAE" w:rsidRPr="009A6244">
        <w:rPr>
          <w:rFonts w:ascii="Arial" w:hAnsi="Arial" w:cs="Arial"/>
          <w:color w:val="auto"/>
          <w:sz w:val="22"/>
          <w:szCs w:val="22"/>
        </w:rPr>
        <w:t>invalidnine</w:t>
      </w:r>
      <w:r w:rsidR="004049E6" w:rsidRPr="009A6244">
        <w:rPr>
          <w:rFonts w:ascii="Arial" w:hAnsi="Arial" w:cs="Arial"/>
          <w:color w:val="auto"/>
          <w:sz w:val="22"/>
          <w:szCs w:val="22"/>
        </w:rPr>
        <w:t>…)</w:t>
      </w:r>
      <w:r w:rsidR="007D3862">
        <w:rPr>
          <w:rFonts w:ascii="Arial" w:hAnsi="Arial" w:cs="Arial"/>
          <w:color w:val="auto"/>
          <w:sz w:val="22"/>
          <w:szCs w:val="22"/>
        </w:rPr>
        <w:t>.</w:t>
      </w:r>
    </w:p>
    <w:p w:rsidR="00C6386E" w:rsidRPr="009A6244" w:rsidRDefault="00C6386E" w:rsidP="00C6386E">
      <w:pPr>
        <w:pStyle w:val="BodyText"/>
        <w:ind w:firstLine="708"/>
        <w:rPr>
          <w:rFonts w:ascii="Arial" w:hAnsi="Arial" w:cs="Arial"/>
          <w:color w:val="FF0000"/>
          <w:sz w:val="22"/>
          <w:szCs w:val="22"/>
        </w:rPr>
      </w:pPr>
    </w:p>
    <w:p w:rsidR="00D9576E" w:rsidRDefault="004D48FA" w:rsidP="00D9576E">
      <w:pPr>
        <w:pStyle w:val="BodyText"/>
        <w:rPr>
          <w:rFonts w:ascii="Arial" w:hAnsi="Arial" w:cs="Arial"/>
          <w:color w:val="auto"/>
          <w:sz w:val="22"/>
          <w:szCs w:val="22"/>
        </w:rPr>
      </w:pPr>
      <w:r w:rsidRPr="009A6244">
        <w:rPr>
          <w:rFonts w:ascii="Arial" w:hAnsi="Arial" w:cs="Arial"/>
          <w:b/>
          <w:color w:val="auto"/>
          <w:sz w:val="22"/>
          <w:szCs w:val="22"/>
        </w:rPr>
        <w:t xml:space="preserve">Ostali rashodi </w:t>
      </w:r>
      <w:r w:rsidRPr="009A6244">
        <w:rPr>
          <w:rFonts w:ascii="Arial" w:hAnsi="Arial" w:cs="Arial"/>
          <w:color w:val="auto"/>
          <w:sz w:val="22"/>
          <w:szCs w:val="22"/>
        </w:rPr>
        <w:t>ostvareni su u iznosu od</w:t>
      </w:r>
      <w:r w:rsidR="00BE7B29">
        <w:rPr>
          <w:rFonts w:ascii="Arial" w:hAnsi="Arial" w:cs="Arial"/>
          <w:color w:val="auto"/>
          <w:sz w:val="22"/>
          <w:szCs w:val="22"/>
        </w:rPr>
        <w:t>27</w:t>
      </w:r>
      <w:r w:rsidR="00CC28F5" w:rsidRPr="009A6244">
        <w:rPr>
          <w:rFonts w:ascii="Arial" w:hAnsi="Arial" w:cs="Arial"/>
          <w:color w:val="auto"/>
          <w:sz w:val="22"/>
          <w:szCs w:val="22"/>
        </w:rPr>
        <w:t>.</w:t>
      </w:r>
      <w:r w:rsidR="00BE7B29">
        <w:rPr>
          <w:rFonts w:ascii="Arial" w:hAnsi="Arial" w:cs="Arial"/>
          <w:color w:val="auto"/>
          <w:sz w:val="22"/>
          <w:szCs w:val="22"/>
        </w:rPr>
        <w:t>112</w:t>
      </w:r>
      <w:r w:rsidR="00CC28F5" w:rsidRPr="009A6244">
        <w:rPr>
          <w:rFonts w:ascii="Arial" w:hAnsi="Arial" w:cs="Arial"/>
          <w:color w:val="auto"/>
          <w:sz w:val="22"/>
          <w:szCs w:val="22"/>
        </w:rPr>
        <w:t>.</w:t>
      </w:r>
      <w:r w:rsidR="00BE7B29">
        <w:rPr>
          <w:rFonts w:ascii="Arial" w:hAnsi="Arial" w:cs="Arial"/>
          <w:color w:val="auto"/>
          <w:sz w:val="22"/>
          <w:szCs w:val="22"/>
        </w:rPr>
        <w:t>922</w:t>
      </w:r>
      <w:r w:rsidRPr="009A6244">
        <w:rPr>
          <w:rFonts w:ascii="Arial" w:hAnsi="Arial" w:cs="Arial"/>
          <w:color w:val="auto"/>
          <w:sz w:val="22"/>
          <w:szCs w:val="22"/>
        </w:rPr>
        <w:t xml:space="preserve"> kun</w:t>
      </w:r>
      <w:r w:rsidR="00736710" w:rsidRPr="009A6244">
        <w:rPr>
          <w:rFonts w:ascii="Arial" w:hAnsi="Arial" w:cs="Arial"/>
          <w:color w:val="auto"/>
          <w:sz w:val="22"/>
          <w:szCs w:val="22"/>
        </w:rPr>
        <w:t>a,</w:t>
      </w:r>
      <w:r w:rsidRPr="009A6244">
        <w:rPr>
          <w:rFonts w:ascii="Arial" w:hAnsi="Arial" w:cs="Arial"/>
          <w:color w:val="auto"/>
          <w:sz w:val="22"/>
          <w:szCs w:val="22"/>
        </w:rPr>
        <w:t xml:space="preserve"> a sastoje se od tekućih donacija u novcu</w:t>
      </w:r>
      <w:r w:rsidR="001C5BB5" w:rsidRPr="009A6244">
        <w:rPr>
          <w:rFonts w:ascii="Arial" w:hAnsi="Arial" w:cs="Arial"/>
          <w:color w:val="auto"/>
          <w:sz w:val="22"/>
          <w:szCs w:val="22"/>
        </w:rPr>
        <w:t xml:space="preserve"> (</w:t>
      </w:r>
      <w:r w:rsidR="003B20BD" w:rsidRPr="009A6244">
        <w:rPr>
          <w:rFonts w:ascii="Arial" w:hAnsi="Arial" w:cs="Arial"/>
          <w:color w:val="auto"/>
          <w:sz w:val="22"/>
          <w:szCs w:val="22"/>
        </w:rPr>
        <w:t>2</w:t>
      </w:r>
      <w:r w:rsidR="00BE7B29">
        <w:rPr>
          <w:rFonts w:ascii="Arial" w:hAnsi="Arial" w:cs="Arial"/>
          <w:color w:val="auto"/>
          <w:sz w:val="22"/>
          <w:szCs w:val="22"/>
        </w:rPr>
        <w:t>3</w:t>
      </w:r>
      <w:r w:rsidR="00CC28F5" w:rsidRPr="009A6244">
        <w:rPr>
          <w:rFonts w:ascii="Arial" w:hAnsi="Arial" w:cs="Arial"/>
          <w:color w:val="auto"/>
          <w:sz w:val="22"/>
          <w:szCs w:val="22"/>
        </w:rPr>
        <w:t>.</w:t>
      </w:r>
      <w:r w:rsidR="00BE7B29">
        <w:rPr>
          <w:rFonts w:ascii="Arial" w:hAnsi="Arial" w:cs="Arial"/>
          <w:color w:val="auto"/>
          <w:sz w:val="22"/>
          <w:szCs w:val="22"/>
        </w:rPr>
        <w:t>524</w:t>
      </w:r>
      <w:r w:rsidR="00CC28F5" w:rsidRPr="009A6244">
        <w:rPr>
          <w:rFonts w:ascii="Arial" w:hAnsi="Arial" w:cs="Arial"/>
          <w:color w:val="auto"/>
          <w:sz w:val="22"/>
          <w:szCs w:val="22"/>
        </w:rPr>
        <w:t>.</w:t>
      </w:r>
      <w:r w:rsidR="00BE7B29">
        <w:rPr>
          <w:rFonts w:ascii="Arial" w:hAnsi="Arial" w:cs="Arial"/>
          <w:color w:val="auto"/>
          <w:sz w:val="22"/>
          <w:szCs w:val="22"/>
        </w:rPr>
        <w:t>658</w:t>
      </w:r>
      <w:r w:rsidR="001C5BB5" w:rsidRPr="009A6244">
        <w:rPr>
          <w:rFonts w:ascii="Arial" w:hAnsi="Arial" w:cs="Arial"/>
          <w:color w:val="auto"/>
          <w:sz w:val="22"/>
          <w:szCs w:val="22"/>
        </w:rPr>
        <w:t xml:space="preserve">kn) koje se daju </w:t>
      </w:r>
      <w:r w:rsidR="00736710" w:rsidRPr="009A6244">
        <w:rPr>
          <w:rFonts w:ascii="Arial" w:hAnsi="Arial" w:cs="Arial"/>
          <w:color w:val="auto"/>
          <w:sz w:val="22"/>
          <w:szCs w:val="22"/>
        </w:rPr>
        <w:t xml:space="preserve">vjerskim zajednicama, </w:t>
      </w:r>
      <w:r w:rsidR="001C5BB5" w:rsidRPr="009A6244">
        <w:rPr>
          <w:rFonts w:ascii="Arial" w:hAnsi="Arial" w:cs="Arial"/>
          <w:color w:val="auto"/>
          <w:sz w:val="22"/>
          <w:szCs w:val="22"/>
        </w:rPr>
        <w:t>udrugama građana, neprofitnim organizacijama, političkim strankama, zakladama, građanima i kućanstvima</w:t>
      </w:r>
      <w:r w:rsidR="00736710" w:rsidRPr="009A6244">
        <w:rPr>
          <w:rFonts w:ascii="Arial" w:hAnsi="Arial" w:cs="Arial"/>
          <w:color w:val="auto"/>
          <w:sz w:val="22"/>
          <w:szCs w:val="22"/>
        </w:rPr>
        <w:t>;</w:t>
      </w:r>
      <w:r w:rsidRPr="009A6244">
        <w:rPr>
          <w:rFonts w:ascii="Arial" w:hAnsi="Arial" w:cs="Arial"/>
          <w:color w:val="auto"/>
          <w:sz w:val="22"/>
          <w:szCs w:val="22"/>
        </w:rPr>
        <w:t xml:space="preserve"> kapitalnih donacija</w:t>
      </w:r>
      <w:r w:rsidR="001C5BB5" w:rsidRPr="009A6244">
        <w:rPr>
          <w:rFonts w:ascii="Arial" w:hAnsi="Arial" w:cs="Arial"/>
          <w:color w:val="auto"/>
          <w:sz w:val="22"/>
          <w:szCs w:val="22"/>
        </w:rPr>
        <w:t xml:space="preserve"> (</w:t>
      </w:r>
      <w:r w:rsidR="00BE7B29">
        <w:rPr>
          <w:rFonts w:ascii="Arial" w:hAnsi="Arial" w:cs="Arial"/>
          <w:color w:val="auto"/>
          <w:sz w:val="22"/>
          <w:szCs w:val="22"/>
        </w:rPr>
        <w:t>1.054</w:t>
      </w:r>
      <w:r w:rsidR="00CC28F5" w:rsidRPr="009A6244">
        <w:rPr>
          <w:rFonts w:ascii="Arial" w:hAnsi="Arial" w:cs="Arial"/>
          <w:color w:val="auto"/>
          <w:sz w:val="22"/>
          <w:szCs w:val="22"/>
        </w:rPr>
        <w:t>.</w:t>
      </w:r>
      <w:r w:rsidR="00BE7B29">
        <w:rPr>
          <w:rFonts w:ascii="Arial" w:hAnsi="Arial" w:cs="Arial"/>
          <w:color w:val="auto"/>
          <w:sz w:val="22"/>
          <w:szCs w:val="22"/>
        </w:rPr>
        <w:t>816</w:t>
      </w:r>
      <w:r w:rsidR="001C5BB5" w:rsidRPr="009A6244">
        <w:rPr>
          <w:rFonts w:ascii="Arial" w:hAnsi="Arial" w:cs="Arial"/>
          <w:color w:val="auto"/>
          <w:sz w:val="22"/>
          <w:szCs w:val="22"/>
        </w:rPr>
        <w:t xml:space="preserve"> kn)</w:t>
      </w:r>
      <w:r w:rsidR="00642192" w:rsidRPr="009A6244">
        <w:rPr>
          <w:rFonts w:ascii="Arial" w:hAnsi="Arial" w:cs="Arial"/>
          <w:color w:val="auto"/>
          <w:sz w:val="22"/>
          <w:szCs w:val="22"/>
        </w:rPr>
        <w:t xml:space="preserve"> i</w:t>
      </w:r>
      <w:r w:rsidR="001C5BB5" w:rsidRPr="009A6244">
        <w:rPr>
          <w:rFonts w:ascii="Arial" w:hAnsi="Arial" w:cs="Arial"/>
          <w:color w:val="auto"/>
          <w:sz w:val="22"/>
          <w:szCs w:val="22"/>
        </w:rPr>
        <w:t xml:space="preserve"> kapitalnih pomoći (</w:t>
      </w:r>
      <w:r w:rsidR="008C7CD9">
        <w:rPr>
          <w:rFonts w:ascii="Arial" w:hAnsi="Arial" w:cs="Arial"/>
          <w:color w:val="auto"/>
          <w:sz w:val="22"/>
          <w:szCs w:val="22"/>
        </w:rPr>
        <w:t>2</w:t>
      </w:r>
      <w:r w:rsidR="00F51E7D" w:rsidRPr="009A6244">
        <w:rPr>
          <w:rFonts w:ascii="Arial" w:hAnsi="Arial" w:cs="Arial"/>
          <w:color w:val="auto"/>
          <w:sz w:val="22"/>
          <w:szCs w:val="22"/>
        </w:rPr>
        <w:t>.</w:t>
      </w:r>
      <w:r w:rsidR="008C7CD9">
        <w:rPr>
          <w:rFonts w:ascii="Arial" w:hAnsi="Arial" w:cs="Arial"/>
          <w:color w:val="auto"/>
          <w:sz w:val="22"/>
          <w:szCs w:val="22"/>
        </w:rPr>
        <w:t>309</w:t>
      </w:r>
      <w:r w:rsidR="00CC28F5" w:rsidRPr="009A6244">
        <w:rPr>
          <w:rFonts w:ascii="Arial" w:hAnsi="Arial" w:cs="Arial"/>
          <w:color w:val="auto"/>
          <w:sz w:val="22"/>
          <w:szCs w:val="22"/>
        </w:rPr>
        <w:t>.</w:t>
      </w:r>
      <w:r w:rsidR="008C7CD9">
        <w:rPr>
          <w:rFonts w:ascii="Arial" w:hAnsi="Arial" w:cs="Arial"/>
          <w:color w:val="auto"/>
          <w:sz w:val="22"/>
          <w:szCs w:val="22"/>
        </w:rPr>
        <w:t>615</w:t>
      </w:r>
      <w:r w:rsidR="001C5BB5" w:rsidRPr="009A6244">
        <w:rPr>
          <w:rFonts w:ascii="Arial" w:hAnsi="Arial" w:cs="Arial"/>
          <w:color w:val="auto"/>
          <w:sz w:val="22"/>
          <w:szCs w:val="22"/>
        </w:rPr>
        <w:t>k</w:t>
      </w:r>
      <w:r w:rsidR="005805FE">
        <w:rPr>
          <w:rFonts w:ascii="Arial" w:hAnsi="Arial" w:cs="Arial"/>
          <w:color w:val="auto"/>
          <w:sz w:val="22"/>
          <w:szCs w:val="22"/>
        </w:rPr>
        <w:t>n</w:t>
      </w:r>
      <w:r w:rsidR="001C5BB5" w:rsidRPr="009A6244">
        <w:rPr>
          <w:rFonts w:ascii="Arial" w:hAnsi="Arial" w:cs="Arial"/>
          <w:color w:val="auto"/>
          <w:sz w:val="22"/>
          <w:szCs w:val="22"/>
        </w:rPr>
        <w:t>)</w:t>
      </w:r>
      <w:r w:rsidR="00931CFB">
        <w:rPr>
          <w:rFonts w:ascii="Arial" w:hAnsi="Arial" w:cs="Arial"/>
          <w:color w:val="auto"/>
          <w:sz w:val="22"/>
          <w:szCs w:val="22"/>
        </w:rPr>
        <w:t>,</w:t>
      </w:r>
      <w:r w:rsidR="007D12A2">
        <w:rPr>
          <w:rFonts w:ascii="Arial" w:hAnsi="Arial" w:cs="Arial"/>
          <w:color w:val="auto"/>
          <w:sz w:val="22"/>
          <w:szCs w:val="22"/>
        </w:rPr>
        <w:t>te</w:t>
      </w:r>
      <w:r w:rsidR="00931CFB">
        <w:rPr>
          <w:rFonts w:ascii="Arial" w:hAnsi="Arial" w:cs="Arial"/>
          <w:color w:val="auto"/>
          <w:sz w:val="22"/>
          <w:szCs w:val="22"/>
        </w:rPr>
        <w:t xml:space="preserve"> rashoda za k</w:t>
      </w:r>
      <w:r w:rsidR="00F51E7D" w:rsidRPr="009A6244">
        <w:rPr>
          <w:rFonts w:ascii="Arial" w:hAnsi="Arial" w:cs="Arial"/>
          <w:color w:val="auto"/>
          <w:sz w:val="22"/>
          <w:szCs w:val="22"/>
        </w:rPr>
        <w:t>azne, penal</w:t>
      </w:r>
      <w:r w:rsidR="00931CFB">
        <w:rPr>
          <w:rFonts w:ascii="Arial" w:hAnsi="Arial" w:cs="Arial"/>
          <w:color w:val="auto"/>
          <w:sz w:val="22"/>
          <w:szCs w:val="22"/>
        </w:rPr>
        <w:t>e</w:t>
      </w:r>
      <w:r w:rsidR="00F51E7D" w:rsidRPr="009A6244">
        <w:rPr>
          <w:rFonts w:ascii="Arial" w:hAnsi="Arial" w:cs="Arial"/>
          <w:color w:val="auto"/>
          <w:sz w:val="22"/>
          <w:szCs w:val="22"/>
        </w:rPr>
        <w:t xml:space="preserve"> i naknade štete</w:t>
      </w:r>
      <w:r w:rsidR="00931CFB">
        <w:rPr>
          <w:rFonts w:ascii="Arial" w:hAnsi="Arial" w:cs="Arial"/>
          <w:color w:val="auto"/>
          <w:sz w:val="22"/>
          <w:szCs w:val="22"/>
        </w:rPr>
        <w:t xml:space="preserve"> (</w:t>
      </w:r>
      <w:r w:rsidR="00F51E7D" w:rsidRPr="009A6244">
        <w:rPr>
          <w:rFonts w:ascii="Arial" w:hAnsi="Arial" w:cs="Arial"/>
          <w:color w:val="auto"/>
          <w:sz w:val="22"/>
          <w:szCs w:val="22"/>
        </w:rPr>
        <w:t xml:space="preserve">ostvareni u iznosu </w:t>
      </w:r>
      <w:r w:rsidR="008C7CD9">
        <w:rPr>
          <w:rFonts w:ascii="Arial" w:hAnsi="Arial" w:cs="Arial"/>
          <w:color w:val="auto"/>
          <w:sz w:val="22"/>
          <w:szCs w:val="22"/>
        </w:rPr>
        <w:t>22</w:t>
      </w:r>
      <w:r w:rsidR="00F51E7D" w:rsidRPr="009A6244">
        <w:rPr>
          <w:rFonts w:ascii="Arial" w:hAnsi="Arial" w:cs="Arial"/>
          <w:color w:val="auto"/>
          <w:sz w:val="22"/>
          <w:szCs w:val="22"/>
        </w:rPr>
        <w:t>3.</w:t>
      </w:r>
      <w:r w:rsidR="008C7CD9">
        <w:rPr>
          <w:rFonts w:ascii="Arial" w:hAnsi="Arial" w:cs="Arial"/>
          <w:color w:val="auto"/>
          <w:sz w:val="22"/>
          <w:szCs w:val="22"/>
        </w:rPr>
        <w:t>83</w:t>
      </w:r>
      <w:r w:rsidR="00F51E7D" w:rsidRPr="009A6244">
        <w:rPr>
          <w:rFonts w:ascii="Arial" w:hAnsi="Arial" w:cs="Arial"/>
          <w:color w:val="auto"/>
          <w:sz w:val="22"/>
          <w:szCs w:val="22"/>
        </w:rPr>
        <w:t xml:space="preserve">3 </w:t>
      </w:r>
      <w:r w:rsidR="005805FE">
        <w:rPr>
          <w:rFonts w:ascii="Arial" w:hAnsi="Arial" w:cs="Arial"/>
          <w:color w:val="auto"/>
          <w:sz w:val="22"/>
          <w:szCs w:val="22"/>
        </w:rPr>
        <w:t>kn</w:t>
      </w:r>
      <w:r w:rsidR="00931CFB">
        <w:rPr>
          <w:rFonts w:ascii="Arial" w:hAnsi="Arial" w:cs="Arial"/>
          <w:color w:val="auto"/>
          <w:sz w:val="22"/>
          <w:szCs w:val="22"/>
        </w:rPr>
        <w:t>).</w:t>
      </w:r>
    </w:p>
    <w:p w:rsidR="00131958" w:rsidRDefault="00131958" w:rsidP="00D9576E">
      <w:pPr>
        <w:pStyle w:val="BodyText"/>
        <w:rPr>
          <w:rFonts w:ascii="Arial" w:hAnsi="Arial" w:cs="Arial"/>
          <w:color w:val="auto"/>
          <w:sz w:val="22"/>
          <w:szCs w:val="22"/>
        </w:rPr>
      </w:pPr>
    </w:p>
    <w:p w:rsidR="00131958" w:rsidRPr="00131958" w:rsidRDefault="00131958" w:rsidP="00D9576E">
      <w:pPr>
        <w:pStyle w:val="BodyText"/>
        <w:rPr>
          <w:rFonts w:ascii="Arial" w:hAnsi="Arial" w:cs="Arial"/>
          <w:bCs/>
          <w:color w:val="auto"/>
          <w:sz w:val="22"/>
          <w:szCs w:val="22"/>
        </w:rPr>
      </w:pPr>
      <w:r w:rsidRPr="009A6244">
        <w:rPr>
          <w:rFonts w:ascii="Arial" w:hAnsi="Arial" w:cs="Arial"/>
          <w:b/>
          <w:color w:val="auto"/>
          <w:sz w:val="22"/>
          <w:szCs w:val="22"/>
        </w:rPr>
        <w:t xml:space="preserve">Rashodi za nabavu </w:t>
      </w:r>
      <w:r>
        <w:rPr>
          <w:rFonts w:ascii="Arial" w:hAnsi="Arial" w:cs="Arial"/>
          <w:b/>
          <w:color w:val="auto"/>
          <w:sz w:val="22"/>
          <w:szCs w:val="22"/>
        </w:rPr>
        <w:t>ne</w:t>
      </w:r>
      <w:r w:rsidRPr="009A6244">
        <w:rPr>
          <w:rFonts w:ascii="Arial" w:hAnsi="Arial" w:cs="Arial"/>
          <w:b/>
          <w:color w:val="auto"/>
          <w:sz w:val="22"/>
          <w:szCs w:val="22"/>
        </w:rPr>
        <w:t>proizvedene dugotrajne</w:t>
      </w:r>
      <w:r w:rsidR="0022326C">
        <w:rPr>
          <w:rFonts w:ascii="Arial" w:hAnsi="Arial" w:cs="Arial"/>
          <w:b/>
          <w:color w:val="auto"/>
          <w:sz w:val="22"/>
          <w:szCs w:val="22"/>
        </w:rPr>
        <w:t xml:space="preserve"> imovine</w:t>
      </w:r>
      <w:r>
        <w:rPr>
          <w:rFonts w:ascii="Arial" w:hAnsi="Arial" w:cs="Arial"/>
          <w:bCs/>
          <w:color w:val="auto"/>
          <w:sz w:val="22"/>
          <w:szCs w:val="22"/>
        </w:rPr>
        <w:t>ostvareni s</w:t>
      </w:r>
      <w:r w:rsidR="0022326C">
        <w:rPr>
          <w:rFonts w:ascii="Arial" w:hAnsi="Arial" w:cs="Arial"/>
          <w:bCs/>
          <w:color w:val="auto"/>
          <w:sz w:val="22"/>
          <w:szCs w:val="22"/>
        </w:rPr>
        <w:t>u</w:t>
      </w:r>
      <w:r>
        <w:rPr>
          <w:rFonts w:ascii="Arial" w:hAnsi="Arial" w:cs="Arial"/>
          <w:bCs/>
          <w:color w:val="auto"/>
          <w:sz w:val="22"/>
          <w:szCs w:val="22"/>
        </w:rPr>
        <w:t xml:space="preserve"> u iznosu od 1.390.775 kuna a odnosi se na: ulaganja u materijalnu imovinu-zemljišta 277.941 kn i ulaganja u nematerijalnu imovinu u iznosu od 1.112.834 kn (licence 1.635 kn i ulaganje u tuđu imovinu radi prava korištenja 1.111.199 kn).</w:t>
      </w:r>
    </w:p>
    <w:p w:rsidR="00F51E7D" w:rsidRPr="009A6244" w:rsidRDefault="00F51E7D" w:rsidP="00D9576E">
      <w:pPr>
        <w:pStyle w:val="BodyText"/>
        <w:rPr>
          <w:rFonts w:ascii="Arial" w:hAnsi="Arial" w:cs="Arial"/>
          <w:color w:val="auto"/>
          <w:sz w:val="22"/>
          <w:szCs w:val="22"/>
        </w:rPr>
      </w:pPr>
    </w:p>
    <w:p w:rsidR="00EB4AAE" w:rsidRPr="009A6244" w:rsidRDefault="004D48FA" w:rsidP="001679F1">
      <w:pPr>
        <w:pStyle w:val="BodyText"/>
        <w:rPr>
          <w:rFonts w:ascii="Arial" w:hAnsi="Arial" w:cs="Arial"/>
          <w:color w:val="auto"/>
          <w:sz w:val="22"/>
          <w:szCs w:val="22"/>
        </w:rPr>
      </w:pPr>
      <w:r w:rsidRPr="009A6244">
        <w:rPr>
          <w:rFonts w:ascii="Arial" w:hAnsi="Arial" w:cs="Arial"/>
          <w:b/>
          <w:color w:val="auto"/>
          <w:sz w:val="22"/>
          <w:szCs w:val="22"/>
        </w:rPr>
        <w:t xml:space="preserve">Rashodi za nabavu proizvedene dugotrajne imovine </w:t>
      </w:r>
      <w:r w:rsidRPr="009A6244">
        <w:rPr>
          <w:rFonts w:ascii="Arial" w:hAnsi="Arial" w:cs="Arial"/>
          <w:color w:val="auto"/>
          <w:sz w:val="22"/>
          <w:szCs w:val="22"/>
        </w:rPr>
        <w:t xml:space="preserve">ostvareni su u iznosu od </w:t>
      </w:r>
      <w:r w:rsidR="00D314BA">
        <w:rPr>
          <w:rFonts w:ascii="Arial" w:hAnsi="Arial" w:cs="Arial"/>
          <w:color w:val="auto"/>
          <w:sz w:val="22"/>
          <w:szCs w:val="22"/>
        </w:rPr>
        <w:t>39</w:t>
      </w:r>
      <w:r w:rsidR="00F11FB0" w:rsidRPr="009A6244">
        <w:rPr>
          <w:rFonts w:ascii="Arial" w:hAnsi="Arial" w:cs="Arial"/>
          <w:color w:val="auto"/>
          <w:sz w:val="22"/>
          <w:szCs w:val="22"/>
        </w:rPr>
        <w:t>.</w:t>
      </w:r>
      <w:r w:rsidR="00D314BA">
        <w:rPr>
          <w:rFonts w:ascii="Arial" w:hAnsi="Arial" w:cs="Arial"/>
          <w:color w:val="auto"/>
          <w:sz w:val="22"/>
          <w:szCs w:val="22"/>
        </w:rPr>
        <w:t>358</w:t>
      </w:r>
      <w:r w:rsidR="00F11FB0" w:rsidRPr="009A6244">
        <w:rPr>
          <w:rFonts w:ascii="Arial" w:hAnsi="Arial" w:cs="Arial"/>
          <w:color w:val="auto"/>
          <w:sz w:val="22"/>
          <w:szCs w:val="22"/>
        </w:rPr>
        <w:t>.</w:t>
      </w:r>
      <w:r w:rsidR="00D314BA">
        <w:rPr>
          <w:rFonts w:ascii="Arial" w:hAnsi="Arial" w:cs="Arial"/>
          <w:color w:val="auto"/>
          <w:sz w:val="22"/>
          <w:szCs w:val="22"/>
        </w:rPr>
        <w:t>483</w:t>
      </w:r>
      <w:r w:rsidRPr="009A6244">
        <w:rPr>
          <w:rFonts w:ascii="Arial" w:hAnsi="Arial" w:cs="Arial"/>
          <w:color w:val="auto"/>
          <w:sz w:val="22"/>
          <w:szCs w:val="22"/>
        </w:rPr>
        <w:t xml:space="preserve"> kun</w:t>
      </w:r>
      <w:r w:rsidR="007806DD" w:rsidRPr="009A6244">
        <w:rPr>
          <w:rFonts w:ascii="Arial" w:hAnsi="Arial" w:cs="Arial"/>
          <w:color w:val="auto"/>
          <w:sz w:val="22"/>
          <w:szCs w:val="22"/>
        </w:rPr>
        <w:t xml:space="preserve">a, od čega je u </w:t>
      </w:r>
      <w:r w:rsidR="00534F25" w:rsidRPr="009A6244">
        <w:rPr>
          <w:rFonts w:ascii="Arial" w:hAnsi="Arial" w:cs="Arial"/>
          <w:color w:val="auto"/>
          <w:sz w:val="22"/>
          <w:szCs w:val="22"/>
        </w:rPr>
        <w:t xml:space="preserve">građevinske objekte uloženo </w:t>
      </w:r>
      <w:r w:rsidR="00D314BA">
        <w:rPr>
          <w:rFonts w:ascii="Arial" w:hAnsi="Arial" w:cs="Arial"/>
          <w:color w:val="auto"/>
          <w:sz w:val="22"/>
          <w:szCs w:val="22"/>
        </w:rPr>
        <w:t>34</w:t>
      </w:r>
      <w:r w:rsidR="00F11FB0" w:rsidRPr="009A6244">
        <w:rPr>
          <w:rFonts w:ascii="Arial" w:hAnsi="Arial" w:cs="Arial"/>
          <w:color w:val="auto"/>
          <w:sz w:val="22"/>
          <w:szCs w:val="22"/>
        </w:rPr>
        <w:t>.</w:t>
      </w:r>
      <w:r w:rsidR="00D314BA">
        <w:rPr>
          <w:rFonts w:ascii="Arial" w:hAnsi="Arial" w:cs="Arial"/>
          <w:color w:val="auto"/>
          <w:sz w:val="22"/>
          <w:szCs w:val="22"/>
        </w:rPr>
        <w:t>381</w:t>
      </w:r>
      <w:r w:rsidR="00F11FB0" w:rsidRPr="009A6244">
        <w:rPr>
          <w:rFonts w:ascii="Arial" w:hAnsi="Arial" w:cs="Arial"/>
          <w:color w:val="auto"/>
          <w:sz w:val="22"/>
          <w:szCs w:val="22"/>
        </w:rPr>
        <w:t>.</w:t>
      </w:r>
      <w:r w:rsidR="00D314BA">
        <w:rPr>
          <w:rFonts w:ascii="Arial" w:hAnsi="Arial" w:cs="Arial"/>
          <w:color w:val="auto"/>
          <w:sz w:val="22"/>
          <w:szCs w:val="22"/>
        </w:rPr>
        <w:t>617</w:t>
      </w:r>
      <w:r w:rsidR="00534F25" w:rsidRPr="009A6244">
        <w:rPr>
          <w:rFonts w:ascii="Arial" w:hAnsi="Arial" w:cs="Arial"/>
          <w:color w:val="auto"/>
          <w:sz w:val="22"/>
          <w:szCs w:val="22"/>
        </w:rPr>
        <w:t xml:space="preserve"> kun</w:t>
      </w:r>
      <w:r w:rsidR="00F11FB0" w:rsidRPr="009A6244">
        <w:rPr>
          <w:rFonts w:ascii="Arial" w:hAnsi="Arial" w:cs="Arial"/>
          <w:color w:val="auto"/>
          <w:sz w:val="22"/>
          <w:szCs w:val="22"/>
        </w:rPr>
        <w:t>e</w:t>
      </w:r>
      <w:r w:rsidR="00534F25" w:rsidRPr="009A6244">
        <w:rPr>
          <w:rFonts w:ascii="Arial" w:hAnsi="Arial" w:cs="Arial"/>
          <w:color w:val="auto"/>
          <w:sz w:val="22"/>
          <w:szCs w:val="22"/>
        </w:rPr>
        <w:t xml:space="preserve">, </w:t>
      </w:r>
      <w:r w:rsidRPr="009A6244">
        <w:rPr>
          <w:rFonts w:ascii="Arial" w:hAnsi="Arial" w:cs="Arial"/>
          <w:color w:val="auto"/>
          <w:sz w:val="22"/>
          <w:szCs w:val="22"/>
        </w:rPr>
        <w:t>u postrojenj</w:t>
      </w:r>
      <w:r w:rsidR="00534F25" w:rsidRPr="009A6244">
        <w:rPr>
          <w:rFonts w:ascii="Arial" w:hAnsi="Arial" w:cs="Arial"/>
          <w:color w:val="auto"/>
          <w:sz w:val="22"/>
          <w:szCs w:val="22"/>
        </w:rPr>
        <w:t>e i</w:t>
      </w:r>
      <w:r w:rsidRPr="009A6244">
        <w:rPr>
          <w:rFonts w:ascii="Arial" w:hAnsi="Arial" w:cs="Arial"/>
          <w:color w:val="auto"/>
          <w:sz w:val="22"/>
          <w:szCs w:val="22"/>
        </w:rPr>
        <w:t xml:space="preserve"> opremu</w:t>
      </w:r>
      <w:r w:rsidR="00D314BA">
        <w:rPr>
          <w:rFonts w:ascii="Arial" w:hAnsi="Arial" w:cs="Arial"/>
          <w:color w:val="auto"/>
          <w:sz w:val="22"/>
          <w:szCs w:val="22"/>
        </w:rPr>
        <w:t>3</w:t>
      </w:r>
      <w:r w:rsidR="00403B62" w:rsidRPr="009A6244">
        <w:rPr>
          <w:rFonts w:ascii="Arial" w:hAnsi="Arial" w:cs="Arial"/>
          <w:color w:val="auto"/>
          <w:sz w:val="22"/>
          <w:szCs w:val="22"/>
        </w:rPr>
        <w:t>.</w:t>
      </w:r>
      <w:r w:rsidR="00D314BA">
        <w:rPr>
          <w:rFonts w:ascii="Arial" w:hAnsi="Arial" w:cs="Arial"/>
          <w:color w:val="auto"/>
          <w:sz w:val="22"/>
          <w:szCs w:val="22"/>
        </w:rPr>
        <w:t>293</w:t>
      </w:r>
      <w:r w:rsidR="00F11FB0" w:rsidRPr="009A6244">
        <w:rPr>
          <w:rFonts w:ascii="Arial" w:hAnsi="Arial" w:cs="Arial"/>
          <w:color w:val="auto"/>
          <w:sz w:val="22"/>
          <w:szCs w:val="22"/>
        </w:rPr>
        <w:t>.</w:t>
      </w:r>
      <w:r w:rsidR="00D314BA">
        <w:rPr>
          <w:rFonts w:ascii="Arial" w:hAnsi="Arial" w:cs="Arial"/>
          <w:color w:val="auto"/>
          <w:sz w:val="22"/>
          <w:szCs w:val="22"/>
        </w:rPr>
        <w:t>238</w:t>
      </w:r>
      <w:r w:rsidR="00534F25" w:rsidRPr="009A6244">
        <w:rPr>
          <w:rFonts w:ascii="Arial" w:hAnsi="Arial" w:cs="Arial"/>
          <w:color w:val="auto"/>
          <w:sz w:val="22"/>
          <w:szCs w:val="22"/>
        </w:rPr>
        <w:t xml:space="preserve"> kn</w:t>
      </w:r>
      <w:r w:rsidR="00F11FB0" w:rsidRPr="009A6244">
        <w:rPr>
          <w:rFonts w:ascii="Arial" w:hAnsi="Arial" w:cs="Arial"/>
          <w:color w:val="auto"/>
          <w:sz w:val="22"/>
          <w:szCs w:val="22"/>
        </w:rPr>
        <w:t>. R</w:t>
      </w:r>
      <w:r w:rsidR="00EB4AAE" w:rsidRPr="009A6244">
        <w:rPr>
          <w:rFonts w:ascii="Arial" w:hAnsi="Arial" w:cs="Arial"/>
          <w:color w:val="auto"/>
          <w:sz w:val="22"/>
          <w:szCs w:val="22"/>
        </w:rPr>
        <w:t xml:space="preserve">ashodi za knjige, umjetnička djela i ostale </w:t>
      </w:r>
      <w:r w:rsidR="007806DD" w:rsidRPr="009A6244">
        <w:rPr>
          <w:rFonts w:ascii="Arial" w:hAnsi="Arial" w:cs="Arial"/>
          <w:color w:val="auto"/>
          <w:sz w:val="22"/>
          <w:szCs w:val="22"/>
        </w:rPr>
        <w:t>vrijednosti</w:t>
      </w:r>
      <w:r w:rsidR="00F11FB0" w:rsidRPr="009A6244">
        <w:rPr>
          <w:rFonts w:ascii="Arial" w:hAnsi="Arial" w:cs="Arial"/>
          <w:color w:val="auto"/>
          <w:sz w:val="22"/>
          <w:szCs w:val="22"/>
        </w:rPr>
        <w:t>ostvareni s</w:t>
      </w:r>
      <w:r w:rsidR="00EB4AAE" w:rsidRPr="009A6244">
        <w:rPr>
          <w:rFonts w:ascii="Arial" w:hAnsi="Arial" w:cs="Arial"/>
          <w:color w:val="auto"/>
          <w:sz w:val="22"/>
          <w:szCs w:val="22"/>
        </w:rPr>
        <w:t>u</w:t>
      </w:r>
      <w:r w:rsidR="007806DD" w:rsidRPr="009A6244">
        <w:rPr>
          <w:rFonts w:ascii="Arial" w:hAnsi="Arial" w:cs="Arial"/>
          <w:color w:val="auto"/>
          <w:sz w:val="22"/>
          <w:szCs w:val="22"/>
        </w:rPr>
        <w:t xml:space="preserve"> i</w:t>
      </w:r>
      <w:r w:rsidR="00AC3FF4" w:rsidRPr="009A6244">
        <w:rPr>
          <w:rFonts w:ascii="Arial" w:hAnsi="Arial" w:cs="Arial"/>
          <w:color w:val="auto"/>
          <w:sz w:val="22"/>
          <w:szCs w:val="22"/>
        </w:rPr>
        <w:t xml:space="preserve">znosu od </w:t>
      </w:r>
      <w:r w:rsidR="00D314BA">
        <w:rPr>
          <w:rFonts w:ascii="Arial" w:hAnsi="Arial" w:cs="Arial"/>
          <w:color w:val="auto"/>
          <w:sz w:val="22"/>
          <w:szCs w:val="22"/>
        </w:rPr>
        <w:t>439</w:t>
      </w:r>
      <w:r w:rsidR="00F11FB0" w:rsidRPr="009A6244">
        <w:rPr>
          <w:rFonts w:ascii="Arial" w:hAnsi="Arial" w:cs="Arial"/>
          <w:color w:val="auto"/>
          <w:sz w:val="22"/>
          <w:szCs w:val="22"/>
        </w:rPr>
        <w:t>.</w:t>
      </w:r>
      <w:r w:rsidR="00D314BA">
        <w:rPr>
          <w:rFonts w:ascii="Arial" w:hAnsi="Arial" w:cs="Arial"/>
          <w:color w:val="auto"/>
          <w:sz w:val="22"/>
          <w:szCs w:val="22"/>
        </w:rPr>
        <w:t>880</w:t>
      </w:r>
      <w:r w:rsidR="007806DD" w:rsidRPr="009A6244">
        <w:rPr>
          <w:rFonts w:ascii="Arial" w:hAnsi="Arial" w:cs="Arial"/>
          <w:color w:val="auto"/>
          <w:sz w:val="22"/>
          <w:szCs w:val="22"/>
        </w:rPr>
        <w:t>kun</w:t>
      </w:r>
      <w:r w:rsidR="00F11FB0" w:rsidRPr="009A6244">
        <w:rPr>
          <w:rFonts w:ascii="Arial" w:hAnsi="Arial" w:cs="Arial"/>
          <w:color w:val="auto"/>
          <w:sz w:val="22"/>
          <w:szCs w:val="22"/>
        </w:rPr>
        <w:t>e,</w:t>
      </w:r>
      <w:r w:rsidR="00D314BA">
        <w:rPr>
          <w:rFonts w:ascii="Arial" w:hAnsi="Arial" w:cs="Arial"/>
          <w:color w:val="auto"/>
          <w:sz w:val="22"/>
          <w:szCs w:val="22"/>
        </w:rPr>
        <w:t xml:space="preserve"> ulaganja u prijevozna sredstva</w:t>
      </w:r>
      <w:r w:rsidR="007806DD" w:rsidRPr="009A6244">
        <w:rPr>
          <w:rFonts w:ascii="Arial" w:hAnsi="Arial" w:cs="Arial"/>
          <w:color w:val="auto"/>
          <w:sz w:val="22"/>
          <w:szCs w:val="22"/>
        </w:rPr>
        <w:t xml:space="preserve">ostvarena </w:t>
      </w:r>
      <w:r w:rsidR="00D314BA">
        <w:rPr>
          <w:rFonts w:ascii="Arial" w:hAnsi="Arial" w:cs="Arial"/>
          <w:color w:val="auto"/>
          <w:sz w:val="22"/>
          <w:szCs w:val="22"/>
        </w:rPr>
        <w:t>su</w:t>
      </w:r>
      <w:r w:rsidR="00EB4AAE" w:rsidRPr="009A6244">
        <w:rPr>
          <w:rFonts w:ascii="Arial" w:hAnsi="Arial" w:cs="Arial"/>
          <w:color w:val="auto"/>
          <w:sz w:val="22"/>
          <w:szCs w:val="22"/>
        </w:rPr>
        <w:t xml:space="preserve">u iznosu od </w:t>
      </w:r>
      <w:r w:rsidR="00D314BA">
        <w:rPr>
          <w:rFonts w:ascii="Arial" w:hAnsi="Arial" w:cs="Arial"/>
          <w:color w:val="auto"/>
          <w:sz w:val="22"/>
          <w:szCs w:val="22"/>
        </w:rPr>
        <w:t>54</w:t>
      </w:r>
      <w:r w:rsidR="00F11FB0" w:rsidRPr="009A6244">
        <w:rPr>
          <w:rFonts w:ascii="Arial" w:hAnsi="Arial" w:cs="Arial"/>
          <w:color w:val="auto"/>
          <w:sz w:val="22"/>
          <w:szCs w:val="22"/>
        </w:rPr>
        <w:t>.</w:t>
      </w:r>
      <w:r w:rsidR="00D314BA">
        <w:rPr>
          <w:rFonts w:ascii="Arial" w:hAnsi="Arial" w:cs="Arial"/>
          <w:color w:val="auto"/>
          <w:sz w:val="22"/>
          <w:szCs w:val="22"/>
        </w:rPr>
        <w:t>024</w:t>
      </w:r>
      <w:r w:rsidR="00EB4AAE" w:rsidRPr="009A6244">
        <w:rPr>
          <w:rFonts w:ascii="Arial" w:hAnsi="Arial" w:cs="Arial"/>
          <w:color w:val="auto"/>
          <w:sz w:val="22"/>
          <w:szCs w:val="22"/>
        </w:rPr>
        <w:t xml:space="preserve"> kn</w:t>
      </w:r>
      <w:r w:rsidR="009B1AD8">
        <w:rPr>
          <w:rFonts w:ascii="Arial" w:hAnsi="Arial" w:cs="Arial"/>
          <w:color w:val="auto"/>
          <w:sz w:val="22"/>
          <w:szCs w:val="22"/>
        </w:rPr>
        <w:t>,</w:t>
      </w:r>
      <w:r w:rsidR="00D314BA">
        <w:rPr>
          <w:rFonts w:ascii="Arial" w:hAnsi="Arial" w:cs="Arial"/>
          <w:color w:val="auto"/>
          <w:sz w:val="22"/>
          <w:szCs w:val="22"/>
        </w:rPr>
        <w:t xml:space="preserve"> a ulaganja u nematerijalnu proizvedenu imovinu za navedeno razdoblje iznosi 1.189.724 kn na razini proračuna Grada Dubrovnika dok u konsolidiranom prikazu ukupna ulaganja u ovoj grupi konta iznose 41.670.133 i čine </w:t>
      </w:r>
      <w:r w:rsidR="00154CE7">
        <w:rPr>
          <w:rFonts w:ascii="Arial" w:hAnsi="Arial" w:cs="Arial"/>
          <w:color w:val="auto"/>
          <w:sz w:val="22"/>
          <w:szCs w:val="22"/>
        </w:rPr>
        <w:t>30%</w:t>
      </w:r>
      <w:r w:rsidR="00094DD0">
        <w:rPr>
          <w:rFonts w:ascii="Arial" w:hAnsi="Arial" w:cs="Arial"/>
          <w:color w:val="auto"/>
          <w:sz w:val="22"/>
          <w:szCs w:val="22"/>
        </w:rPr>
        <w:t xml:space="preserve"> ostvarenja</w:t>
      </w:r>
      <w:r w:rsidR="00154CE7">
        <w:rPr>
          <w:rFonts w:ascii="Arial" w:hAnsi="Arial" w:cs="Arial"/>
          <w:color w:val="auto"/>
          <w:sz w:val="22"/>
          <w:szCs w:val="22"/>
        </w:rPr>
        <w:t xml:space="preserve"> plana na godišnjoj razini.</w:t>
      </w:r>
    </w:p>
    <w:p w:rsidR="00EB4AAE" w:rsidRPr="009A6244" w:rsidRDefault="00EB4AAE" w:rsidP="001679F1">
      <w:pPr>
        <w:pStyle w:val="BodyText"/>
        <w:rPr>
          <w:rFonts w:ascii="Arial" w:hAnsi="Arial" w:cs="Arial"/>
          <w:color w:val="FF0000"/>
          <w:sz w:val="22"/>
          <w:szCs w:val="22"/>
        </w:rPr>
      </w:pPr>
    </w:p>
    <w:p w:rsidR="00EB4AAE" w:rsidRDefault="00EB4AAE" w:rsidP="001679F1">
      <w:pPr>
        <w:pStyle w:val="BodyText"/>
        <w:rPr>
          <w:rFonts w:ascii="Arial" w:hAnsi="Arial" w:cs="Arial"/>
          <w:color w:val="auto"/>
          <w:sz w:val="22"/>
          <w:szCs w:val="22"/>
        </w:rPr>
      </w:pPr>
      <w:r w:rsidRPr="009A6244">
        <w:rPr>
          <w:rFonts w:ascii="Arial" w:hAnsi="Arial" w:cs="Arial"/>
          <w:b/>
          <w:color w:val="auto"/>
          <w:sz w:val="22"/>
          <w:szCs w:val="22"/>
        </w:rPr>
        <w:t>Rashodi za dodatna ulaganja na nefinancijskoj imovini</w:t>
      </w:r>
      <w:r w:rsidR="00E46D19" w:rsidRPr="009A6244">
        <w:rPr>
          <w:rFonts w:ascii="Arial" w:hAnsi="Arial" w:cs="Arial"/>
          <w:color w:val="auto"/>
          <w:sz w:val="22"/>
          <w:szCs w:val="22"/>
        </w:rPr>
        <w:t xml:space="preserve">  iznosila su </w:t>
      </w:r>
      <w:r w:rsidR="00C31FE8" w:rsidRPr="009A6244">
        <w:rPr>
          <w:rFonts w:ascii="Arial" w:hAnsi="Arial" w:cs="Arial"/>
          <w:color w:val="auto"/>
          <w:sz w:val="22"/>
          <w:szCs w:val="22"/>
        </w:rPr>
        <w:t>2</w:t>
      </w:r>
      <w:r w:rsidR="00154CE7">
        <w:rPr>
          <w:rFonts w:ascii="Arial" w:hAnsi="Arial" w:cs="Arial"/>
          <w:color w:val="auto"/>
          <w:sz w:val="22"/>
          <w:szCs w:val="22"/>
        </w:rPr>
        <w:t>2</w:t>
      </w:r>
      <w:r w:rsidR="00425558" w:rsidRPr="009A6244">
        <w:rPr>
          <w:rFonts w:ascii="Arial" w:hAnsi="Arial" w:cs="Arial"/>
          <w:color w:val="auto"/>
          <w:sz w:val="22"/>
          <w:szCs w:val="22"/>
        </w:rPr>
        <w:t>.</w:t>
      </w:r>
      <w:r w:rsidR="00154CE7">
        <w:rPr>
          <w:rFonts w:ascii="Arial" w:hAnsi="Arial" w:cs="Arial"/>
          <w:color w:val="auto"/>
          <w:sz w:val="22"/>
          <w:szCs w:val="22"/>
        </w:rPr>
        <w:t>957</w:t>
      </w:r>
      <w:r w:rsidR="00425558" w:rsidRPr="009A6244">
        <w:rPr>
          <w:rFonts w:ascii="Arial" w:hAnsi="Arial" w:cs="Arial"/>
          <w:color w:val="auto"/>
          <w:sz w:val="22"/>
          <w:szCs w:val="22"/>
        </w:rPr>
        <w:t>.</w:t>
      </w:r>
      <w:r w:rsidR="00154CE7">
        <w:rPr>
          <w:rFonts w:ascii="Arial" w:hAnsi="Arial" w:cs="Arial"/>
          <w:color w:val="auto"/>
          <w:sz w:val="22"/>
          <w:szCs w:val="22"/>
        </w:rPr>
        <w:t>032</w:t>
      </w:r>
      <w:r w:rsidR="00425558" w:rsidRPr="009A6244">
        <w:rPr>
          <w:rFonts w:ascii="Arial" w:hAnsi="Arial" w:cs="Arial"/>
          <w:color w:val="auto"/>
          <w:sz w:val="22"/>
          <w:szCs w:val="22"/>
        </w:rPr>
        <w:t xml:space="preserve">  kuna i ostvareni su sa </w:t>
      </w:r>
      <w:bookmarkStart w:id="2" w:name="_GoBack"/>
      <w:bookmarkEnd w:id="2"/>
      <w:r w:rsidR="00154CE7">
        <w:rPr>
          <w:rFonts w:ascii="Arial" w:hAnsi="Arial" w:cs="Arial"/>
          <w:color w:val="auto"/>
          <w:sz w:val="22"/>
          <w:szCs w:val="22"/>
        </w:rPr>
        <w:t>19</w:t>
      </w:r>
      <w:r w:rsidR="00425558" w:rsidRPr="009A6244">
        <w:rPr>
          <w:rFonts w:ascii="Arial" w:hAnsi="Arial" w:cs="Arial"/>
          <w:color w:val="auto"/>
          <w:sz w:val="22"/>
          <w:szCs w:val="22"/>
        </w:rPr>
        <w:t>% od planiranog iznosa.</w:t>
      </w:r>
      <w:r w:rsidR="00BC52E3">
        <w:rPr>
          <w:rFonts w:ascii="Arial" w:hAnsi="Arial" w:cs="Arial"/>
          <w:color w:val="auto"/>
          <w:sz w:val="22"/>
          <w:szCs w:val="22"/>
        </w:rPr>
        <w:t xml:space="preserve"> Cjelokupni iznos ostvarenja odnosi se na rashode za dodatna ulaganja na građevinskim objektima.</w:t>
      </w:r>
    </w:p>
    <w:p w:rsidR="00571414" w:rsidRDefault="00571414" w:rsidP="001679F1">
      <w:pPr>
        <w:pStyle w:val="BodyText"/>
        <w:rPr>
          <w:rFonts w:ascii="Arial" w:hAnsi="Arial" w:cs="Arial"/>
          <w:color w:val="auto"/>
          <w:sz w:val="22"/>
          <w:szCs w:val="22"/>
        </w:rPr>
      </w:pPr>
    </w:p>
    <w:p w:rsidR="00571414" w:rsidRPr="009A6244" w:rsidRDefault="00571414" w:rsidP="001679F1">
      <w:pPr>
        <w:pStyle w:val="BodyText"/>
        <w:rPr>
          <w:rFonts w:ascii="Arial" w:hAnsi="Arial" w:cs="Arial"/>
          <w:color w:val="auto"/>
          <w:sz w:val="22"/>
          <w:szCs w:val="22"/>
        </w:rPr>
      </w:pPr>
    </w:p>
    <w:p w:rsidR="00C6386E" w:rsidRPr="009A6244" w:rsidRDefault="00C6386E" w:rsidP="0026039F">
      <w:pPr>
        <w:pStyle w:val="BodyText"/>
        <w:rPr>
          <w:rFonts w:ascii="Arial" w:hAnsi="Arial" w:cs="Arial"/>
          <w:color w:val="FF0000"/>
          <w:sz w:val="22"/>
          <w:szCs w:val="22"/>
        </w:rPr>
      </w:pPr>
    </w:p>
    <w:p w:rsidR="00467AAA" w:rsidRDefault="00467AAA" w:rsidP="00E46D19">
      <w:pPr>
        <w:pStyle w:val="BodyText"/>
        <w:rPr>
          <w:rFonts w:ascii="Arial" w:hAnsi="Arial" w:cs="Arial"/>
          <w:b/>
          <w:color w:val="auto"/>
          <w:sz w:val="22"/>
          <w:szCs w:val="22"/>
        </w:rPr>
      </w:pPr>
    </w:p>
    <w:p w:rsidR="00467AAA" w:rsidRDefault="00467AAA" w:rsidP="00E46D19">
      <w:pPr>
        <w:pStyle w:val="BodyText"/>
        <w:rPr>
          <w:rFonts w:ascii="Arial" w:hAnsi="Arial" w:cs="Arial"/>
          <w:b/>
          <w:color w:val="auto"/>
          <w:sz w:val="22"/>
          <w:szCs w:val="22"/>
        </w:rPr>
      </w:pPr>
    </w:p>
    <w:p w:rsidR="004D48FA" w:rsidRDefault="004D48FA" w:rsidP="00E46D19">
      <w:pPr>
        <w:pStyle w:val="BodyText"/>
        <w:rPr>
          <w:rFonts w:ascii="Arial" w:hAnsi="Arial" w:cs="Arial"/>
          <w:color w:val="auto"/>
          <w:sz w:val="22"/>
          <w:szCs w:val="22"/>
        </w:rPr>
      </w:pPr>
      <w:r w:rsidRPr="0057453F">
        <w:rPr>
          <w:rFonts w:ascii="Arial" w:hAnsi="Arial" w:cs="Arial"/>
          <w:b/>
          <w:color w:val="auto"/>
          <w:sz w:val="22"/>
          <w:szCs w:val="22"/>
        </w:rPr>
        <w:t xml:space="preserve">Izdaci za otplatu glavnice primljenih zajmova </w:t>
      </w:r>
      <w:r w:rsidRPr="0057453F">
        <w:rPr>
          <w:rFonts w:ascii="Arial" w:hAnsi="Arial" w:cs="Arial"/>
          <w:color w:val="auto"/>
          <w:sz w:val="22"/>
          <w:szCs w:val="22"/>
        </w:rPr>
        <w:t xml:space="preserve">ostvareni su iznosom od </w:t>
      </w:r>
      <w:r w:rsidR="00C9628E" w:rsidRPr="0057453F">
        <w:rPr>
          <w:rFonts w:ascii="Arial" w:hAnsi="Arial" w:cs="Arial"/>
          <w:color w:val="auto"/>
          <w:sz w:val="22"/>
          <w:szCs w:val="22"/>
        </w:rPr>
        <w:t>4.9</w:t>
      </w:r>
      <w:r w:rsidR="0057453F" w:rsidRPr="0057453F">
        <w:rPr>
          <w:rFonts w:ascii="Arial" w:hAnsi="Arial" w:cs="Arial"/>
          <w:color w:val="auto"/>
          <w:sz w:val="22"/>
          <w:szCs w:val="22"/>
        </w:rPr>
        <w:t>61</w:t>
      </w:r>
      <w:r w:rsidR="006570B2" w:rsidRPr="0057453F">
        <w:rPr>
          <w:rFonts w:ascii="Arial" w:hAnsi="Arial" w:cs="Arial"/>
          <w:color w:val="auto"/>
          <w:sz w:val="22"/>
          <w:szCs w:val="22"/>
        </w:rPr>
        <w:t>.</w:t>
      </w:r>
      <w:r w:rsidR="0057453F" w:rsidRPr="0057453F">
        <w:rPr>
          <w:rFonts w:ascii="Arial" w:hAnsi="Arial" w:cs="Arial"/>
          <w:color w:val="auto"/>
          <w:sz w:val="22"/>
          <w:szCs w:val="22"/>
        </w:rPr>
        <w:t>579</w:t>
      </w:r>
      <w:r w:rsidRPr="0057453F">
        <w:rPr>
          <w:rFonts w:ascii="Arial" w:hAnsi="Arial" w:cs="Arial"/>
          <w:color w:val="auto"/>
          <w:sz w:val="22"/>
          <w:szCs w:val="22"/>
        </w:rPr>
        <w:t xml:space="preserve"> kun</w:t>
      </w:r>
      <w:r w:rsidR="00174741" w:rsidRPr="0057453F">
        <w:rPr>
          <w:rFonts w:ascii="Arial" w:hAnsi="Arial" w:cs="Arial"/>
          <w:color w:val="auto"/>
          <w:sz w:val="22"/>
          <w:szCs w:val="22"/>
        </w:rPr>
        <w:t>a</w:t>
      </w:r>
      <w:r w:rsidR="0015578D" w:rsidRPr="0057453F">
        <w:rPr>
          <w:rFonts w:ascii="Arial" w:hAnsi="Arial" w:cs="Arial"/>
          <w:color w:val="auto"/>
          <w:sz w:val="22"/>
          <w:szCs w:val="22"/>
        </w:rPr>
        <w:t xml:space="preserve"> što je </w:t>
      </w:r>
      <w:r w:rsidR="00C9628E" w:rsidRPr="0057453F">
        <w:rPr>
          <w:rFonts w:ascii="Arial" w:hAnsi="Arial" w:cs="Arial"/>
          <w:color w:val="auto"/>
          <w:sz w:val="22"/>
          <w:szCs w:val="22"/>
        </w:rPr>
        <w:t>4</w:t>
      </w:r>
      <w:r w:rsidR="0057453F" w:rsidRPr="0057453F">
        <w:rPr>
          <w:rFonts w:ascii="Arial" w:hAnsi="Arial" w:cs="Arial"/>
          <w:color w:val="auto"/>
          <w:sz w:val="22"/>
          <w:szCs w:val="22"/>
        </w:rPr>
        <w:t>9</w:t>
      </w:r>
      <w:r w:rsidR="0015578D" w:rsidRPr="0057453F">
        <w:rPr>
          <w:rFonts w:ascii="Arial" w:hAnsi="Arial" w:cs="Arial"/>
          <w:color w:val="auto"/>
          <w:sz w:val="22"/>
          <w:szCs w:val="22"/>
        </w:rPr>
        <w:t>% od planiranog. R</w:t>
      </w:r>
      <w:r w:rsidRPr="0057453F">
        <w:rPr>
          <w:rFonts w:ascii="Arial" w:hAnsi="Arial" w:cs="Arial"/>
          <w:color w:val="auto"/>
          <w:sz w:val="22"/>
          <w:szCs w:val="22"/>
        </w:rPr>
        <w:t xml:space="preserve">ashod se odnosi na obvezu Grada </w:t>
      </w:r>
      <w:r w:rsidR="00495388" w:rsidRPr="0057453F">
        <w:rPr>
          <w:rFonts w:ascii="Arial" w:hAnsi="Arial" w:cs="Arial"/>
          <w:color w:val="auto"/>
          <w:sz w:val="22"/>
          <w:szCs w:val="22"/>
        </w:rPr>
        <w:t>za o</w:t>
      </w:r>
      <w:r w:rsidR="00E46D19" w:rsidRPr="0057453F">
        <w:rPr>
          <w:rFonts w:ascii="Arial" w:hAnsi="Arial" w:cs="Arial"/>
          <w:color w:val="auto"/>
          <w:sz w:val="22"/>
          <w:szCs w:val="22"/>
        </w:rPr>
        <w:t>t</w:t>
      </w:r>
      <w:r w:rsidR="00495388" w:rsidRPr="0057453F">
        <w:rPr>
          <w:rFonts w:ascii="Arial" w:hAnsi="Arial" w:cs="Arial"/>
          <w:color w:val="auto"/>
          <w:sz w:val="22"/>
          <w:szCs w:val="22"/>
        </w:rPr>
        <w:t>platu glavnice primlj</w:t>
      </w:r>
      <w:r w:rsidR="00C9628E" w:rsidRPr="0057453F">
        <w:rPr>
          <w:rFonts w:ascii="Arial" w:hAnsi="Arial" w:cs="Arial"/>
          <w:color w:val="auto"/>
          <w:sz w:val="22"/>
          <w:szCs w:val="22"/>
        </w:rPr>
        <w:t>enih zajmova od tuzemnih banaka</w:t>
      </w:r>
      <w:r w:rsidR="008824E9" w:rsidRPr="0057453F">
        <w:rPr>
          <w:rFonts w:ascii="Arial" w:hAnsi="Arial" w:cs="Arial"/>
          <w:color w:val="auto"/>
          <w:sz w:val="22"/>
          <w:szCs w:val="22"/>
        </w:rPr>
        <w:t xml:space="preserve"> (ZABA</w:t>
      </w:r>
      <w:r w:rsidR="00E46D19" w:rsidRPr="0057453F">
        <w:rPr>
          <w:rFonts w:ascii="Arial" w:hAnsi="Arial" w:cs="Arial"/>
          <w:color w:val="auto"/>
          <w:sz w:val="22"/>
          <w:szCs w:val="22"/>
        </w:rPr>
        <w:t>,</w:t>
      </w:r>
      <w:r w:rsidR="008824E9" w:rsidRPr="0057453F">
        <w:rPr>
          <w:rFonts w:ascii="Arial" w:hAnsi="Arial" w:cs="Arial"/>
          <w:color w:val="auto"/>
          <w:sz w:val="22"/>
          <w:szCs w:val="22"/>
        </w:rPr>
        <w:t xml:space="preserve">  kupnja zemljišta za stanogradnju</w:t>
      </w:r>
      <w:r w:rsidR="00E46D19" w:rsidRPr="0057453F">
        <w:rPr>
          <w:rFonts w:ascii="Arial" w:hAnsi="Arial" w:cs="Arial"/>
          <w:color w:val="auto"/>
          <w:sz w:val="22"/>
          <w:szCs w:val="22"/>
        </w:rPr>
        <w:t>) u iznosu od</w:t>
      </w:r>
      <w:r w:rsidR="008824E9" w:rsidRPr="0057453F">
        <w:rPr>
          <w:rFonts w:ascii="Arial" w:hAnsi="Arial" w:cs="Arial"/>
          <w:color w:val="auto"/>
          <w:sz w:val="22"/>
          <w:szCs w:val="22"/>
        </w:rPr>
        <w:t xml:space="preserve"> 1.5</w:t>
      </w:r>
      <w:r w:rsidR="0057453F" w:rsidRPr="0057453F">
        <w:rPr>
          <w:rFonts w:ascii="Arial" w:hAnsi="Arial" w:cs="Arial"/>
          <w:color w:val="auto"/>
          <w:sz w:val="22"/>
          <w:szCs w:val="22"/>
        </w:rPr>
        <w:t>88</w:t>
      </w:r>
      <w:r w:rsidR="008824E9" w:rsidRPr="0057453F">
        <w:rPr>
          <w:rFonts w:ascii="Arial" w:hAnsi="Arial" w:cs="Arial"/>
          <w:color w:val="auto"/>
          <w:sz w:val="22"/>
          <w:szCs w:val="22"/>
        </w:rPr>
        <w:t>.</w:t>
      </w:r>
      <w:r w:rsidR="0057453F" w:rsidRPr="0057453F">
        <w:rPr>
          <w:rFonts w:ascii="Arial" w:hAnsi="Arial" w:cs="Arial"/>
          <w:color w:val="auto"/>
          <w:sz w:val="22"/>
          <w:szCs w:val="22"/>
        </w:rPr>
        <w:t>636</w:t>
      </w:r>
      <w:r w:rsidR="008824E9" w:rsidRPr="0057453F">
        <w:rPr>
          <w:rFonts w:ascii="Arial" w:hAnsi="Arial" w:cs="Arial"/>
          <w:color w:val="auto"/>
          <w:sz w:val="22"/>
          <w:szCs w:val="22"/>
        </w:rPr>
        <w:t xml:space="preserve"> kn</w:t>
      </w:r>
      <w:r w:rsidR="00E46D19" w:rsidRPr="0057453F">
        <w:rPr>
          <w:rFonts w:ascii="Arial" w:hAnsi="Arial" w:cs="Arial"/>
          <w:color w:val="auto"/>
          <w:sz w:val="22"/>
          <w:szCs w:val="22"/>
        </w:rPr>
        <w:t xml:space="preserve">, te </w:t>
      </w:r>
      <w:r w:rsidR="008824E9" w:rsidRPr="0057453F">
        <w:rPr>
          <w:rFonts w:ascii="Arial" w:hAnsi="Arial" w:cs="Arial"/>
          <w:color w:val="auto"/>
          <w:sz w:val="22"/>
          <w:szCs w:val="22"/>
        </w:rPr>
        <w:t>otplatu glavnice kredita Grada HBOR</w:t>
      </w:r>
      <w:r w:rsidR="00E46D19" w:rsidRPr="0057453F">
        <w:rPr>
          <w:rFonts w:ascii="Arial" w:hAnsi="Arial" w:cs="Arial"/>
          <w:color w:val="auto"/>
          <w:sz w:val="22"/>
          <w:szCs w:val="22"/>
        </w:rPr>
        <w:t>-u</w:t>
      </w:r>
      <w:r w:rsidR="008824E9" w:rsidRPr="0057453F">
        <w:rPr>
          <w:rFonts w:ascii="Arial" w:hAnsi="Arial" w:cs="Arial"/>
          <w:color w:val="auto"/>
          <w:sz w:val="22"/>
          <w:szCs w:val="22"/>
        </w:rPr>
        <w:t xml:space="preserve"> u iznosu od </w:t>
      </w:r>
      <w:r w:rsidR="00C9628E" w:rsidRPr="0057453F">
        <w:rPr>
          <w:rFonts w:ascii="Arial" w:hAnsi="Arial" w:cs="Arial"/>
          <w:color w:val="auto"/>
          <w:sz w:val="22"/>
          <w:szCs w:val="22"/>
        </w:rPr>
        <w:t>3.372.943</w:t>
      </w:r>
      <w:r w:rsidR="00E46D19" w:rsidRPr="0057453F">
        <w:rPr>
          <w:rFonts w:ascii="Arial" w:hAnsi="Arial" w:cs="Arial"/>
          <w:color w:val="auto"/>
          <w:sz w:val="22"/>
          <w:szCs w:val="22"/>
        </w:rPr>
        <w:t xml:space="preserve">kn. </w:t>
      </w:r>
    </w:p>
    <w:p w:rsidR="0057453F" w:rsidRDefault="0057453F" w:rsidP="00E46D19">
      <w:pPr>
        <w:pStyle w:val="BodyText"/>
        <w:rPr>
          <w:rFonts w:ascii="Arial" w:hAnsi="Arial" w:cs="Arial"/>
          <w:color w:val="auto"/>
          <w:sz w:val="22"/>
          <w:szCs w:val="22"/>
        </w:rPr>
      </w:pPr>
    </w:p>
    <w:p w:rsidR="0057453F" w:rsidRDefault="0057453F" w:rsidP="00E46D19">
      <w:pPr>
        <w:pStyle w:val="BodyText"/>
        <w:rPr>
          <w:rFonts w:ascii="Arial" w:hAnsi="Arial" w:cs="Arial"/>
          <w:color w:val="auto"/>
          <w:sz w:val="22"/>
          <w:szCs w:val="22"/>
        </w:rPr>
      </w:pPr>
      <w:r w:rsidRPr="0057453F">
        <w:rPr>
          <w:rFonts w:ascii="Arial" w:hAnsi="Arial" w:cs="Arial"/>
          <w:b/>
          <w:bCs/>
          <w:color w:val="auto"/>
          <w:sz w:val="22"/>
          <w:szCs w:val="22"/>
        </w:rPr>
        <w:t xml:space="preserve">Izdaci za dionice i udjele u glavnici planirani </w:t>
      </w:r>
      <w:r>
        <w:rPr>
          <w:rFonts w:ascii="Arial" w:hAnsi="Arial" w:cs="Arial"/>
          <w:color w:val="auto"/>
          <w:sz w:val="22"/>
          <w:szCs w:val="22"/>
        </w:rPr>
        <w:t>su u iznosu od 16.978.700 kuna i ostvareni su u 100 %</w:t>
      </w:r>
      <w:r w:rsidR="006D5DFB">
        <w:rPr>
          <w:rFonts w:ascii="Arial" w:hAnsi="Arial" w:cs="Arial"/>
          <w:color w:val="auto"/>
          <w:sz w:val="22"/>
          <w:szCs w:val="22"/>
        </w:rPr>
        <w:t>-tnom</w:t>
      </w:r>
      <w:r>
        <w:rPr>
          <w:rFonts w:ascii="Arial" w:hAnsi="Arial" w:cs="Arial"/>
          <w:color w:val="auto"/>
          <w:sz w:val="22"/>
          <w:szCs w:val="22"/>
        </w:rPr>
        <w:t xml:space="preserve"> iznosu</w:t>
      </w:r>
      <w:r w:rsidR="00EB0B05">
        <w:rPr>
          <w:rFonts w:ascii="Arial" w:hAnsi="Arial" w:cs="Arial"/>
          <w:color w:val="auto"/>
          <w:sz w:val="22"/>
          <w:szCs w:val="22"/>
        </w:rPr>
        <w:t>,</w:t>
      </w:r>
      <w:r>
        <w:rPr>
          <w:rFonts w:ascii="Arial" w:hAnsi="Arial" w:cs="Arial"/>
          <w:color w:val="auto"/>
          <w:sz w:val="22"/>
          <w:szCs w:val="22"/>
        </w:rPr>
        <w:t xml:space="preserve"> a navedeni izdatak se odnosi na kupnju  paketa dionica trgovačkog društva UTD Ragusa sukladno odluci Gradskog vijeća Grada Dubrovnika.</w:t>
      </w:r>
    </w:p>
    <w:p w:rsidR="0057453F" w:rsidRDefault="0057453F" w:rsidP="00E46D19">
      <w:pPr>
        <w:pStyle w:val="BodyText"/>
        <w:rPr>
          <w:rFonts w:ascii="Arial" w:hAnsi="Arial" w:cs="Arial"/>
          <w:color w:val="auto"/>
          <w:sz w:val="22"/>
          <w:szCs w:val="22"/>
        </w:rPr>
      </w:pPr>
    </w:p>
    <w:p w:rsidR="0057453F" w:rsidRPr="0057453F" w:rsidRDefault="0057453F" w:rsidP="00E46D19">
      <w:pPr>
        <w:pStyle w:val="BodyText"/>
        <w:rPr>
          <w:rFonts w:ascii="Arial" w:hAnsi="Arial" w:cs="Arial"/>
          <w:color w:val="auto"/>
          <w:sz w:val="22"/>
          <w:szCs w:val="22"/>
        </w:rPr>
      </w:pPr>
      <w:r w:rsidRPr="0057453F">
        <w:rPr>
          <w:rFonts w:ascii="Arial" w:hAnsi="Arial" w:cs="Arial"/>
          <w:b/>
          <w:bCs/>
          <w:color w:val="auto"/>
          <w:sz w:val="22"/>
          <w:szCs w:val="22"/>
        </w:rPr>
        <w:t>Izdaci za dane zajmove</w:t>
      </w:r>
      <w:r>
        <w:rPr>
          <w:rFonts w:ascii="Arial" w:hAnsi="Arial" w:cs="Arial"/>
          <w:color w:val="auto"/>
          <w:sz w:val="22"/>
          <w:szCs w:val="22"/>
        </w:rPr>
        <w:t>nisu ostvareni u navedenom razdoblju iako su planirani u ukupnom iznosu od 200.000 kuna.</w:t>
      </w:r>
    </w:p>
    <w:p w:rsidR="00E46D19" w:rsidRPr="00E93DDA" w:rsidRDefault="00E46D19" w:rsidP="00E46D19">
      <w:pPr>
        <w:pStyle w:val="BodyText"/>
        <w:rPr>
          <w:rFonts w:ascii="Arial" w:hAnsi="Arial" w:cs="Arial"/>
          <w:color w:val="FF0000"/>
          <w:sz w:val="22"/>
          <w:szCs w:val="22"/>
          <w:highlight w:val="yellow"/>
        </w:rPr>
      </w:pPr>
    </w:p>
    <w:p w:rsidR="00BA0AB9" w:rsidRPr="0057453F" w:rsidRDefault="00AC3FF4" w:rsidP="00BA2529">
      <w:pPr>
        <w:jc w:val="both"/>
        <w:rPr>
          <w:rFonts w:ascii="Arial" w:hAnsi="Arial" w:cs="Arial"/>
          <w:color w:val="auto"/>
          <w:sz w:val="22"/>
          <w:szCs w:val="22"/>
        </w:rPr>
      </w:pPr>
      <w:r w:rsidRPr="0057453F">
        <w:rPr>
          <w:rFonts w:ascii="Arial" w:hAnsi="Arial" w:cs="Arial"/>
          <w:b/>
          <w:color w:val="auto"/>
          <w:sz w:val="22"/>
          <w:szCs w:val="22"/>
        </w:rPr>
        <w:t>Rashodi financirani iz vlastitih prihoda proračunskih korisnika</w:t>
      </w:r>
      <w:r w:rsidRPr="0057453F">
        <w:rPr>
          <w:rFonts w:ascii="Arial" w:hAnsi="Arial" w:cs="Arial"/>
          <w:color w:val="auto"/>
          <w:sz w:val="22"/>
          <w:szCs w:val="22"/>
        </w:rPr>
        <w:t xml:space="preserve"> (</w:t>
      </w:r>
      <w:r w:rsidR="00DE295B" w:rsidRPr="0057453F">
        <w:rPr>
          <w:rFonts w:ascii="Arial" w:hAnsi="Arial" w:cs="Arial"/>
          <w:color w:val="auto"/>
          <w:sz w:val="22"/>
          <w:szCs w:val="22"/>
        </w:rPr>
        <w:t>23 proračunska korisnika</w:t>
      </w:r>
      <w:r w:rsidRPr="0057453F">
        <w:rPr>
          <w:rFonts w:ascii="Arial" w:hAnsi="Arial" w:cs="Arial"/>
          <w:color w:val="auto"/>
          <w:sz w:val="22"/>
          <w:szCs w:val="22"/>
        </w:rPr>
        <w:t>)</w:t>
      </w:r>
      <w:r w:rsidR="00DE295B" w:rsidRPr="0057453F">
        <w:rPr>
          <w:rFonts w:ascii="Arial" w:hAnsi="Arial" w:cs="Arial"/>
          <w:color w:val="auto"/>
          <w:sz w:val="22"/>
          <w:szCs w:val="22"/>
        </w:rPr>
        <w:t>Grada Dubrovnikau promatranom razdoblju</w:t>
      </w:r>
      <w:r w:rsidR="00DE3DE9">
        <w:rPr>
          <w:rFonts w:ascii="Arial" w:hAnsi="Arial" w:cs="Arial"/>
          <w:color w:val="auto"/>
          <w:sz w:val="22"/>
          <w:szCs w:val="22"/>
        </w:rPr>
        <w:t>,kako je već navedeno,</w:t>
      </w:r>
      <w:r w:rsidR="00DE295B" w:rsidRPr="0057453F">
        <w:rPr>
          <w:rFonts w:ascii="Arial" w:hAnsi="Arial" w:cs="Arial"/>
          <w:color w:val="auto"/>
          <w:sz w:val="22"/>
          <w:szCs w:val="22"/>
        </w:rPr>
        <w:t xml:space="preserve"> ostvareni su u ukupnom iznosu od </w:t>
      </w:r>
      <w:r w:rsidR="0057453F" w:rsidRPr="0057453F">
        <w:rPr>
          <w:rFonts w:ascii="Arial" w:hAnsi="Arial" w:cs="Arial"/>
          <w:color w:val="auto"/>
          <w:sz w:val="22"/>
          <w:szCs w:val="22"/>
        </w:rPr>
        <w:t xml:space="preserve">16.272.869 </w:t>
      </w:r>
      <w:r w:rsidR="00DE295B" w:rsidRPr="0057453F">
        <w:rPr>
          <w:rFonts w:ascii="Arial" w:hAnsi="Arial" w:cs="Arial"/>
          <w:color w:val="auto"/>
          <w:sz w:val="22"/>
          <w:szCs w:val="22"/>
        </w:rPr>
        <w:t>kun</w:t>
      </w:r>
      <w:r w:rsidR="00675D88" w:rsidRPr="0057453F">
        <w:rPr>
          <w:rFonts w:ascii="Arial" w:hAnsi="Arial" w:cs="Arial"/>
          <w:color w:val="auto"/>
          <w:sz w:val="22"/>
          <w:szCs w:val="22"/>
        </w:rPr>
        <w:t>a</w:t>
      </w:r>
      <w:r w:rsidR="00DE295B" w:rsidRPr="0057453F">
        <w:rPr>
          <w:rFonts w:ascii="Arial" w:hAnsi="Arial" w:cs="Arial"/>
          <w:color w:val="auto"/>
          <w:sz w:val="22"/>
          <w:szCs w:val="22"/>
        </w:rPr>
        <w:t>.</w:t>
      </w:r>
    </w:p>
    <w:p w:rsidR="009A6244" w:rsidRPr="00E93DDA" w:rsidRDefault="009A6244" w:rsidP="00BA2529">
      <w:pPr>
        <w:jc w:val="both"/>
        <w:rPr>
          <w:rFonts w:ascii="Arial" w:hAnsi="Arial" w:cs="Arial"/>
          <w:color w:val="auto"/>
          <w:sz w:val="22"/>
          <w:szCs w:val="22"/>
          <w:highlight w:val="yellow"/>
        </w:rPr>
      </w:pPr>
    </w:p>
    <w:p w:rsidR="009A6244" w:rsidRDefault="004B09A4" w:rsidP="00BA2529">
      <w:pPr>
        <w:jc w:val="both"/>
        <w:rPr>
          <w:rFonts w:ascii="Arial" w:hAnsi="Arial" w:cs="Arial"/>
          <w:color w:val="auto"/>
          <w:sz w:val="22"/>
          <w:szCs w:val="22"/>
        </w:rPr>
      </w:pPr>
      <w:r w:rsidRPr="0057453F">
        <w:rPr>
          <w:rFonts w:ascii="Arial" w:hAnsi="Arial" w:cs="Arial"/>
          <w:bCs/>
          <w:sz w:val="22"/>
          <w:szCs w:val="22"/>
        </w:rPr>
        <w:t xml:space="preserve">Iz navedenih podataka o ostvarenju Proračuna grada Dubrovnika u prvih 6 mjeseci </w:t>
      </w:r>
      <w:r w:rsidR="00D44AC4" w:rsidRPr="0057453F">
        <w:rPr>
          <w:rFonts w:ascii="Arial" w:hAnsi="Arial" w:cs="Arial"/>
          <w:bCs/>
          <w:sz w:val="22"/>
          <w:szCs w:val="22"/>
        </w:rPr>
        <w:t>20</w:t>
      </w:r>
      <w:r w:rsidR="009B4667" w:rsidRPr="0057453F">
        <w:rPr>
          <w:rFonts w:ascii="Arial" w:hAnsi="Arial" w:cs="Arial"/>
          <w:bCs/>
          <w:sz w:val="22"/>
          <w:szCs w:val="22"/>
        </w:rPr>
        <w:t>1</w:t>
      </w:r>
      <w:r w:rsidR="0057453F">
        <w:rPr>
          <w:rFonts w:ascii="Arial" w:hAnsi="Arial" w:cs="Arial"/>
          <w:bCs/>
          <w:sz w:val="22"/>
          <w:szCs w:val="22"/>
        </w:rPr>
        <w:t>9</w:t>
      </w:r>
      <w:r w:rsidR="009B4667" w:rsidRPr="0057453F">
        <w:rPr>
          <w:rFonts w:ascii="Arial" w:hAnsi="Arial" w:cs="Arial"/>
          <w:bCs/>
          <w:sz w:val="22"/>
          <w:szCs w:val="22"/>
        </w:rPr>
        <w:t>.</w:t>
      </w:r>
      <w:r w:rsidRPr="0057453F">
        <w:rPr>
          <w:rFonts w:ascii="Arial" w:hAnsi="Arial" w:cs="Arial"/>
          <w:bCs/>
          <w:sz w:val="22"/>
          <w:szCs w:val="22"/>
        </w:rPr>
        <w:t xml:space="preserve"> godine možemo zaključiti da je ostvaren</w:t>
      </w:r>
      <w:r w:rsidR="0057453F">
        <w:rPr>
          <w:rFonts w:ascii="Arial" w:hAnsi="Arial" w:cs="Arial"/>
          <w:bCs/>
          <w:sz w:val="22"/>
          <w:szCs w:val="22"/>
        </w:rPr>
        <w:t xml:space="preserve"> tekući manjak</w:t>
      </w:r>
      <w:r w:rsidRPr="0057453F">
        <w:rPr>
          <w:rFonts w:ascii="Arial" w:hAnsi="Arial" w:cs="Arial"/>
          <w:bCs/>
          <w:sz w:val="22"/>
          <w:szCs w:val="22"/>
        </w:rPr>
        <w:t xml:space="preserve"> prihoda i primitaka nad rashodima i izdacima (konsolidirano sa proračunskim korisnicima) u iznosu od </w:t>
      </w:r>
      <w:r w:rsidR="0057453F" w:rsidRPr="0060268A">
        <w:rPr>
          <w:rFonts w:ascii="Arial" w:hAnsi="Arial" w:cs="Arial"/>
          <w:b/>
          <w:sz w:val="22"/>
          <w:szCs w:val="22"/>
        </w:rPr>
        <w:t>8</w:t>
      </w:r>
      <w:r w:rsidRPr="0060268A">
        <w:rPr>
          <w:rFonts w:ascii="Arial" w:hAnsi="Arial" w:cs="Arial"/>
          <w:b/>
          <w:sz w:val="22"/>
          <w:szCs w:val="22"/>
        </w:rPr>
        <w:t>.</w:t>
      </w:r>
      <w:r w:rsidR="0057453F" w:rsidRPr="0060268A">
        <w:rPr>
          <w:rFonts w:ascii="Arial" w:hAnsi="Arial" w:cs="Arial"/>
          <w:b/>
          <w:sz w:val="22"/>
          <w:szCs w:val="22"/>
        </w:rPr>
        <w:t>496</w:t>
      </w:r>
      <w:r w:rsidRPr="0060268A">
        <w:rPr>
          <w:rFonts w:ascii="Arial" w:hAnsi="Arial" w:cs="Arial"/>
          <w:b/>
          <w:sz w:val="22"/>
          <w:szCs w:val="22"/>
        </w:rPr>
        <w:t>.</w:t>
      </w:r>
      <w:r w:rsidR="0057453F" w:rsidRPr="0060268A">
        <w:rPr>
          <w:rFonts w:ascii="Arial" w:hAnsi="Arial" w:cs="Arial"/>
          <w:b/>
          <w:sz w:val="22"/>
          <w:szCs w:val="22"/>
        </w:rPr>
        <w:t>255</w:t>
      </w:r>
      <w:r w:rsidRPr="0057453F">
        <w:rPr>
          <w:rFonts w:ascii="Arial" w:hAnsi="Arial" w:cs="Arial"/>
          <w:bCs/>
          <w:sz w:val="22"/>
          <w:szCs w:val="22"/>
        </w:rPr>
        <w:t xml:space="preserve"> kuna</w:t>
      </w:r>
      <w:r w:rsidR="0060268A">
        <w:rPr>
          <w:rFonts w:ascii="Arial" w:hAnsi="Arial" w:cs="Arial"/>
          <w:bCs/>
          <w:sz w:val="22"/>
          <w:szCs w:val="22"/>
        </w:rPr>
        <w:t>,a</w:t>
      </w:r>
      <w:r w:rsidRPr="0057453F">
        <w:rPr>
          <w:rFonts w:ascii="Arial" w:hAnsi="Arial" w:cs="Arial"/>
          <w:bCs/>
          <w:sz w:val="22"/>
          <w:szCs w:val="22"/>
        </w:rPr>
        <w:t xml:space="preserve"> uz napomenu da je u Proračunskom planu prenesen samo višak gradskog proračuna</w:t>
      </w:r>
      <w:r w:rsidR="0060268A">
        <w:rPr>
          <w:rFonts w:ascii="Arial" w:hAnsi="Arial" w:cs="Arial"/>
          <w:bCs/>
          <w:sz w:val="22"/>
          <w:szCs w:val="22"/>
        </w:rPr>
        <w:t xml:space="preserve"> uz uključen višak proračunskog korisnika JVP Dubrovački vatrogasci (prenesen iz 201</w:t>
      </w:r>
      <w:r w:rsidR="00CA3831">
        <w:rPr>
          <w:rFonts w:ascii="Arial" w:hAnsi="Arial" w:cs="Arial"/>
          <w:bCs/>
          <w:sz w:val="22"/>
          <w:szCs w:val="22"/>
        </w:rPr>
        <w:t>8</w:t>
      </w:r>
      <w:r w:rsidR="0060268A">
        <w:rPr>
          <w:rFonts w:ascii="Arial" w:hAnsi="Arial" w:cs="Arial"/>
          <w:bCs/>
          <w:sz w:val="22"/>
          <w:szCs w:val="22"/>
        </w:rPr>
        <w:t>.godine)</w:t>
      </w:r>
      <w:r w:rsidR="00A13153" w:rsidRPr="0057453F">
        <w:rPr>
          <w:rFonts w:ascii="Arial" w:hAnsi="Arial" w:cs="Arial"/>
          <w:bCs/>
          <w:sz w:val="22"/>
          <w:szCs w:val="22"/>
        </w:rPr>
        <w:t>,</w:t>
      </w:r>
      <w:r w:rsidR="0060268A">
        <w:rPr>
          <w:rFonts w:ascii="Arial" w:hAnsi="Arial" w:cs="Arial"/>
          <w:bCs/>
          <w:sz w:val="22"/>
          <w:szCs w:val="22"/>
        </w:rPr>
        <w:t xml:space="preserve"> tj. </w:t>
      </w:r>
      <w:r w:rsidRPr="0057453F">
        <w:rPr>
          <w:rFonts w:ascii="Arial" w:hAnsi="Arial" w:cs="Arial"/>
          <w:bCs/>
          <w:sz w:val="22"/>
          <w:szCs w:val="22"/>
        </w:rPr>
        <w:t>bez uključenih viškova i manjkova</w:t>
      </w:r>
      <w:r w:rsidR="0060268A">
        <w:rPr>
          <w:rFonts w:ascii="Arial" w:hAnsi="Arial" w:cs="Arial"/>
          <w:bCs/>
          <w:sz w:val="22"/>
          <w:szCs w:val="22"/>
        </w:rPr>
        <w:t xml:space="preserve"> ostalih</w:t>
      </w:r>
      <w:r w:rsidRPr="0057453F">
        <w:rPr>
          <w:rFonts w:ascii="Arial" w:hAnsi="Arial" w:cs="Arial"/>
          <w:bCs/>
          <w:sz w:val="22"/>
          <w:szCs w:val="22"/>
        </w:rPr>
        <w:t xml:space="preserve"> proračunskih korisnika.</w:t>
      </w:r>
    </w:p>
    <w:p w:rsidR="0076030C" w:rsidRDefault="0076030C"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B1D1D" w:rsidRDefault="003B1D1D" w:rsidP="00A306CD">
      <w:pPr>
        <w:ind w:firstLine="708"/>
        <w:rPr>
          <w:rFonts w:ascii="Arial" w:hAnsi="Arial" w:cs="Arial"/>
          <w:b/>
          <w:color w:val="auto"/>
          <w:sz w:val="22"/>
          <w:szCs w:val="22"/>
          <w:u w:val="single"/>
        </w:rPr>
      </w:pPr>
    </w:p>
    <w:p w:rsidR="0031303E" w:rsidRPr="0031303E" w:rsidRDefault="0031303E" w:rsidP="0031303E">
      <w:pPr>
        <w:ind w:firstLine="720"/>
        <w:jc w:val="both"/>
        <w:rPr>
          <w:rFonts w:ascii="Arial" w:hAnsi="Arial" w:cs="Arial"/>
          <w:color w:val="auto"/>
          <w:sz w:val="22"/>
          <w:szCs w:val="22"/>
        </w:rPr>
      </w:pPr>
    </w:p>
    <w:p w:rsidR="00253711" w:rsidRDefault="0031303E" w:rsidP="00253711">
      <w:pPr>
        <w:suppressAutoHyphens/>
        <w:overflowPunct w:val="0"/>
        <w:autoSpaceDE w:val="0"/>
        <w:ind w:firstLine="720"/>
        <w:jc w:val="both"/>
        <w:textAlignment w:val="baseline"/>
        <w:rPr>
          <w:rFonts w:ascii="Arial" w:hAnsi="Arial" w:cs="Arial"/>
          <w:b/>
          <w:color w:val="auto"/>
          <w:sz w:val="22"/>
          <w:szCs w:val="22"/>
          <w:u w:val="single"/>
        </w:rPr>
      </w:pPr>
      <w:r w:rsidRPr="00E90667">
        <w:rPr>
          <w:rFonts w:ascii="Arial" w:hAnsi="Arial" w:cs="Arial"/>
          <w:b/>
          <w:color w:val="auto"/>
          <w:sz w:val="22"/>
          <w:szCs w:val="22"/>
          <w:u w:val="single"/>
        </w:rPr>
        <w:t xml:space="preserve">IV. PREGLED POTRAŽIVANJA, NEPODMIRENIH OBVEZA  I MOGUĆIH OBVEZA GRADA </w:t>
      </w:r>
    </w:p>
    <w:p w:rsidR="0031303E" w:rsidRPr="00253711" w:rsidRDefault="0031303E" w:rsidP="00253711">
      <w:pPr>
        <w:suppressAutoHyphens/>
        <w:overflowPunct w:val="0"/>
        <w:autoSpaceDE w:val="0"/>
        <w:ind w:firstLine="720"/>
        <w:jc w:val="both"/>
        <w:textAlignment w:val="baseline"/>
        <w:rPr>
          <w:rFonts w:ascii="Arial" w:hAnsi="Arial" w:cs="Arial"/>
          <w:b/>
          <w:color w:val="auto"/>
          <w:sz w:val="22"/>
          <w:szCs w:val="22"/>
          <w:u w:val="single"/>
        </w:rPr>
      </w:pPr>
      <w:r w:rsidRPr="00253711">
        <w:rPr>
          <w:rFonts w:ascii="Arial" w:hAnsi="Arial" w:cs="Arial"/>
          <w:b/>
          <w:color w:val="auto"/>
          <w:sz w:val="22"/>
          <w:szCs w:val="22"/>
          <w:u w:val="single"/>
        </w:rPr>
        <w:t>DUBROVNIKA</w:t>
      </w:r>
    </w:p>
    <w:p w:rsidR="0031303E" w:rsidRPr="0031303E" w:rsidRDefault="0031303E" w:rsidP="0031303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b/>
          <w:color w:val="auto"/>
          <w:sz w:val="22"/>
          <w:szCs w:val="22"/>
        </w:rPr>
      </w:pPr>
    </w:p>
    <w:p w:rsidR="0076030C" w:rsidRPr="00A94DE6" w:rsidRDefault="0076030C" w:rsidP="0031303E">
      <w:pPr>
        <w:jc w:val="both"/>
        <w:rPr>
          <w:rFonts w:ascii="Arial" w:eastAsia="Arial" w:hAnsi="Arial" w:cs="Arial"/>
          <w:sz w:val="22"/>
          <w:szCs w:val="22"/>
        </w:rPr>
      </w:pPr>
    </w:p>
    <w:p w:rsidR="002A308D" w:rsidRPr="0031303E" w:rsidRDefault="0076030C"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ind w:left="709"/>
        <w:jc w:val="both"/>
        <w:textAlignment w:val="baseline"/>
        <w:rPr>
          <w:rFonts w:ascii="Arial" w:hAnsi="Arial" w:cs="Arial"/>
          <w:b/>
          <w:color w:val="auto"/>
          <w:sz w:val="22"/>
          <w:szCs w:val="22"/>
        </w:rPr>
      </w:pPr>
      <w:r w:rsidRPr="00713AF3">
        <w:rPr>
          <w:rFonts w:ascii="Arial" w:eastAsia="Arial" w:hAnsi="Arial" w:cs="Arial"/>
          <w:sz w:val="22"/>
          <w:szCs w:val="22"/>
        </w:rPr>
        <w:tab/>
      </w:r>
      <w:r w:rsidR="002A308D">
        <w:rPr>
          <w:rFonts w:ascii="Arial" w:hAnsi="Arial" w:cs="Arial"/>
          <w:b/>
          <w:color w:val="auto"/>
          <w:sz w:val="22"/>
          <w:szCs w:val="22"/>
        </w:rPr>
        <w:t>4</w:t>
      </w:r>
      <w:r w:rsidR="002A308D" w:rsidRPr="0031303E">
        <w:rPr>
          <w:rFonts w:ascii="Arial" w:hAnsi="Arial" w:cs="Arial"/>
          <w:b/>
          <w:color w:val="auto"/>
          <w:sz w:val="22"/>
          <w:szCs w:val="22"/>
        </w:rPr>
        <w:t>.1. Pregled potraživanja</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b/>
          <w:color w:val="auto"/>
          <w:sz w:val="22"/>
          <w:szCs w:val="22"/>
        </w:rPr>
      </w:pP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 xml:space="preserve">Grad Dubrovnik vodi posebnu brigu o naplati potraživanja i provodi zakonima propisane mjere naplate (provodi kompenzacije i cesije, šalje opomene, odobrava obročne otplate, provodi postupke prisilne naplate, prijavljuje svoja potraživanja u postupcima predstečajnih nagodbi, stečaja i likvidacija). Za svako zakašnjelo plaćanje programski se zaračunavaju pripadajuće zakonske zatezne kamate. </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 xml:space="preserve">Svi dužnici, bilo da se radi o zakupima, porezima, naknadama ili doprinosima, mjesečno (odnosno godišnje) dobivaju opomene i opomene pred ovrhu. Redovito se, tijekom cijele godine, poduzimaju sve raspoložive mjere prisilne naplate dospjelih potraživanja čime Grad Dubrovnik dosljedno i u potpunosti ispunjava svoja zakonska prava i obveze. No, sadašnja određenja Ovršnog zakona, Općeg poreznog zakona, Zakona o obveznim odnosima, Zakona o trgovačkim društvima i drugih komplementarnih propisa više štite dužnika u odnosu na vjerovnika pa je naplata potraživanja opći problem financijskog poslovanja u Republici Hrvatskoj. </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r w:rsidRPr="0031303E">
        <w:rPr>
          <w:rFonts w:ascii="Arial" w:hAnsi="Arial" w:cs="Arial"/>
          <w:b/>
          <w:bCs/>
          <w:color w:val="auto"/>
          <w:sz w:val="22"/>
          <w:szCs w:val="22"/>
        </w:rPr>
        <w:t>I.:</w:t>
      </w:r>
      <w:r w:rsidRPr="0031303E">
        <w:rPr>
          <w:rFonts w:ascii="Arial" w:hAnsi="Arial" w:cs="Arial"/>
          <w:color w:val="auto"/>
          <w:sz w:val="22"/>
          <w:szCs w:val="22"/>
        </w:rPr>
        <w:tab/>
      </w:r>
      <w:r w:rsidRPr="0031303E">
        <w:rPr>
          <w:rFonts w:ascii="Arial" w:hAnsi="Arial" w:cs="Arial"/>
          <w:b/>
          <w:bCs/>
          <w:color w:val="auto"/>
          <w:sz w:val="22"/>
          <w:szCs w:val="22"/>
          <w:u w:val="single"/>
        </w:rPr>
        <w:t>Potraživanja Grada Dubrovnika iznose = 101.352.870,51 kuna.</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U tablici Pregled potraživanja Grada Dubrovnika na dan 30. lipnja 2019.g. razvrstana</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 xml:space="preserve">su u 38 grupa. Od ovog iznosa </w:t>
      </w:r>
      <w:r w:rsidRPr="0031303E">
        <w:rPr>
          <w:rFonts w:ascii="Arial" w:hAnsi="Arial" w:cs="Arial"/>
          <w:color w:val="auto"/>
          <w:sz w:val="22"/>
          <w:szCs w:val="22"/>
          <w:u w:val="single"/>
        </w:rPr>
        <w:t>23,96 % se odnosi na nedospjelapotraživanja</w:t>
      </w:r>
      <w:r w:rsidRPr="0031303E">
        <w:rPr>
          <w:rFonts w:ascii="Arial" w:hAnsi="Arial" w:cs="Arial"/>
          <w:color w:val="auto"/>
          <w:sz w:val="22"/>
          <w:szCs w:val="22"/>
        </w:rPr>
        <w:t>.</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Da bi se lakše razumio Pregled, u daljnjem tekstu će se naznačit razlika između</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 xml:space="preserve">dospjelih i nedospjelih potraživanja i, u priloženim </w:t>
      </w:r>
      <w:r w:rsidRPr="0031303E">
        <w:rPr>
          <w:rFonts w:ascii="Arial" w:hAnsi="Arial" w:cs="Arial"/>
          <w:i/>
          <w:iCs/>
          <w:color w:val="auto"/>
          <w:sz w:val="22"/>
          <w:szCs w:val="22"/>
        </w:rPr>
        <w:t>Tablicama Potraživanja A i B</w:t>
      </w:r>
      <w:r w:rsidRPr="0031303E">
        <w:rPr>
          <w:rFonts w:ascii="Arial" w:hAnsi="Arial" w:cs="Arial"/>
          <w:color w:val="auto"/>
          <w:sz w:val="22"/>
          <w:szCs w:val="22"/>
        </w:rPr>
        <w:t>,</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navesti brojčane pokazatelje nedospjelih i dospjelih potraživanja, te dati podaci o</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 xml:space="preserve">poslanim opomenama i aktivnim ovrhama. </w:t>
      </w:r>
    </w:p>
    <w:p w:rsidR="002A308D" w:rsidRPr="0031303E" w:rsidRDefault="002A308D" w:rsidP="002A308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jc w:val="both"/>
        <w:textAlignment w:val="baseline"/>
        <w:rPr>
          <w:rFonts w:ascii="Arial" w:hAnsi="Arial" w:cs="Arial"/>
          <w:color w:val="auto"/>
          <w:sz w:val="22"/>
          <w:szCs w:val="22"/>
        </w:rPr>
      </w:pPr>
    </w:p>
    <w:p w:rsidR="002A308D" w:rsidRPr="0031303E" w:rsidRDefault="002A308D" w:rsidP="002A308D">
      <w:pPr>
        <w:widowControl w:val="0"/>
        <w:suppressAutoHyphens/>
        <w:rPr>
          <w:rFonts w:ascii="Arial" w:hAnsi="Arial" w:cs="Arial"/>
          <w:color w:val="auto"/>
          <w:sz w:val="22"/>
          <w:szCs w:val="22"/>
        </w:rPr>
      </w:pPr>
      <w:r w:rsidRPr="0031303E">
        <w:rPr>
          <w:rFonts w:ascii="Arial" w:hAnsi="Arial" w:cs="Arial"/>
          <w:b/>
          <w:bCs/>
          <w:color w:val="auto"/>
          <w:sz w:val="22"/>
          <w:szCs w:val="22"/>
        </w:rPr>
        <w:t xml:space="preserve">II.: </w:t>
      </w:r>
      <w:r w:rsidRPr="0031303E">
        <w:rPr>
          <w:rFonts w:ascii="Arial" w:hAnsi="Arial" w:cs="Arial"/>
          <w:b/>
          <w:bCs/>
          <w:color w:val="auto"/>
          <w:sz w:val="22"/>
          <w:szCs w:val="22"/>
        </w:rPr>
        <w:tab/>
        <w:t>NEDOSPJELA potraživanja ukupno iznose = 24.282.801,88  kn</w:t>
      </w:r>
      <w:r w:rsidRPr="0031303E">
        <w:rPr>
          <w:rFonts w:ascii="Arial" w:hAnsi="Arial" w:cs="Arial"/>
          <w:color w:val="auto"/>
          <w:sz w:val="22"/>
          <w:szCs w:val="22"/>
        </w:rPr>
        <w:t>,</w:t>
      </w:r>
    </w:p>
    <w:p w:rsidR="002A308D" w:rsidRPr="0031303E" w:rsidRDefault="002A308D" w:rsidP="002A308D">
      <w:pPr>
        <w:widowControl w:val="0"/>
        <w:suppressAutoHyphens/>
        <w:ind w:firstLine="720"/>
        <w:rPr>
          <w:rFonts w:ascii="Arial" w:hAnsi="Arial" w:cs="Arial"/>
          <w:color w:val="auto"/>
          <w:sz w:val="22"/>
          <w:szCs w:val="22"/>
        </w:rPr>
      </w:pPr>
      <w:r w:rsidRPr="0031303E">
        <w:rPr>
          <w:rFonts w:ascii="Arial" w:hAnsi="Arial" w:cs="Arial"/>
          <w:color w:val="auto"/>
          <w:sz w:val="22"/>
          <w:szCs w:val="22"/>
        </w:rPr>
        <w:t>a odnose se na financijska potraživanja budućih vremenskih razdoblja ali ih se</w:t>
      </w:r>
    </w:p>
    <w:p w:rsidR="002A308D" w:rsidRPr="0031303E" w:rsidRDefault="002A308D" w:rsidP="002A308D">
      <w:pPr>
        <w:widowControl w:val="0"/>
        <w:suppressAutoHyphens/>
        <w:ind w:firstLine="720"/>
        <w:rPr>
          <w:rFonts w:ascii="Arial" w:hAnsi="Arial" w:cs="Arial"/>
          <w:b/>
          <w:bCs/>
          <w:color w:val="auto"/>
          <w:sz w:val="22"/>
          <w:szCs w:val="22"/>
        </w:rPr>
      </w:pPr>
      <w:r w:rsidRPr="0031303E">
        <w:rPr>
          <w:rFonts w:ascii="Arial" w:hAnsi="Arial" w:cs="Arial"/>
          <w:color w:val="auto"/>
          <w:sz w:val="22"/>
          <w:szCs w:val="22"/>
        </w:rPr>
        <w:t>radi zahtjeva revizije i financijskog poslovanja mora prikazati u izvješćima, a to su:</w:t>
      </w:r>
    </w:p>
    <w:p w:rsidR="002A308D" w:rsidRPr="0031303E" w:rsidRDefault="002A308D" w:rsidP="002A308D">
      <w:pPr>
        <w:widowControl w:val="0"/>
        <w:suppressAutoHyphens/>
        <w:ind w:firstLine="720"/>
        <w:rPr>
          <w:rFonts w:ascii="Arial" w:hAnsi="Arial" w:cs="Arial"/>
          <w:b/>
          <w:bCs/>
          <w:color w:val="auto"/>
          <w:sz w:val="22"/>
          <w:szCs w:val="22"/>
        </w:rPr>
      </w:pP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11.:</w:t>
      </w:r>
      <w:r w:rsidRPr="0031303E">
        <w:rPr>
          <w:rFonts w:ascii="Arial" w:hAnsi="Arial" w:cs="Arial"/>
          <w:color w:val="auto"/>
          <w:sz w:val="22"/>
          <w:szCs w:val="22"/>
        </w:rPr>
        <w:tab/>
      </w:r>
      <w:r w:rsidRPr="0031303E">
        <w:rPr>
          <w:rFonts w:ascii="Arial" w:hAnsi="Arial" w:cs="Arial"/>
          <w:i/>
          <w:iCs/>
          <w:color w:val="auto"/>
          <w:sz w:val="22"/>
          <w:szCs w:val="22"/>
        </w:rPr>
        <w:t>Potraživanja za prihode od financijske imovine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se odnosi na nedospjele kamate za prodane stanove Grada, 3 ugovora.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14.:</w:t>
      </w:r>
      <w:r w:rsidRPr="0031303E">
        <w:rPr>
          <w:rFonts w:ascii="Arial" w:hAnsi="Arial" w:cs="Arial"/>
          <w:color w:val="auto"/>
          <w:sz w:val="22"/>
          <w:szCs w:val="22"/>
        </w:rPr>
        <w:tab/>
      </w:r>
      <w:r w:rsidRPr="0031303E">
        <w:rPr>
          <w:rFonts w:ascii="Arial" w:hAnsi="Arial" w:cs="Arial"/>
          <w:i/>
          <w:iCs/>
          <w:color w:val="auto"/>
          <w:sz w:val="22"/>
          <w:szCs w:val="22"/>
        </w:rPr>
        <w:t>Potraživanja po osnovu stare devizne štednje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se odnosi na potraživanje po obveznicama javnog duga s osnove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prodaje stanova za staru deviznu štednju.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16.:</w:t>
      </w:r>
      <w:r w:rsidRPr="0031303E">
        <w:rPr>
          <w:rFonts w:ascii="Arial" w:hAnsi="Arial" w:cs="Arial"/>
          <w:color w:val="auto"/>
          <w:sz w:val="22"/>
          <w:szCs w:val="22"/>
        </w:rPr>
        <w:tab/>
      </w:r>
      <w:r w:rsidRPr="0031303E">
        <w:rPr>
          <w:rFonts w:ascii="Arial" w:hAnsi="Arial" w:cs="Arial"/>
          <w:i/>
          <w:iCs/>
          <w:color w:val="auto"/>
          <w:sz w:val="22"/>
          <w:szCs w:val="22"/>
        </w:rPr>
        <w:t>Potraživanja za nedostajuća parkirna mjesta – veći dio</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Obveza jednog obveznika je stornirana jer je ukinuto rješenje kao osnova obveze.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22.:</w:t>
      </w:r>
      <w:r w:rsidRPr="0031303E">
        <w:rPr>
          <w:rFonts w:ascii="Arial" w:hAnsi="Arial" w:cs="Arial"/>
          <w:color w:val="auto"/>
          <w:sz w:val="22"/>
          <w:szCs w:val="22"/>
        </w:rPr>
        <w:tab/>
      </w:r>
      <w:r w:rsidRPr="0031303E">
        <w:rPr>
          <w:rFonts w:ascii="Arial" w:hAnsi="Arial" w:cs="Arial"/>
          <w:i/>
          <w:iCs/>
          <w:color w:val="auto"/>
          <w:sz w:val="22"/>
          <w:szCs w:val="22"/>
        </w:rPr>
        <w:t>Potraživanja za stambene objekte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 xml:space="preserve"> odnose se na anuitete prodanih stanova, koji posao radi Domouprava (po ugovoru iz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 xml:space="preserve">             1998.g), te  Agencija za pravni promet i posredovanje nekretninama, koja provodi </w:t>
      </w:r>
    </w:p>
    <w:p w:rsidR="002A308D" w:rsidRPr="0000590F"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 xml:space="preserve">             program društveno poticane stanogradnje (počev od 2010. godine), a </w:t>
      </w:r>
      <w:r w:rsidRPr="0000590F">
        <w:rPr>
          <w:rFonts w:ascii="Arial" w:hAnsi="Arial" w:cs="Arial"/>
          <w:color w:val="auto"/>
          <w:sz w:val="22"/>
          <w:szCs w:val="22"/>
        </w:rPr>
        <w:t xml:space="preserve">potraživanja </w:t>
      </w:r>
    </w:p>
    <w:p w:rsidR="002A308D" w:rsidRPr="0000590F" w:rsidRDefault="002A308D" w:rsidP="002A308D">
      <w:pPr>
        <w:suppressAutoHyphens/>
        <w:overflowPunct w:val="0"/>
        <w:autoSpaceDE w:val="0"/>
        <w:textAlignment w:val="baseline"/>
        <w:rPr>
          <w:rFonts w:ascii="Arial" w:hAnsi="Arial" w:cs="Arial"/>
          <w:color w:val="auto"/>
          <w:sz w:val="22"/>
          <w:szCs w:val="22"/>
        </w:rPr>
      </w:pPr>
      <w:r w:rsidRPr="0000590F">
        <w:rPr>
          <w:rFonts w:ascii="Arial" w:hAnsi="Arial" w:cs="Arial"/>
          <w:color w:val="auto"/>
          <w:sz w:val="22"/>
          <w:szCs w:val="22"/>
        </w:rPr>
        <w:t xml:space="preserve">             smanjena radi knjigovodstvenog usklađivanja potraživanja sa Agencijom POS.</w:t>
      </w:r>
      <w:r w:rsidRPr="0000590F">
        <w:rPr>
          <w:rFonts w:ascii="Arial" w:hAnsi="Arial" w:cs="Arial"/>
          <w:color w:val="auto"/>
          <w:sz w:val="22"/>
          <w:szCs w:val="22"/>
        </w:rPr>
        <w:tab/>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27.:</w:t>
      </w:r>
      <w:r w:rsidRPr="0031303E">
        <w:rPr>
          <w:rFonts w:ascii="Arial" w:hAnsi="Arial" w:cs="Arial"/>
          <w:color w:val="auto"/>
          <w:sz w:val="22"/>
          <w:szCs w:val="22"/>
        </w:rPr>
        <w:tab/>
      </w:r>
      <w:r w:rsidRPr="0031303E">
        <w:rPr>
          <w:rFonts w:ascii="Arial" w:hAnsi="Arial" w:cs="Arial"/>
          <w:i/>
          <w:iCs/>
          <w:color w:val="auto"/>
          <w:sz w:val="22"/>
          <w:szCs w:val="22"/>
        </w:rPr>
        <w:t>Potraživanja za dane višegodišnje koncesije –  HEP, Vodovod i dr.</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Potraživanja u cijelosti nedospjela.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36.:</w:t>
      </w:r>
      <w:r w:rsidRPr="0031303E">
        <w:rPr>
          <w:rFonts w:ascii="Arial" w:hAnsi="Arial" w:cs="Arial"/>
          <w:color w:val="auto"/>
          <w:sz w:val="22"/>
          <w:szCs w:val="22"/>
        </w:rPr>
        <w:tab/>
      </w:r>
      <w:r w:rsidRPr="0031303E">
        <w:rPr>
          <w:rFonts w:ascii="Arial" w:hAnsi="Arial" w:cs="Arial"/>
          <w:i/>
          <w:iCs/>
          <w:color w:val="auto"/>
          <w:sz w:val="22"/>
          <w:szCs w:val="22"/>
        </w:rPr>
        <w:t xml:space="preserve">Potraživanja za prava građenja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 osnove sklopljenog ugovora o osnivanju prava građenja za benzinsku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postaju Dub, s društvom INA d.d. Zagreb, mjesečno obročno na rok od 20 godina.</w:t>
      </w:r>
    </w:p>
    <w:p w:rsidR="002A308D" w:rsidRPr="0031303E" w:rsidRDefault="002A308D" w:rsidP="002A308D">
      <w:pPr>
        <w:suppressAutoHyphens/>
        <w:overflowPunct w:val="0"/>
        <w:autoSpaceDE w:val="0"/>
        <w:textAlignment w:val="baseline"/>
        <w:rPr>
          <w:rFonts w:ascii="Arial" w:hAnsi="Arial" w:cs="Arial"/>
          <w:i/>
          <w:iCs/>
          <w:color w:val="auto"/>
          <w:sz w:val="22"/>
          <w:szCs w:val="22"/>
        </w:rPr>
      </w:pPr>
      <w:r w:rsidRPr="0031303E">
        <w:rPr>
          <w:rFonts w:ascii="Arial" w:hAnsi="Arial" w:cs="Arial"/>
          <w:i/>
          <w:iCs/>
          <w:color w:val="auto"/>
          <w:sz w:val="22"/>
          <w:szCs w:val="22"/>
        </w:rPr>
        <w:t xml:space="preserve">Ostala proknjižena a nedospjela potraživanja po zakonskim određenjima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i/>
          <w:iCs/>
          <w:color w:val="auto"/>
          <w:sz w:val="22"/>
          <w:szCs w:val="22"/>
        </w:rPr>
        <w:tab/>
      </w:r>
      <w:r w:rsidRPr="0031303E">
        <w:rPr>
          <w:rFonts w:ascii="Arial" w:hAnsi="Arial" w:cs="Arial"/>
          <w:color w:val="auto"/>
          <w:sz w:val="22"/>
          <w:szCs w:val="22"/>
        </w:rPr>
        <w:t xml:space="preserve">prikazana u </w:t>
      </w:r>
      <w:r w:rsidRPr="0031303E">
        <w:rPr>
          <w:rFonts w:ascii="Arial" w:hAnsi="Arial" w:cs="Arial"/>
          <w:i/>
          <w:iCs/>
          <w:color w:val="auto"/>
          <w:sz w:val="22"/>
          <w:szCs w:val="22"/>
        </w:rPr>
        <w:t>Tabeli Potraživanja A</w:t>
      </w:r>
      <w:r w:rsidRPr="0031303E">
        <w:rPr>
          <w:rFonts w:ascii="Arial" w:hAnsi="Arial" w:cs="Arial"/>
          <w:color w:val="auto"/>
          <w:sz w:val="22"/>
          <w:szCs w:val="22"/>
        </w:rPr>
        <w:t>, podrazumijevaju proknjižena zaduženja na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 xml:space="preserve">30.6.2019. ali reprogramirana po zakonskim određenjima, obročnim i predstečajnim </w:t>
      </w:r>
      <w:r w:rsidRPr="0031303E">
        <w:rPr>
          <w:rFonts w:ascii="Arial" w:hAnsi="Arial" w:cs="Arial"/>
          <w:color w:val="auto"/>
          <w:sz w:val="22"/>
          <w:szCs w:val="22"/>
        </w:rPr>
        <w:tab/>
        <w:t xml:space="preserve">otplatama i sl. postupcima, a odnose se na više vrsta gradskih prihoda (s nedospjelim </w:t>
      </w:r>
    </w:p>
    <w:p w:rsidR="002A308D" w:rsidRPr="0031303E" w:rsidRDefault="002A308D" w:rsidP="002A308D">
      <w:pPr>
        <w:suppressAutoHyphens/>
        <w:overflowPunct w:val="0"/>
        <w:autoSpaceDE w:val="0"/>
        <w:ind w:left="720" w:hanging="720"/>
        <w:textAlignment w:val="baseline"/>
        <w:rPr>
          <w:rFonts w:ascii="Arial" w:hAnsi="Arial" w:cs="Arial"/>
          <w:color w:val="auto"/>
          <w:sz w:val="22"/>
          <w:szCs w:val="22"/>
        </w:rPr>
      </w:pPr>
      <w:r w:rsidRPr="0031303E">
        <w:rPr>
          <w:rFonts w:ascii="Arial" w:hAnsi="Arial" w:cs="Arial"/>
          <w:color w:val="auto"/>
          <w:sz w:val="22"/>
          <w:szCs w:val="22"/>
        </w:rPr>
        <w:lastRenderedPageBreak/>
        <w:tab/>
        <w:t>potraživanjima od cca 2.000.000,00 kn)</w:t>
      </w:r>
      <w:r w:rsidRPr="0031303E">
        <w:rPr>
          <w:rFonts w:ascii="Arial" w:hAnsi="Arial" w:cs="Arial"/>
          <w:color w:val="FF0000"/>
          <w:sz w:val="22"/>
          <w:szCs w:val="22"/>
        </w:rPr>
        <w:t>.</w:t>
      </w:r>
    </w:p>
    <w:p w:rsidR="002A308D" w:rsidRPr="0031303E" w:rsidRDefault="002A308D" w:rsidP="002A308D">
      <w:pPr>
        <w:suppressAutoHyphens/>
        <w:overflowPunct w:val="0"/>
        <w:autoSpaceDE w:val="0"/>
        <w:textAlignment w:val="baseline"/>
        <w:rPr>
          <w:rFonts w:ascii="Arial" w:hAnsi="Arial" w:cs="Arial"/>
          <w:color w:val="auto"/>
          <w:sz w:val="22"/>
          <w:szCs w:val="22"/>
        </w:rPr>
      </w:pPr>
    </w:p>
    <w:p w:rsidR="002A308D" w:rsidRPr="0031303E" w:rsidRDefault="002A308D" w:rsidP="002A308D">
      <w:pPr>
        <w:suppressAutoHyphens/>
        <w:overflowPunct w:val="0"/>
        <w:autoSpaceDE w:val="0"/>
        <w:textAlignment w:val="baseline"/>
        <w:rPr>
          <w:rFonts w:ascii="Arial" w:hAnsi="Arial" w:cs="Arial"/>
          <w:color w:val="auto"/>
          <w:sz w:val="22"/>
          <w:szCs w:val="22"/>
        </w:rPr>
      </w:pPr>
    </w:p>
    <w:p w:rsidR="002A308D" w:rsidRPr="0031303E" w:rsidRDefault="002A308D" w:rsidP="002A308D">
      <w:pPr>
        <w:widowControl w:val="0"/>
        <w:suppressAutoHyphens/>
        <w:rPr>
          <w:rFonts w:ascii="Arial" w:hAnsi="Arial" w:cs="Arial"/>
          <w:b/>
          <w:bCs/>
          <w:color w:val="auto"/>
          <w:sz w:val="22"/>
          <w:szCs w:val="22"/>
        </w:rPr>
      </w:pPr>
      <w:r w:rsidRPr="0031303E">
        <w:rPr>
          <w:rFonts w:ascii="Arial" w:hAnsi="Arial" w:cs="Arial"/>
          <w:b/>
          <w:bCs/>
          <w:color w:val="auto"/>
          <w:sz w:val="22"/>
          <w:szCs w:val="22"/>
        </w:rPr>
        <w:t>III.:</w:t>
      </w:r>
      <w:r w:rsidRPr="0031303E">
        <w:rPr>
          <w:rFonts w:ascii="Arial" w:hAnsi="Arial" w:cs="Arial"/>
          <w:b/>
          <w:bCs/>
          <w:color w:val="auto"/>
          <w:sz w:val="22"/>
          <w:szCs w:val="22"/>
        </w:rPr>
        <w:tab/>
        <w:t>DOSPJELA potraživanja ukupno iznose = 77.070.068,63 kn,</w:t>
      </w:r>
    </w:p>
    <w:p w:rsidR="002A308D" w:rsidRPr="0031303E" w:rsidRDefault="002A308D" w:rsidP="002A308D">
      <w:pPr>
        <w:widowControl w:val="0"/>
        <w:suppressAutoHyphens/>
        <w:rPr>
          <w:rFonts w:ascii="Arial" w:hAnsi="Arial" w:cs="Arial"/>
          <w:color w:val="auto"/>
          <w:sz w:val="22"/>
          <w:szCs w:val="22"/>
        </w:rPr>
      </w:pPr>
      <w:r w:rsidRPr="0031303E">
        <w:rPr>
          <w:rFonts w:ascii="Arial" w:hAnsi="Arial" w:cs="Arial"/>
          <w:b/>
          <w:bCs/>
          <w:color w:val="auto"/>
          <w:sz w:val="22"/>
          <w:szCs w:val="22"/>
        </w:rPr>
        <w:tab/>
        <w:t xml:space="preserve"> (Tablica potraživanja B)</w:t>
      </w:r>
      <w:r w:rsidRPr="0031303E">
        <w:rPr>
          <w:rFonts w:ascii="Arial" w:hAnsi="Arial" w:cs="Arial"/>
          <w:color w:val="auto"/>
          <w:sz w:val="22"/>
          <w:szCs w:val="22"/>
        </w:rPr>
        <w:t>; odnose se na:</w:t>
      </w:r>
    </w:p>
    <w:p w:rsidR="002A308D" w:rsidRPr="0031303E" w:rsidRDefault="002A308D" w:rsidP="002A308D">
      <w:pPr>
        <w:widowControl w:val="0"/>
        <w:suppressAutoHyphens/>
        <w:ind w:firstLine="720"/>
        <w:rPr>
          <w:rFonts w:ascii="Arial" w:hAnsi="Arial" w:cs="Arial"/>
          <w:color w:val="auto"/>
          <w:sz w:val="22"/>
          <w:szCs w:val="22"/>
        </w:rPr>
      </w:pP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w:t>
      </w:r>
      <w:r w:rsidRPr="0031303E">
        <w:rPr>
          <w:rFonts w:ascii="Arial" w:hAnsi="Arial" w:cs="Arial"/>
          <w:color w:val="auto"/>
          <w:sz w:val="22"/>
          <w:szCs w:val="22"/>
        </w:rPr>
        <w:tab/>
      </w:r>
      <w:r w:rsidRPr="0031303E">
        <w:rPr>
          <w:rFonts w:ascii="Arial" w:hAnsi="Arial" w:cs="Arial"/>
          <w:i/>
          <w:iCs/>
          <w:color w:val="auto"/>
          <w:sz w:val="22"/>
          <w:szCs w:val="22"/>
        </w:rPr>
        <w:t>Komunalna naknada</w:t>
      </w:r>
    </w:p>
    <w:p w:rsidR="002A308D"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 xml:space="preserve">Potraživanje smanjeno radi brisanja manjeg dijela obveznika iz sudskog registra, </w:t>
      </w:r>
      <w:r w:rsidRPr="0031303E">
        <w:rPr>
          <w:rFonts w:ascii="Arial" w:hAnsi="Arial" w:cs="Arial"/>
          <w:color w:val="auto"/>
          <w:sz w:val="22"/>
          <w:szCs w:val="22"/>
        </w:rPr>
        <w:tab/>
        <w:t>poboljšane naplate tekućih zaduženja ali i okončanja nekih postupaka prisilne naplatena</w:t>
      </w:r>
    </w:p>
    <w:p w:rsidR="002A308D" w:rsidRPr="0031303E" w:rsidRDefault="002A308D" w:rsidP="002A308D">
      <w:pPr>
        <w:suppressAutoHyphens/>
        <w:overflowPunct w:val="0"/>
        <w:autoSpaceDE w:val="0"/>
        <w:ind w:firstLine="708"/>
        <w:textAlignment w:val="baseline"/>
        <w:rPr>
          <w:rFonts w:ascii="Arial" w:hAnsi="Arial" w:cs="Arial"/>
          <w:color w:val="auto"/>
          <w:sz w:val="22"/>
          <w:szCs w:val="22"/>
        </w:rPr>
      </w:pPr>
      <w:r w:rsidRPr="0031303E">
        <w:rPr>
          <w:rFonts w:ascii="Arial" w:hAnsi="Arial" w:cs="Arial"/>
          <w:color w:val="auto"/>
          <w:sz w:val="22"/>
          <w:szCs w:val="22"/>
        </w:rPr>
        <w:t>financijskim sredstvima dužnika.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w:t>
      </w:r>
      <w:r w:rsidRPr="0031303E">
        <w:rPr>
          <w:rFonts w:ascii="Arial" w:hAnsi="Arial" w:cs="Arial"/>
          <w:color w:val="auto"/>
          <w:sz w:val="22"/>
          <w:szCs w:val="22"/>
        </w:rPr>
        <w:tab/>
      </w:r>
      <w:r w:rsidRPr="0031303E">
        <w:rPr>
          <w:rFonts w:ascii="Arial" w:hAnsi="Arial" w:cs="Arial"/>
          <w:i/>
          <w:iCs/>
          <w:color w:val="auto"/>
          <w:sz w:val="22"/>
          <w:szCs w:val="22"/>
        </w:rPr>
        <w:t>Komunalni doprinos</w:t>
      </w:r>
    </w:p>
    <w:p w:rsidR="002A308D" w:rsidRPr="0031303E" w:rsidRDefault="002A308D" w:rsidP="002A308D">
      <w:pPr>
        <w:suppressAutoHyphens/>
        <w:overflowPunct w:val="0"/>
        <w:autoSpaceDE w:val="0"/>
        <w:ind w:left="720"/>
        <w:textAlignment w:val="baseline"/>
        <w:rPr>
          <w:rFonts w:ascii="Arial" w:hAnsi="Arial" w:cs="Arial"/>
          <w:color w:val="FF0000"/>
          <w:sz w:val="22"/>
          <w:szCs w:val="22"/>
        </w:rPr>
      </w:pPr>
      <w:r w:rsidRPr="0031303E">
        <w:rPr>
          <w:rFonts w:ascii="Arial" w:hAnsi="Arial" w:cs="Arial"/>
          <w:color w:val="auto"/>
          <w:sz w:val="22"/>
          <w:szCs w:val="22"/>
        </w:rPr>
        <w:t>Nema potraživanja jer su u lipnju izvršene veće uplate obveznika.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w:t>
      </w:r>
      <w:r w:rsidRPr="0031303E">
        <w:rPr>
          <w:rFonts w:ascii="Arial" w:hAnsi="Arial" w:cs="Arial"/>
          <w:color w:val="auto"/>
          <w:sz w:val="22"/>
          <w:szCs w:val="22"/>
        </w:rPr>
        <w:tab/>
      </w:r>
      <w:r w:rsidRPr="0031303E">
        <w:rPr>
          <w:rFonts w:ascii="Arial" w:hAnsi="Arial" w:cs="Arial"/>
          <w:i/>
          <w:iCs/>
          <w:color w:val="auto"/>
          <w:sz w:val="22"/>
          <w:szCs w:val="22"/>
        </w:rPr>
        <w:t>Spomenička renta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r>
      <w:r w:rsidRPr="0031303E">
        <w:rPr>
          <w:rFonts w:ascii="Arial" w:hAnsi="Arial" w:cs="Arial"/>
          <w:color w:val="auto"/>
          <w:sz w:val="22"/>
          <w:szCs w:val="22"/>
          <w:lang w:eastAsia="ar-SA"/>
        </w:rPr>
        <w:t xml:space="preserve">Potraživanje povećano radi sezonskog karaktera poslovanja, zaduženi obveznici </w:t>
      </w:r>
      <w:r w:rsidRPr="0031303E">
        <w:rPr>
          <w:rFonts w:ascii="Arial" w:hAnsi="Arial" w:cs="Arial"/>
          <w:color w:val="auto"/>
          <w:sz w:val="22"/>
          <w:szCs w:val="22"/>
          <w:lang w:eastAsia="ar-SA"/>
        </w:rPr>
        <w:tab/>
        <w:t>zaduženja plaćaju uglavnom u drugom dijelu turističke sezone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4.:</w:t>
      </w:r>
      <w:r w:rsidRPr="0031303E">
        <w:rPr>
          <w:rFonts w:ascii="Arial" w:hAnsi="Arial" w:cs="Arial"/>
          <w:color w:val="auto"/>
          <w:sz w:val="22"/>
          <w:szCs w:val="22"/>
        </w:rPr>
        <w:tab/>
      </w:r>
      <w:r w:rsidRPr="0031303E">
        <w:rPr>
          <w:rFonts w:ascii="Arial" w:hAnsi="Arial" w:cs="Arial"/>
          <w:i/>
          <w:iCs/>
          <w:color w:val="auto"/>
          <w:sz w:val="22"/>
          <w:szCs w:val="22"/>
        </w:rPr>
        <w:t>Zakup javnih površina</w:t>
      </w:r>
    </w:p>
    <w:p w:rsidR="002A308D" w:rsidRPr="0031303E" w:rsidRDefault="002A308D" w:rsidP="002A308D">
      <w:pPr>
        <w:suppressAutoHyphens/>
        <w:overflowPunct w:val="0"/>
        <w:autoSpaceDE w:val="0"/>
        <w:textAlignment w:val="baseline"/>
        <w:rPr>
          <w:rFonts w:ascii="Arial" w:hAnsi="Arial" w:cs="Arial"/>
          <w:color w:val="auto"/>
          <w:sz w:val="22"/>
          <w:szCs w:val="22"/>
          <w:lang w:eastAsia="ar-SA"/>
        </w:rPr>
      </w:pPr>
      <w:r w:rsidRPr="0031303E">
        <w:rPr>
          <w:rFonts w:ascii="Arial" w:hAnsi="Arial" w:cs="Arial"/>
          <w:color w:val="auto"/>
          <w:sz w:val="22"/>
          <w:szCs w:val="22"/>
        </w:rPr>
        <w:tab/>
      </w:r>
      <w:bookmarkStart w:id="3" w:name="_Hlk5615158"/>
      <w:r w:rsidRPr="0031303E">
        <w:rPr>
          <w:rFonts w:ascii="Arial" w:hAnsi="Arial" w:cs="Arial"/>
          <w:color w:val="auto"/>
          <w:sz w:val="22"/>
          <w:szCs w:val="22"/>
          <w:lang w:eastAsia="ar-SA"/>
        </w:rPr>
        <w:t xml:space="preserve">Potraživanje povećano radi sezonskog karaktera poslovanja, zaduženi obveznici </w:t>
      </w:r>
      <w:r w:rsidRPr="0031303E">
        <w:rPr>
          <w:rFonts w:ascii="Arial" w:hAnsi="Arial" w:cs="Arial"/>
          <w:color w:val="auto"/>
          <w:sz w:val="22"/>
          <w:szCs w:val="22"/>
          <w:lang w:eastAsia="ar-SA"/>
        </w:rPr>
        <w:tab/>
        <w:t xml:space="preserve">zaduženja plaćaju uglavnom u drugom dijelu turističke sezone.  </w:t>
      </w:r>
    </w:p>
    <w:bookmarkEnd w:id="3"/>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5.:</w:t>
      </w:r>
      <w:r w:rsidRPr="0031303E">
        <w:rPr>
          <w:rFonts w:ascii="Arial" w:hAnsi="Arial" w:cs="Arial"/>
          <w:color w:val="auto"/>
          <w:sz w:val="22"/>
          <w:szCs w:val="22"/>
        </w:rPr>
        <w:tab/>
      </w:r>
      <w:r w:rsidRPr="0031303E">
        <w:rPr>
          <w:rFonts w:ascii="Arial" w:hAnsi="Arial" w:cs="Arial"/>
          <w:i/>
          <w:iCs/>
          <w:color w:val="auto"/>
          <w:sz w:val="22"/>
          <w:szCs w:val="22"/>
        </w:rPr>
        <w:t>Zakup poslovnog prostora</w:t>
      </w:r>
    </w:p>
    <w:p w:rsidR="002A308D" w:rsidRPr="0031303E" w:rsidRDefault="002A308D" w:rsidP="002A308D">
      <w:pPr>
        <w:suppressAutoHyphens/>
        <w:overflowPunct w:val="0"/>
        <w:autoSpaceDE w:val="0"/>
        <w:textAlignment w:val="baseline"/>
        <w:rPr>
          <w:rFonts w:ascii="Arial" w:hAnsi="Arial" w:cs="Arial"/>
          <w:color w:val="auto"/>
          <w:sz w:val="22"/>
          <w:szCs w:val="22"/>
          <w:lang w:eastAsia="ar-SA"/>
        </w:rPr>
      </w:pPr>
      <w:r w:rsidRPr="0031303E">
        <w:rPr>
          <w:rFonts w:ascii="Arial" w:hAnsi="Arial" w:cs="Arial"/>
          <w:color w:val="auto"/>
          <w:sz w:val="22"/>
          <w:szCs w:val="22"/>
        </w:rPr>
        <w:tab/>
      </w:r>
      <w:r w:rsidRPr="0031303E">
        <w:rPr>
          <w:rFonts w:ascii="Arial" w:hAnsi="Arial" w:cs="Arial"/>
          <w:color w:val="auto"/>
          <w:sz w:val="22"/>
          <w:szCs w:val="22"/>
          <w:lang w:eastAsia="ar-SA"/>
        </w:rPr>
        <w:t xml:space="preserve">Potraživanje povećano radi sezonskog karaktera poslovanja, zaduženi obveznici </w:t>
      </w:r>
      <w:r w:rsidRPr="0031303E">
        <w:rPr>
          <w:rFonts w:ascii="Arial" w:hAnsi="Arial" w:cs="Arial"/>
          <w:color w:val="auto"/>
          <w:sz w:val="22"/>
          <w:szCs w:val="22"/>
          <w:lang w:eastAsia="ar-SA"/>
        </w:rPr>
        <w:tab/>
        <w:t xml:space="preserve">zaduženja plaćaju uglavnom u drugom dijelu turističke sezone.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6.:</w:t>
      </w:r>
      <w:r w:rsidRPr="0031303E">
        <w:rPr>
          <w:rFonts w:ascii="Arial" w:hAnsi="Arial" w:cs="Arial"/>
          <w:color w:val="auto"/>
          <w:sz w:val="22"/>
          <w:szCs w:val="22"/>
        </w:rPr>
        <w:tab/>
      </w:r>
      <w:r w:rsidRPr="0031303E">
        <w:rPr>
          <w:rFonts w:ascii="Arial" w:hAnsi="Arial" w:cs="Arial"/>
          <w:i/>
          <w:iCs/>
          <w:color w:val="auto"/>
          <w:sz w:val="22"/>
          <w:szCs w:val="22"/>
        </w:rPr>
        <w:t>Najamnina stanova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malo povećano, u pripremi nove ovrhe, a stare još u postupku.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7.:</w:t>
      </w:r>
      <w:r w:rsidRPr="0031303E">
        <w:rPr>
          <w:rFonts w:ascii="Arial" w:hAnsi="Arial" w:cs="Arial"/>
          <w:color w:val="auto"/>
          <w:sz w:val="22"/>
          <w:szCs w:val="22"/>
        </w:rPr>
        <w:tab/>
      </w:r>
      <w:r w:rsidRPr="0031303E">
        <w:rPr>
          <w:rFonts w:ascii="Arial" w:hAnsi="Arial" w:cs="Arial"/>
          <w:i/>
          <w:iCs/>
          <w:color w:val="auto"/>
          <w:sz w:val="22"/>
          <w:szCs w:val="22"/>
        </w:rPr>
        <w:t>Porez na tvrtku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smanjeno radi storniranja zaduženja starijih od 6 godina temeljem</w:t>
      </w:r>
    </w:p>
    <w:p w:rsidR="002A308D" w:rsidRPr="0031303E" w:rsidRDefault="002A308D" w:rsidP="002A308D">
      <w:pPr>
        <w:suppressAutoHyphens/>
        <w:overflowPunct w:val="0"/>
        <w:autoSpaceDE w:val="0"/>
        <w:ind w:firstLine="720"/>
        <w:textAlignment w:val="baseline"/>
        <w:rPr>
          <w:rFonts w:ascii="Arial" w:hAnsi="Arial" w:cs="Arial"/>
          <w:color w:val="auto"/>
          <w:sz w:val="22"/>
          <w:szCs w:val="22"/>
        </w:rPr>
      </w:pPr>
      <w:r w:rsidRPr="0031303E">
        <w:rPr>
          <w:rFonts w:ascii="Arial" w:hAnsi="Arial" w:cs="Arial"/>
          <w:color w:val="auto"/>
          <w:sz w:val="22"/>
          <w:szCs w:val="22"/>
        </w:rPr>
        <w:t>novih odredbi Općeg poreznog zakona. Ovaj porez je ukinut 1.1.2017.g.</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8.:</w:t>
      </w:r>
      <w:r w:rsidRPr="0031303E">
        <w:rPr>
          <w:rFonts w:ascii="Arial" w:hAnsi="Arial" w:cs="Arial"/>
          <w:color w:val="auto"/>
          <w:sz w:val="22"/>
          <w:szCs w:val="22"/>
        </w:rPr>
        <w:tab/>
      </w:r>
      <w:r w:rsidRPr="0031303E">
        <w:rPr>
          <w:rFonts w:ascii="Arial" w:hAnsi="Arial" w:cs="Arial"/>
          <w:i/>
          <w:iCs/>
          <w:color w:val="auto"/>
          <w:sz w:val="22"/>
          <w:szCs w:val="22"/>
        </w:rPr>
        <w:t>Porez na kuće za odmor</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smanjeno radi ažurnijeg plaćanja novih obveznika i naplate starih i novih</w:t>
      </w:r>
    </w:p>
    <w:p w:rsidR="002A308D" w:rsidRPr="0031303E" w:rsidRDefault="002A308D" w:rsidP="002A308D">
      <w:pPr>
        <w:suppressAutoHyphens/>
        <w:overflowPunct w:val="0"/>
        <w:autoSpaceDE w:val="0"/>
        <w:ind w:firstLine="720"/>
        <w:textAlignment w:val="baseline"/>
        <w:rPr>
          <w:rFonts w:ascii="Arial" w:hAnsi="Arial" w:cs="Arial"/>
          <w:color w:val="auto"/>
          <w:sz w:val="22"/>
          <w:szCs w:val="22"/>
        </w:rPr>
      </w:pPr>
      <w:r w:rsidRPr="0031303E">
        <w:rPr>
          <w:rFonts w:ascii="Arial" w:hAnsi="Arial" w:cs="Arial"/>
          <w:color w:val="auto"/>
          <w:sz w:val="22"/>
          <w:szCs w:val="22"/>
        </w:rPr>
        <w:t xml:space="preserve">ovrha.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9.:</w:t>
      </w:r>
      <w:r w:rsidRPr="0031303E">
        <w:rPr>
          <w:rFonts w:ascii="Arial" w:hAnsi="Arial" w:cs="Arial"/>
          <w:color w:val="auto"/>
          <w:sz w:val="22"/>
          <w:szCs w:val="22"/>
        </w:rPr>
        <w:tab/>
      </w:r>
      <w:r w:rsidRPr="0031303E">
        <w:rPr>
          <w:rFonts w:ascii="Arial" w:hAnsi="Arial" w:cs="Arial"/>
          <w:i/>
          <w:iCs/>
          <w:color w:val="auto"/>
          <w:sz w:val="22"/>
          <w:szCs w:val="22"/>
        </w:rPr>
        <w:t>Porez na potrošnju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Potraživanja nema radi ažurnijeg praćenja obveznika i njihovog plaćanja.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10.:</w:t>
      </w:r>
      <w:r w:rsidRPr="0031303E">
        <w:rPr>
          <w:rFonts w:ascii="Arial" w:hAnsi="Arial" w:cs="Arial"/>
          <w:color w:val="auto"/>
          <w:sz w:val="22"/>
          <w:szCs w:val="22"/>
        </w:rPr>
        <w:tab/>
      </w:r>
      <w:r w:rsidRPr="0031303E">
        <w:rPr>
          <w:rFonts w:ascii="Arial" w:hAnsi="Arial" w:cs="Arial"/>
          <w:i/>
          <w:iCs/>
          <w:color w:val="auto"/>
          <w:sz w:val="22"/>
          <w:szCs w:val="22"/>
        </w:rPr>
        <w:t>HZZO naknade bolovanja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smanjeno jer HZZO ažurnije plaća naknade.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12.:</w:t>
      </w:r>
      <w:r w:rsidRPr="0031303E">
        <w:rPr>
          <w:rFonts w:ascii="Arial" w:hAnsi="Arial" w:cs="Arial"/>
          <w:color w:val="auto"/>
          <w:sz w:val="22"/>
          <w:szCs w:val="22"/>
        </w:rPr>
        <w:tab/>
      </w:r>
      <w:r w:rsidRPr="0031303E">
        <w:rPr>
          <w:rFonts w:ascii="Arial" w:hAnsi="Arial" w:cs="Arial"/>
          <w:i/>
          <w:iCs/>
          <w:color w:val="auto"/>
          <w:sz w:val="22"/>
          <w:szCs w:val="22"/>
        </w:rPr>
        <w:t>Potraživanja za kamate po danim zajmovima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smanjeno radi naplate dijela financijskih obveza.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13.:</w:t>
      </w:r>
      <w:r w:rsidRPr="0031303E">
        <w:rPr>
          <w:rFonts w:ascii="Arial" w:hAnsi="Arial" w:cs="Arial"/>
          <w:color w:val="auto"/>
          <w:sz w:val="22"/>
          <w:szCs w:val="22"/>
        </w:rPr>
        <w:tab/>
      </w:r>
      <w:r w:rsidRPr="0031303E">
        <w:rPr>
          <w:rFonts w:ascii="Arial" w:hAnsi="Arial" w:cs="Arial"/>
          <w:i/>
          <w:iCs/>
          <w:color w:val="auto"/>
          <w:sz w:val="22"/>
          <w:szCs w:val="22"/>
        </w:rPr>
        <w:t>Potraživanja po akontacijama putnih naloga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smanjena radi ažurnijeg obračuna i naplate.</w:t>
      </w:r>
    </w:p>
    <w:p w:rsidR="002A308D" w:rsidRPr="0031303E" w:rsidRDefault="002A308D" w:rsidP="002A308D">
      <w:pPr>
        <w:suppressAutoHyphens/>
        <w:overflowPunct w:val="0"/>
        <w:autoSpaceDE w:val="0"/>
        <w:textAlignment w:val="baseline"/>
        <w:rPr>
          <w:rFonts w:ascii="Arial" w:hAnsi="Arial" w:cs="Arial"/>
          <w:i/>
          <w:iCs/>
          <w:color w:val="auto"/>
          <w:sz w:val="22"/>
          <w:szCs w:val="22"/>
        </w:rPr>
      </w:pPr>
      <w:r w:rsidRPr="0031303E">
        <w:rPr>
          <w:rFonts w:ascii="Arial" w:hAnsi="Arial" w:cs="Arial"/>
          <w:color w:val="auto"/>
          <w:sz w:val="22"/>
          <w:szCs w:val="22"/>
        </w:rPr>
        <w:t>Red.br. 15.:</w:t>
      </w:r>
      <w:r w:rsidRPr="0031303E">
        <w:rPr>
          <w:rFonts w:ascii="Arial" w:hAnsi="Arial" w:cs="Arial"/>
          <w:color w:val="auto"/>
          <w:sz w:val="22"/>
          <w:szCs w:val="22"/>
        </w:rPr>
        <w:tab/>
      </w:r>
      <w:r w:rsidRPr="0031303E">
        <w:rPr>
          <w:rFonts w:ascii="Arial" w:hAnsi="Arial" w:cs="Arial"/>
          <w:i/>
          <w:iCs/>
          <w:color w:val="auto"/>
          <w:sz w:val="22"/>
          <w:szCs w:val="22"/>
        </w:rPr>
        <w:t>Potraživanja za ostale pristojbe – boravišna pristojba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i/>
          <w:iCs/>
          <w:color w:val="auto"/>
          <w:sz w:val="22"/>
          <w:szCs w:val="22"/>
        </w:rPr>
        <w:tab/>
      </w:r>
      <w:r w:rsidRPr="0031303E">
        <w:rPr>
          <w:rFonts w:ascii="Arial" w:hAnsi="Arial" w:cs="Arial"/>
          <w:color w:val="auto"/>
          <w:sz w:val="22"/>
          <w:szCs w:val="22"/>
        </w:rPr>
        <w:t>Potraživanje od Turističke zajednice Grada Dubrovnika povećano.</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16.:</w:t>
      </w:r>
      <w:r w:rsidRPr="0031303E">
        <w:rPr>
          <w:rFonts w:ascii="Arial" w:hAnsi="Arial" w:cs="Arial"/>
          <w:color w:val="auto"/>
          <w:sz w:val="22"/>
          <w:szCs w:val="22"/>
        </w:rPr>
        <w:tab/>
      </w:r>
      <w:r w:rsidRPr="0031303E">
        <w:rPr>
          <w:rFonts w:ascii="Arial" w:hAnsi="Arial" w:cs="Arial"/>
          <w:i/>
          <w:iCs/>
          <w:color w:val="auto"/>
          <w:sz w:val="22"/>
          <w:szCs w:val="22"/>
        </w:rPr>
        <w:t xml:space="preserve">Potraživanja za nedostajuća parking mjesta – dio  </w:t>
      </w:r>
    </w:p>
    <w:p w:rsidR="002A308D" w:rsidRPr="0031303E" w:rsidRDefault="002A308D" w:rsidP="002A308D">
      <w:pPr>
        <w:suppressAutoHyphens/>
        <w:overflowPunct w:val="0"/>
        <w:autoSpaceDE w:val="0"/>
        <w:ind w:left="720"/>
        <w:textAlignment w:val="baseline"/>
        <w:rPr>
          <w:rFonts w:ascii="Arial" w:hAnsi="Arial" w:cs="Arial"/>
          <w:color w:val="auto"/>
          <w:sz w:val="22"/>
          <w:szCs w:val="22"/>
        </w:rPr>
      </w:pPr>
      <w:r w:rsidRPr="0031303E">
        <w:rPr>
          <w:rFonts w:ascii="Arial" w:hAnsi="Arial" w:cs="Arial"/>
          <w:color w:val="auto"/>
          <w:sz w:val="22"/>
          <w:szCs w:val="22"/>
        </w:rPr>
        <w:t>Potraživanje povećano jer su u svibnju i lipnju izvršena nova veća zaduženja a  obveznici kasne s realizacijom projekta i plaćanjem.</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17.:</w:t>
      </w:r>
      <w:r w:rsidRPr="0031303E">
        <w:rPr>
          <w:rFonts w:ascii="Arial" w:hAnsi="Arial" w:cs="Arial"/>
          <w:color w:val="auto"/>
          <w:sz w:val="22"/>
          <w:szCs w:val="22"/>
        </w:rPr>
        <w:tab/>
      </w:r>
      <w:r w:rsidRPr="0031303E">
        <w:rPr>
          <w:rFonts w:ascii="Arial" w:hAnsi="Arial" w:cs="Arial"/>
          <w:i/>
          <w:iCs/>
          <w:color w:val="auto"/>
          <w:sz w:val="22"/>
          <w:szCs w:val="22"/>
        </w:rPr>
        <w:t>Potraživanja za zatezne kamate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smanjeno, a odnosi se na programski obračunate i zadužene zatezne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kamate svih vrsta gradskih prihoda (komunalne naknade, komunalnog doprinosa,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spomeničke rente, zakupa poslovnih prostora, zakupa javnih površina, svih vrsta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gradskih poreza i dr.) prema obveznicima koji kasne s plaćanjima svojih obveza.</w:t>
      </w:r>
    </w:p>
    <w:p w:rsidR="002A308D"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Prisilne naplate zateznih kamata su u postupcima prisilnih naplata glavnica svih vrsta gradskih</w:t>
      </w:r>
    </w:p>
    <w:p w:rsidR="002A308D" w:rsidRPr="0031303E" w:rsidRDefault="002A308D" w:rsidP="002A308D">
      <w:pPr>
        <w:suppressAutoHyphens/>
        <w:overflowPunct w:val="0"/>
        <w:autoSpaceDE w:val="0"/>
        <w:ind w:firstLine="708"/>
        <w:textAlignment w:val="baseline"/>
        <w:rPr>
          <w:rFonts w:ascii="Arial" w:hAnsi="Arial" w:cs="Arial"/>
          <w:color w:val="auto"/>
          <w:sz w:val="22"/>
          <w:szCs w:val="22"/>
        </w:rPr>
      </w:pPr>
      <w:r w:rsidRPr="0031303E">
        <w:rPr>
          <w:rFonts w:ascii="Arial" w:hAnsi="Arial" w:cs="Arial"/>
          <w:color w:val="auto"/>
          <w:sz w:val="22"/>
          <w:szCs w:val="22"/>
        </w:rPr>
        <w:t>prihoda.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18.:</w:t>
      </w:r>
      <w:r w:rsidRPr="0031303E">
        <w:rPr>
          <w:rFonts w:ascii="Arial" w:hAnsi="Arial" w:cs="Arial"/>
          <w:color w:val="auto"/>
          <w:sz w:val="22"/>
          <w:szCs w:val="22"/>
        </w:rPr>
        <w:tab/>
      </w:r>
      <w:r w:rsidRPr="0031303E">
        <w:rPr>
          <w:rFonts w:ascii="Arial" w:hAnsi="Arial" w:cs="Arial"/>
          <w:i/>
          <w:iCs/>
          <w:color w:val="auto"/>
          <w:sz w:val="22"/>
          <w:szCs w:val="22"/>
        </w:rPr>
        <w:t>Potraživanja za ostale pristojbe – legalizacija objekata u prostoru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Potraživanja nema radi ažurnijeg praćenja obveznika i njihovog plaćanja.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19.:</w:t>
      </w:r>
      <w:r w:rsidRPr="0031303E">
        <w:rPr>
          <w:rFonts w:ascii="Arial" w:hAnsi="Arial" w:cs="Arial"/>
          <w:color w:val="auto"/>
          <w:sz w:val="22"/>
          <w:szCs w:val="22"/>
        </w:rPr>
        <w:tab/>
      </w:r>
      <w:r w:rsidRPr="0031303E">
        <w:rPr>
          <w:rFonts w:ascii="Arial" w:hAnsi="Arial" w:cs="Arial"/>
          <w:i/>
          <w:iCs/>
          <w:color w:val="auto"/>
          <w:sz w:val="22"/>
          <w:szCs w:val="22"/>
        </w:rPr>
        <w:t>Potraživanja za depozite u tuzemnim bankama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se odnosi na projekt stipendija i kredita za školovanje kod Zagr.banke.</w:t>
      </w:r>
    </w:p>
    <w:p w:rsidR="002A308D" w:rsidRPr="0031303E" w:rsidRDefault="002A308D" w:rsidP="002A308D">
      <w:pPr>
        <w:suppressAutoHyphens/>
        <w:overflowPunct w:val="0"/>
        <w:autoSpaceDE w:val="0"/>
        <w:textAlignment w:val="baseline"/>
        <w:rPr>
          <w:rFonts w:ascii="Arial" w:hAnsi="Arial" w:cs="Arial"/>
          <w:i/>
          <w:iCs/>
          <w:color w:val="auto"/>
          <w:sz w:val="22"/>
          <w:szCs w:val="22"/>
        </w:rPr>
      </w:pPr>
      <w:r w:rsidRPr="0031303E">
        <w:rPr>
          <w:rFonts w:ascii="Arial" w:hAnsi="Arial" w:cs="Arial"/>
          <w:color w:val="auto"/>
          <w:sz w:val="22"/>
          <w:szCs w:val="22"/>
        </w:rPr>
        <w:t>Red.br. 20.:</w:t>
      </w:r>
      <w:r w:rsidRPr="0031303E">
        <w:rPr>
          <w:rFonts w:ascii="Arial" w:hAnsi="Arial" w:cs="Arial"/>
          <w:color w:val="auto"/>
          <w:sz w:val="22"/>
          <w:szCs w:val="22"/>
        </w:rPr>
        <w:tab/>
      </w:r>
      <w:r w:rsidRPr="0031303E">
        <w:rPr>
          <w:rFonts w:ascii="Arial" w:hAnsi="Arial" w:cs="Arial"/>
          <w:i/>
          <w:iCs/>
          <w:color w:val="auto"/>
          <w:sz w:val="22"/>
          <w:szCs w:val="22"/>
        </w:rPr>
        <w:t>Potraživanja za pružene usluge (Hrvatskim vodama, oglasi u brošurama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i/>
          <w:iCs/>
          <w:color w:val="auto"/>
          <w:sz w:val="22"/>
          <w:szCs w:val="22"/>
        </w:rPr>
        <w:t xml:space="preserve">            Du card)</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lastRenderedPageBreak/>
        <w:tab/>
        <w:t>Potraživanje povećano, naplaćuje se prijebojima međusobnih obveza Grada i Hrvatskih voda.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21.:</w:t>
      </w:r>
      <w:r w:rsidRPr="0031303E">
        <w:rPr>
          <w:rFonts w:ascii="Arial" w:hAnsi="Arial" w:cs="Arial"/>
          <w:color w:val="auto"/>
          <w:sz w:val="22"/>
          <w:szCs w:val="22"/>
        </w:rPr>
        <w:tab/>
      </w:r>
      <w:r w:rsidRPr="0031303E">
        <w:rPr>
          <w:rFonts w:ascii="Arial" w:hAnsi="Arial" w:cs="Arial"/>
          <w:i/>
          <w:iCs/>
          <w:color w:val="auto"/>
          <w:sz w:val="22"/>
          <w:szCs w:val="22"/>
        </w:rPr>
        <w:t>Potraživanja za zemljišta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smanjeno, u tijeku postupak prisilne naplate.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23.:</w:t>
      </w:r>
      <w:r w:rsidRPr="0031303E">
        <w:rPr>
          <w:rFonts w:ascii="Arial" w:hAnsi="Arial" w:cs="Arial"/>
          <w:color w:val="auto"/>
          <w:sz w:val="22"/>
          <w:szCs w:val="22"/>
        </w:rPr>
        <w:tab/>
      </w:r>
      <w:r w:rsidRPr="0031303E">
        <w:rPr>
          <w:rFonts w:ascii="Arial" w:hAnsi="Arial" w:cs="Arial"/>
          <w:i/>
          <w:iCs/>
          <w:color w:val="auto"/>
          <w:sz w:val="22"/>
          <w:szCs w:val="22"/>
        </w:rPr>
        <w:t xml:space="preserve">Potraživanja za pogrešna terećenja žiro – računa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r>
      <w:r>
        <w:rPr>
          <w:rFonts w:ascii="Arial" w:hAnsi="Arial" w:cs="Arial"/>
          <w:color w:val="auto"/>
          <w:sz w:val="22"/>
          <w:szCs w:val="22"/>
        </w:rPr>
        <w:t>Prelazni konto za knjiženje pogrešnih uplata.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24.:</w:t>
      </w:r>
      <w:r w:rsidRPr="0031303E">
        <w:rPr>
          <w:rFonts w:ascii="Arial" w:hAnsi="Arial" w:cs="Arial"/>
          <w:color w:val="auto"/>
          <w:sz w:val="22"/>
          <w:szCs w:val="22"/>
        </w:rPr>
        <w:tab/>
      </w:r>
      <w:r w:rsidRPr="0031303E">
        <w:rPr>
          <w:rFonts w:ascii="Arial" w:hAnsi="Arial" w:cs="Arial"/>
          <w:i/>
          <w:iCs/>
          <w:color w:val="auto"/>
          <w:sz w:val="22"/>
          <w:szCs w:val="22"/>
        </w:rPr>
        <w:t>Potraživanja od ostalih prihoda od nefinancijske imovine</w:t>
      </w:r>
    </w:p>
    <w:p w:rsidR="002A308D" w:rsidRPr="0031303E" w:rsidRDefault="002A308D" w:rsidP="002A308D">
      <w:pPr>
        <w:suppressAutoHyphens/>
        <w:overflowPunct w:val="0"/>
        <w:autoSpaceDE w:val="0"/>
        <w:textAlignment w:val="baseline"/>
        <w:rPr>
          <w:rFonts w:ascii="Arial" w:hAnsi="Arial" w:cs="Arial"/>
          <w:color w:val="auto"/>
          <w:sz w:val="22"/>
          <w:szCs w:val="22"/>
          <w:lang w:eastAsia="ar-SA"/>
        </w:rPr>
      </w:pPr>
      <w:r w:rsidRPr="0031303E">
        <w:rPr>
          <w:rFonts w:ascii="Arial" w:hAnsi="Arial" w:cs="Arial"/>
          <w:color w:val="auto"/>
          <w:sz w:val="22"/>
          <w:szCs w:val="22"/>
        </w:rPr>
        <w:tab/>
      </w:r>
      <w:r w:rsidRPr="0031303E">
        <w:rPr>
          <w:rFonts w:ascii="Arial" w:hAnsi="Arial" w:cs="Arial"/>
          <w:color w:val="auto"/>
          <w:sz w:val="22"/>
          <w:szCs w:val="22"/>
          <w:lang w:eastAsia="ar-SA"/>
        </w:rPr>
        <w:t>Potraživanja od D.P.D.S. i za DUCARD. D.P.D.S. je  8. srpnja o.g. u c</w:t>
      </w:r>
      <w:r>
        <w:rPr>
          <w:rFonts w:ascii="Arial" w:hAnsi="Arial" w:cs="Arial"/>
          <w:color w:val="auto"/>
          <w:sz w:val="22"/>
          <w:szCs w:val="22"/>
          <w:lang w:eastAsia="ar-SA"/>
        </w:rPr>
        <w:t>i</w:t>
      </w:r>
      <w:r w:rsidRPr="0031303E">
        <w:rPr>
          <w:rFonts w:ascii="Arial" w:hAnsi="Arial" w:cs="Arial"/>
          <w:color w:val="auto"/>
          <w:sz w:val="22"/>
          <w:szCs w:val="22"/>
          <w:lang w:eastAsia="ar-SA"/>
        </w:rPr>
        <w:t>jelosti podmirilo</w:t>
      </w:r>
    </w:p>
    <w:p w:rsidR="002A308D" w:rsidRPr="0031303E" w:rsidRDefault="002A308D" w:rsidP="002A308D">
      <w:pPr>
        <w:suppressAutoHyphens/>
        <w:overflowPunct w:val="0"/>
        <w:autoSpaceDE w:val="0"/>
        <w:ind w:firstLine="720"/>
        <w:textAlignment w:val="baseline"/>
        <w:rPr>
          <w:rFonts w:ascii="Arial" w:hAnsi="Arial" w:cs="Arial"/>
          <w:color w:val="auto"/>
          <w:sz w:val="22"/>
          <w:szCs w:val="22"/>
          <w:lang w:eastAsia="ar-SA"/>
        </w:rPr>
      </w:pPr>
      <w:r w:rsidRPr="0031303E">
        <w:rPr>
          <w:rFonts w:ascii="Arial" w:hAnsi="Arial" w:cs="Arial"/>
          <w:color w:val="auto"/>
          <w:sz w:val="22"/>
          <w:szCs w:val="22"/>
          <w:lang w:eastAsia="ar-SA"/>
        </w:rPr>
        <w:t>svoj dug Gradu Dubrovniku.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25.:</w:t>
      </w:r>
      <w:r w:rsidRPr="0031303E">
        <w:rPr>
          <w:rFonts w:ascii="Arial" w:hAnsi="Arial" w:cs="Arial"/>
          <w:color w:val="auto"/>
          <w:sz w:val="22"/>
          <w:szCs w:val="22"/>
        </w:rPr>
        <w:tab/>
      </w:r>
      <w:r w:rsidRPr="0031303E">
        <w:rPr>
          <w:rFonts w:ascii="Arial" w:hAnsi="Arial" w:cs="Arial"/>
          <w:i/>
          <w:iCs/>
          <w:color w:val="auto"/>
          <w:sz w:val="22"/>
          <w:szCs w:val="22"/>
        </w:rPr>
        <w:t>Ostala potraživanja za refundaciju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 xml:space="preserve">Potraživanja malo smanjena, odnose se na dio režijskih troškova zajedničkih trajnih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korištenja objekata s raznim korisnicima.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 xml:space="preserve">Red.br. 26.: </w:t>
      </w:r>
      <w:r w:rsidRPr="0031303E">
        <w:rPr>
          <w:rFonts w:ascii="Arial" w:hAnsi="Arial" w:cs="Arial"/>
          <w:color w:val="auto"/>
          <w:sz w:val="22"/>
          <w:szCs w:val="22"/>
        </w:rPr>
        <w:tab/>
      </w:r>
      <w:r w:rsidRPr="0031303E">
        <w:rPr>
          <w:rFonts w:ascii="Arial" w:hAnsi="Arial" w:cs="Arial"/>
          <w:i/>
          <w:iCs/>
          <w:color w:val="auto"/>
          <w:sz w:val="22"/>
          <w:szCs w:val="22"/>
        </w:rPr>
        <w:t>Potraživanja za vodovodne priključke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Potraživanja nepromijenjena, naplatni postupci u tijeku.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27.:</w:t>
      </w:r>
      <w:r w:rsidRPr="0031303E">
        <w:rPr>
          <w:rFonts w:ascii="Arial" w:hAnsi="Arial" w:cs="Arial"/>
          <w:color w:val="auto"/>
          <w:sz w:val="22"/>
          <w:szCs w:val="22"/>
        </w:rPr>
        <w:tab/>
      </w:r>
      <w:r w:rsidRPr="0031303E">
        <w:rPr>
          <w:rFonts w:ascii="Arial" w:hAnsi="Arial" w:cs="Arial"/>
          <w:i/>
          <w:iCs/>
          <w:color w:val="auto"/>
          <w:sz w:val="22"/>
          <w:szCs w:val="22"/>
        </w:rPr>
        <w:t>Potraživanja za dane višegodišnje koncesije –  HEP, Vodovod i sl.</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Dospjelog potraživanja nema, cjelokupno potraživanje nedospjelo.</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28.:</w:t>
      </w:r>
      <w:r w:rsidRPr="0031303E">
        <w:rPr>
          <w:rFonts w:ascii="Arial" w:hAnsi="Arial" w:cs="Arial"/>
          <w:color w:val="auto"/>
          <w:sz w:val="22"/>
          <w:szCs w:val="22"/>
        </w:rPr>
        <w:tab/>
      </w:r>
      <w:r w:rsidRPr="0031303E">
        <w:rPr>
          <w:rFonts w:ascii="Arial" w:hAnsi="Arial" w:cs="Arial"/>
          <w:i/>
          <w:iCs/>
          <w:color w:val="auto"/>
          <w:sz w:val="22"/>
          <w:szCs w:val="22"/>
        </w:rPr>
        <w:t>Potraživanja od zaposlenika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Nema potraživanja jer su u međuvremenu naplaćena.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29.:</w:t>
      </w:r>
      <w:r w:rsidRPr="0031303E">
        <w:rPr>
          <w:rFonts w:ascii="Arial" w:hAnsi="Arial" w:cs="Arial"/>
          <w:color w:val="auto"/>
          <w:sz w:val="22"/>
          <w:szCs w:val="22"/>
        </w:rPr>
        <w:tab/>
      </w:r>
      <w:r w:rsidRPr="0031303E">
        <w:rPr>
          <w:rFonts w:ascii="Arial" w:hAnsi="Arial" w:cs="Arial"/>
          <w:i/>
          <w:iCs/>
          <w:color w:val="auto"/>
          <w:sz w:val="22"/>
          <w:szCs w:val="22"/>
        </w:rPr>
        <w:t>Gradske pristojbe (autobusi Pile / Sanitat)</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povećano, a odnosi se na pristojbu za zadržavanje turističkih</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autobusa na Pilama koje u ime i za račun Grada ubire javno poduzeće Sanitat</w:t>
      </w:r>
    </w:p>
    <w:p w:rsidR="002A308D"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 xml:space="preserve">Dubrovnik. Veći dio potraživanja je u ovršnim postupcima, a jedan dio i u </w:t>
      </w:r>
      <w:r>
        <w:rPr>
          <w:rFonts w:ascii="Arial" w:hAnsi="Arial" w:cs="Arial"/>
          <w:color w:val="auto"/>
          <w:sz w:val="22"/>
          <w:szCs w:val="22"/>
        </w:rPr>
        <w:t>pokrenutim</w:t>
      </w:r>
    </w:p>
    <w:p w:rsidR="002A308D" w:rsidRDefault="002A308D" w:rsidP="002A308D">
      <w:pPr>
        <w:suppressAutoHyphens/>
        <w:overflowPunct w:val="0"/>
        <w:autoSpaceDE w:val="0"/>
        <w:textAlignment w:val="baseline"/>
        <w:rPr>
          <w:rFonts w:ascii="Arial" w:hAnsi="Arial" w:cs="Arial"/>
          <w:color w:val="auto"/>
          <w:sz w:val="22"/>
          <w:szCs w:val="22"/>
        </w:rPr>
      </w:pPr>
      <w:r>
        <w:rPr>
          <w:rFonts w:ascii="Arial" w:hAnsi="Arial" w:cs="Arial"/>
          <w:color w:val="auto"/>
          <w:sz w:val="22"/>
          <w:szCs w:val="22"/>
        </w:rPr>
        <w:t xml:space="preserve">            s</w:t>
      </w:r>
      <w:r w:rsidRPr="0031303E">
        <w:rPr>
          <w:rFonts w:ascii="Arial" w:hAnsi="Arial" w:cs="Arial"/>
          <w:color w:val="auto"/>
          <w:sz w:val="22"/>
          <w:szCs w:val="22"/>
        </w:rPr>
        <w:t>udskimpostupcima</w:t>
      </w:r>
      <w:r>
        <w:rPr>
          <w:rFonts w:ascii="Arial" w:hAnsi="Arial" w:cs="Arial"/>
          <w:color w:val="auto"/>
          <w:sz w:val="22"/>
          <w:szCs w:val="22"/>
        </w:rPr>
        <w:t>.</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30.:</w:t>
      </w:r>
      <w:r w:rsidRPr="0031303E">
        <w:rPr>
          <w:rFonts w:ascii="Arial" w:hAnsi="Arial" w:cs="Arial"/>
          <w:i/>
          <w:iCs/>
          <w:color w:val="auto"/>
          <w:sz w:val="22"/>
          <w:szCs w:val="22"/>
        </w:rPr>
        <w:tab/>
        <w:t xml:space="preserve">Ostali prihodi od nefinancijske imovine- refundacije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povećano a odnosi se na refundiranje režijskih troškova od korisnika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koji su određeno vrijeme (privremeno) koristili prostore Grada.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31.:</w:t>
      </w:r>
      <w:r w:rsidRPr="0031303E">
        <w:rPr>
          <w:rFonts w:ascii="Arial" w:hAnsi="Arial" w:cs="Arial"/>
          <w:i/>
          <w:iCs/>
          <w:color w:val="auto"/>
          <w:sz w:val="22"/>
          <w:szCs w:val="22"/>
        </w:rPr>
        <w:tab/>
        <w:t>Županijske i gradske pristojbe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povećano, od obveznika naknade za reklame i obveznika naknade za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odlagalište (putem Čistoće).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32.:</w:t>
      </w:r>
      <w:r w:rsidRPr="0031303E">
        <w:rPr>
          <w:rFonts w:ascii="Arial" w:hAnsi="Arial" w:cs="Arial"/>
          <w:i/>
          <w:iCs/>
          <w:color w:val="auto"/>
          <w:sz w:val="22"/>
          <w:szCs w:val="22"/>
        </w:rPr>
        <w:tab/>
        <w:t>Županijske i gradske naknade – taxi stajališta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Smanjena potraživanja, ovršni postupci i plaćanja u tijeku.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33.:</w:t>
      </w:r>
      <w:r w:rsidRPr="0031303E">
        <w:rPr>
          <w:rFonts w:ascii="Arial" w:hAnsi="Arial" w:cs="Arial"/>
          <w:i/>
          <w:iCs/>
          <w:color w:val="auto"/>
          <w:sz w:val="22"/>
          <w:szCs w:val="22"/>
        </w:rPr>
        <w:tab/>
        <w:t>Naknada za uređenje voda (prihod Hrvatskih voda), uz plać. kom. naknade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Potraživanje smanjeno, odnosi se na vodnu naknadu koja nije prihod Grada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Dubrovnika već ga naplaćujemo u ime i za račun Hrvatskih voda.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34.:</w:t>
      </w:r>
      <w:r w:rsidRPr="0031303E">
        <w:rPr>
          <w:rFonts w:ascii="Arial" w:hAnsi="Arial" w:cs="Arial"/>
          <w:i/>
          <w:iCs/>
          <w:color w:val="auto"/>
          <w:sz w:val="22"/>
          <w:szCs w:val="22"/>
        </w:rPr>
        <w:tab/>
        <w:t>Potraživanja za više plaćene doprinose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Minimalno potraživanje</w:t>
      </w:r>
      <w:r>
        <w:rPr>
          <w:rFonts w:ascii="Arial" w:hAnsi="Arial" w:cs="Arial"/>
          <w:color w:val="auto"/>
          <w:sz w:val="22"/>
          <w:szCs w:val="22"/>
        </w:rPr>
        <w:t>,</w:t>
      </w:r>
      <w:r w:rsidRPr="0031303E">
        <w:rPr>
          <w:rFonts w:ascii="Arial" w:hAnsi="Arial" w:cs="Arial"/>
          <w:color w:val="auto"/>
          <w:sz w:val="22"/>
          <w:szCs w:val="22"/>
        </w:rPr>
        <w:t xml:space="preserve"> u postupku rješavanja.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35.:</w:t>
      </w:r>
      <w:r w:rsidRPr="0031303E">
        <w:rPr>
          <w:rFonts w:ascii="Arial" w:hAnsi="Arial" w:cs="Arial"/>
          <w:i/>
          <w:iCs/>
          <w:color w:val="auto"/>
          <w:sz w:val="22"/>
          <w:szCs w:val="22"/>
        </w:rPr>
        <w:tab/>
        <w:t>Potraživanja za novčane kazne prometnog redarstva</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Povećano potraživanje službe prometnog redarstva Grada Dubrovnika koje je u</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posebnoj evidenciji i posebnim postupcima utvrđenja, naplate i prisilne naplate.</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37.:</w:t>
      </w:r>
      <w:r w:rsidRPr="0031303E">
        <w:rPr>
          <w:rFonts w:ascii="Arial" w:hAnsi="Arial" w:cs="Arial"/>
          <w:i/>
          <w:iCs/>
          <w:color w:val="auto"/>
          <w:sz w:val="22"/>
          <w:szCs w:val="22"/>
        </w:rPr>
        <w:tab/>
        <w:t>Potraživanja od proračunskih korisnika za povrat u proračun</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r>
      <w:r>
        <w:rPr>
          <w:rFonts w:ascii="Arial" w:hAnsi="Arial" w:cs="Arial"/>
          <w:color w:val="auto"/>
          <w:sz w:val="22"/>
          <w:szCs w:val="22"/>
        </w:rPr>
        <w:t xml:space="preserve">Ova </w:t>
      </w:r>
      <w:r w:rsidRPr="0031303E">
        <w:rPr>
          <w:rFonts w:ascii="Arial" w:hAnsi="Arial" w:cs="Arial"/>
          <w:color w:val="auto"/>
          <w:sz w:val="22"/>
          <w:szCs w:val="22"/>
        </w:rPr>
        <w:t>potraživanj</w:t>
      </w:r>
      <w:r>
        <w:rPr>
          <w:rFonts w:ascii="Arial" w:hAnsi="Arial" w:cs="Arial"/>
          <w:color w:val="auto"/>
          <w:sz w:val="22"/>
          <w:szCs w:val="22"/>
        </w:rPr>
        <w:t xml:space="preserve">a opravdaju se sa pravdanjima proračunskih korisnika koja iste dostavljaju u narednom mjesecu za prethodni mjesec.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Red.br. 38.:</w:t>
      </w:r>
      <w:r w:rsidRPr="0031303E">
        <w:rPr>
          <w:rFonts w:ascii="Arial" w:hAnsi="Arial" w:cs="Arial"/>
          <w:i/>
          <w:iCs/>
          <w:color w:val="auto"/>
          <w:sz w:val="22"/>
          <w:szCs w:val="22"/>
        </w:rPr>
        <w:tab/>
        <w:t xml:space="preserve">Potraživanja za EU projekte                                </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Novo potraživanje koje je privremeno obzirom da se isto ukloni odnosno</w:t>
      </w: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zatvori nakon podmirenja u predmetnom EU projektu.</w:t>
      </w:r>
    </w:p>
    <w:p w:rsidR="002A308D" w:rsidRPr="0031303E" w:rsidRDefault="002A308D" w:rsidP="002A308D">
      <w:pPr>
        <w:suppressAutoHyphens/>
        <w:overflowPunct w:val="0"/>
        <w:autoSpaceDE w:val="0"/>
        <w:textAlignment w:val="baseline"/>
        <w:rPr>
          <w:rFonts w:ascii="Arial" w:hAnsi="Arial" w:cs="Arial"/>
          <w:color w:val="auto"/>
          <w:sz w:val="22"/>
          <w:szCs w:val="22"/>
        </w:rPr>
      </w:pPr>
    </w:p>
    <w:p w:rsidR="002A308D" w:rsidRPr="0031303E" w:rsidRDefault="002A308D" w:rsidP="002A308D">
      <w:pPr>
        <w:suppressAutoHyphens/>
        <w:overflowPunct w:val="0"/>
        <w:autoSpaceDE w:val="0"/>
        <w:textAlignment w:val="baseline"/>
        <w:rPr>
          <w:rFonts w:ascii="Arial" w:hAnsi="Arial" w:cs="Arial"/>
          <w:color w:val="auto"/>
          <w:sz w:val="22"/>
          <w:szCs w:val="22"/>
        </w:rPr>
      </w:pPr>
    </w:p>
    <w:p w:rsidR="002A308D" w:rsidRPr="0031303E" w:rsidRDefault="002A308D" w:rsidP="002A308D">
      <w:pPr>
        <w:suppressAutoHyphens/>
        <w:overflowPunct w:val="0"/>
        <w:autoSpaceDE w:val="0"/>
        <w:textAlignment w:val="baseline"/>
        <w:rPr>
          <w:rFonts w:ascii="Arial" w:hAnsi="Arial" w:cs="Arial"/>
          <w:color w:val="auto"/>
          <w:sz w:val="22"/>
          <w:szCs w:val="22"/>
        </w:rPr>
      </w:pPr>
      <w:r w:rsidRPr="0031303E">
        <w:rPr>
          <w:rFonts w:ascii="Arial" w:hAnsi="Arial" w:cs="Arial"/>
          <w:color w:val="auto"/>
          <w:sz w:val="22"/>
          <w:szCs w:val="22"/>
        </w:rPr>
        <w:tab/>
        <w:t xml:space="preserve">Predmetna dospjela potraživanja Grada Dubrovnika su nenaplaćena iz </w:t>
      </w:r>
      <w:r>
        <w:rPr>
          <w:rFonts w:ascii="Arial" w:hAnsi="Arial" w:cs="Arial"/>
          <w:color w:val="auto"/>
          <w:sz w:val="22"/>
          <w:szCs w:val="22"/>
        </w:rPr>
        <w:t xml:space="preserve">više </w:t>
      </w:r>
      <w:r w:rsidRPr="0031303E">
        <w:rPr>
          <w:rFonts w:ascii="Arial" w:hAnsi="Arial" w:cs="Arial"/>
          <w:color w:val="auto"/>
          <w:sz w:val="22"/>
          <w:szCs w:val="22"/>
        </w:rPr>
        <w:t>razloga:</w:t>
      </w:r>
    </w:p>
    <w:p w:rsidR="002A308D" w:rsidRPr="0031303E" w:rsidRDefault="002A308D" w:rsidP="002A308D">
      <w:pPr>
        <w:suppressAutoHyphens/>
        <w:overflowPunct w:val="0"/>
        <w:autoSpaceDE w:val="0"/>
        <w:ind w:left="709"/>
        <w:textAlignment w:val="baseline"/>
        <w:rPr>
          <w:rFonts w:ascii="Arial" w:hAnsi="Arial" w:cs="Arial"/>
          <w:color w:val="auto"/>
          <w:sz w:val="22"/>
          <w:szCs w:val="22"/>
        </w:rPr>
      </w:pPr>
      <w:r w:rsidRPr="0031303E">
        <w:rPr>
          <w:rFonts w:ascii="Arial" w:hAnsi="Arial" w:cs="Arial"/>
          <w:color w:val="auto"/>
          <w:sz w:val="22"/>
          <w:szCs w:val="22"/>
        </w:rPr>
        <w:t>1. Nemogućnosti naplate potraživanja od najvećih (ovršenih) dužnika, deset velikih</w:t>
      </w:r>
    </w:p>
    <w:p w:rsidR="002A308D" w:rsidRPr="0031303E" w:rsidRDefault="002A308D" w:rsidP="002A308D">
      <w:pPr>
        <w:suppressAutoHyphens/>
        <w:overflowPunct w:val="0"/>
        <w:autoSpaceDE w:val="0"/>
        <w:ind w:left="720"/>
        <w:textAlignment w:val="baseline"/>
        <w:rPr>
          <w:rFonts w:ascii="Arial" w:hAnsi="Arial" w:cs="Arial"/>
          <w:color w:val="FF0000"/>
          <w:sz w:val="22"/>
          <w:szCs w:val="22"/>
        </w:rPr>
      </w:pPr>
      <w:r w:rsidRPr="0031303E">
        <w:rPr>
          <w:rFonts w:ascii="Arial" w:hAnsi="Arial" w:cs="Arial"/>
          <w:color w:val="auto"/>
          <w:sz w:val="22"/>
          <w:szCs w:val="22"/>
        </w:rPr>
        <w:t xml:space="preserve">    tvrtki duguju 25.186.471,93 kn;</w:t>
      </w:r>
    </w:p>
    <w:p w:rsidR="002A308D" w:rsidRPr="0031303E" w:rsidRDefault="002A308D" w:rsidP="002A308D">
      <w:pPr>
        <w:suppressAutoHyphens/>
        <w:overflowPunct w:val="0"/>
        <w:autoSpaceDE w:val="0"/>
        <w:ind w:left="705"/>
        <w:textAlignment w:val="baseline"/>
        <w:rPr>
          <w:rFonts w:ascii="Arial" w:hAnsi="Arial" w:cs="Arial"/>
          <w:color w:val="auto"/>
          <w:sz w:val="22"/>
          <w:szCs w:val="22"/>
        </w:rPr>
      </w:pPr>
      <w:r w:rsidRPr="0031303E">
        <w:rPr>
          <w:rFonts w:ascii="Arial" w:hAnsi="Arial" w:cs="Arial"/>
          <w:color w:val="auto"/>
          <w:sz w:val="22"/>
          <w:szCs w:val="22"/>
        </w:rPr>
        <w:t xml:space="preserve">2. Nemogućnosti naplate potraživanja u brojnim ovršnim postupcima </w:t>
      </w:r>
    </w:p>
    <w:p w:rsidR="002A308D" w:rsidRPr="0031303E" w:rsidRDefault="002A308D" w:rsidP="002A308D">
      <w:pPr>
        <w:suppressAutoHyphens/>
        <w:overflowPunct w:val="0"/>
        <w:autoSpaceDE w:val="0"/>
        <w:ind w:left="705"/>
        <w:textAlignment w:val="baseline"/>
        <w:rPr>
          <w:rFonts w:ascii="Arial" w:hAnsi="Arial" w:cs="Arial"/>
          <w:color w:val="auto"/>
          <w:sz w:val="22"/>
          <w:szCs w:val="22"/>
        </w:rPr>
      </w:pPr>
      <w:r w:rsidRPr="0031303E">
        <w:rPr>
          <w:rFonts w:ascii="Arial" w:hAnsi="Arial" w:cs="Arial"/>
          <w:color w:val="auto"/>
          <w:sz w:val="22"/>
          <w:szCs w:val="22"/>
        </w:rPr>
        <w:t xml:space="preserve">    (koji u </w:t>
      </w:r>
      <w:r>
        <w:rPr>
          <w:rFonts w:ascii="Arial" w:hAnsi="Arial" w:cs="Arial"/>
          <w:color w:val="auto"/>
          <w:sz w:val="22"/>
          <w:szCs w:val="22"/>
        </w:rPr>
        <w:t xml:space="preserve">nekim predmetima mogu </w:t>
      </w:r>
      <w:r w:rsidRPr="0031303E">
        <w:rPr>
          <w:rFonts w:ascii="Arial" w:hAnsi="Arial" w:cs="Arial"/>
          <w:color w:val="auto"/>
          <w:sz w:val="22"/>
          <w:szCs w:val="22"/>
        </w:rPr>
        <w:t>traj</w:t>
      </w:r>
      <w:r>
        <w:rPr>
          <w:rFonts w:ascii="Arial" w:hAnsi="Arial" w:cs="Arial"/>
          <w:color w:val="auto"/>
          <w:sz w:val="22"/>
          <w:szCs w:val="22"/>
        </w:rPr>
        <w:t>ati</w:t>
      </w:r>
      <w:r w:rsidRPr="0031303E">
        <w:rPr>
          <w:rFonts w:ascii="Arial" w:hAnsi="Arial" w:cs="Arial"/>
          <w:color w:val="auto"/>
          <w:sz w:val="22"/>
          <w:szCs w:val="22"/>
        </w:rPr>
        <w:t xml:space="preserve"> i do 10 godina);</w:t>
      </w:r>
    </w:p>
    <w:p w:rsidR="002A308D" w:rsidRPr="0031303E" w:rsidRDefault="002A308D" w:rsidP="002A308D">
      <w:pPr>
        <w:suppressAutoHyphens/>
        <w:overflowPunct w:val="0"/>
        <w:autoSpaceDE w:val="0"/>
        <w:ind w:firstLine="709"/>
        <w:textAlignment w:val="baseline"/>
        <w:rPr>
          <w:rFonts w:ascii="Arial" w:hAnsi="Arial" w:cs="Arial"/>
          <w:color w:val="auto"/>
          <w:sz w:val="22"/>
          <w:szCs w:val="22"/>
        </w:rPr>
      </w:pPr>
      <w:r w:rsidRPr="0031303E">
        <w:rPr>
          <w:rFonts w:ascii="Arial" w:hAnsi="Arial" w:cs="Arial"/>
          <w:color w:val="auto"/>
          <w:sz w:val="22"/>
          <w:szCs w:val="22"/>
        </w:rPr>
        <w:t>3. Vođenja cca 25-3</w:t>
      </w:r>
      <w:r>
        <w:rPr>
          <w:rFonts w:ascii="Arial" w:hAnsi="Arial" w:cs="Arial"/>
          <w:color w:val="auto"/>
          <w:sz w:val="22"/>
          <w:szCs w:val="22"/>
        </w:rPr>
        <w:t>0</w:t>
      </w:r>
      <w:r w:rsidRPr="0031303E">
        <w:rPr>
          <w:rFonts w:ascii="Arial" w:hAnsi="Arial" w:cs="Arial"/>
          <w:color w:val="auto"/>
          <w:sz w:val="22"/>
          <w:szCs w:val="22"/>
        </w:rPr>
        <w:t xml:space="preserve">% </w:t>
      </w:r>
      <w:r>
        <w:rPr>
          <w:rFonts w:ascii="Arial" w:hAnsi="Arial" w:cs="Arial"/>
          <w:color w:val="auto"/>
          <w:sz w:val="22"/>
          <w:szCs w:val="22"/>
        </w:rPr>
        <w:t xml:space="preserve">teško </w:t>
      </w:r>
      <w:r w:rsidRPr="0031303E">
        <w:rPr>
          <w:rFonts w:ascii="Arial" w:hAnsi="Arial" w:cs="Arial"/>
          <w:color w:val="auto"/>
          <w:sz w:val="22"/>
          <w:szCs w:val="22"/>
        </w:rPr>
        <w:t>nenaplativih (i spornih) potraživanja Grada;</w:t>
      </w:r>
    </w:p>
    <w:p w:rsidR="002A308D" w:rsidRPr="0031303E" w:rsidRDefault="002A308D" w:rsidP="002A308D">
      <w:pPr>
        <w:suppressAutoHyphens/>
        <w:overflowPunct w:val="0"/>
        <w:autoSpaceDE w:val="0"/>
        <w:ind w:firstLine="709"/>
        <w:textAlignment w:val="baseline"/>
        <w:rPr>
          <w:rFonts w:ascii="Arial" w:hAnsi="Arial" w:cs="Arial"/>
          <w:color w:val="auto"/>
          <w:sz w:val="22"/>
          <w:szCs w:val="22"/>
        </w:rPr>
      </w:pPr>
      <w:r w:rsidRPr="0031303E">
        <w:rPr>
          <w:rFonts w:ascii="Arial" w:hAnsi="Arial" w:cs="Arial"/>
          <w:color w:val="auto"/>
          <w:sz w:val="22"/>
          <w:szCs w:val="22"/>
        </w:rPr>
        <w:t>4. Teže gospodarske i financijske situacije dijela pravnih i fizičkih osoba;</w:t>
      </w:r>
    </w:p>
    <w:p w:rsidR="002A308D" w:rsidRPr="0031303E" w:rsidRDefault="002A308D" w:rsidP="002A308D">
      <w:pPr>
        <w:suppressAutoHyphens/>
        <w:overflowPunct w:val="0"/>
        <w:autoSpaceDE w:val="0"/>
        <w:ind w:firstLine="709"/>
        <w:textAlignment w:val="baseline"/>
        <w:rPr>
          <w:rFonts w:ascii="Arial" w:hAnsi="Arial" w:cs="Arial"/>
          <w:color w:val="auto"/>
          <w:sz w:val="22"/>
          <w:szCs w:val="22"/>
        </w:rPr>
      </w:pPr>
      <w:r w:rsidRPr="0031303E">
        <w:rPr>
          <w:rFonts w:ascii="Arial" w:hAnsi="Arial" w:cs="Arial"/>
          <w:color w:val="auto"/>
          <w:sz w:val="22"/>
          <w:szCs w:val="22"/>
        </w:rPr>
        <w:t>5. Teže naplate (</w:t>
      </w:r>
      <w:r>
        <w:rPr>
          <w:rFonts w:ascii="Arial" w:hAnsi="Arial" w:cs="Arial"/>
          <w:color w:val="auto"/>
          <w:sz w:val="22"/>
          <w:szCs w:val="22"/>
        </w:rPr>
        <w:t xml:space="preserve">nekih </w:t>
      </w:r>
      <w:r w:rsidRPr="0031303E">
        <w:rPr>
          <w:rFonts w:ascii="Arial" w:hAnsi="Arial" w:cs="Arial"/>
          <w:color w:val="auto"/>
          <w:sz w:val="22"/>
          <w:szCs w:val="22"/>
        </w:rPr>
        <w:t>novih) gradskih naknada i pristojbi.</w:t>
      </w:r>
    </w:p>
    <w:p w:rsidR="002A308D" w:rsidRPr="0031303E" w:rsidRDefault="002A308D" w:rsidP="002A308D">
      <w:pPr>
        <w:suppressAutoHyphens/>
        <w:overflowPunct w:val="0"/>
        <w:autoSpaceDE w:val="0"/>
        <w:ind w:firstLine="709"/>
        <w:textAlignment w:val="baseline"/>
        <w:rPr>
          <w:rFonts w:ascii="Arial" w:hAnsi="Arial" w:cs="Arial"/>
          <w:color w:val="auto"/>
          <w:sz w:val="22"/>
          <w:szCs w:val="22"/>
        </w:rPr>
      </w:pP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lastRenderedPageBreak/>
        <w:tab/>
        <w:t xml:space="preserve">Podaci o poduzetim mjerama za naplatu dospjelih potraživanja prikazani su u </w:t>
      </w:r>
      <w:r w:rsidRPr="0031303E">
        <w:rPr>
          <w:rFonts w:ascii="Arial" w:hAnsi="Arial" w:cs="Arial"/>
          <w:i/>
          <w:iCs/>
          <w:color w:val="auto"/>
          <w:sz w:val="22"/>
          <w:szCs w:val="22"/>
        </w:rPr>
        <w:t>TabliciPotraživanja B</w:t>
      </w:r>
      <w:r w:rsidRPr="0031303E">
        <w:rPr>
          <w:rFonts w:ascii="Arial" w:hAnsi="Arial" w:cs="Arial"/>
          <w:color w:val="auto"/>
          <w:sz w:val="22"/>
          <w:szCs w:val="22"/>
        </w:rPr>
        <w:t xml:space="preserve"> iz koje je vidljivo da su nadležne gradske službe uputile 4.117 opomena za 7.849.654,20 kn potraživanja</w:t>
      </w:r>
      <w:r>
        <w:rPr>
          <w:rFonts w:ascii="Arial" w:hAnsi="Arial" w:cs="Arial"/>
          <w:color w:val="auto"/>
          <w:sz w:val="22"/>
          <w:szCs w:val="22"/>
        </w:rPr>
        <w:t>,</w:t>
      </w:r>
      <w:r w:rsidRPr="0031303E">
        <w:rPr>
          <w:rFonts w:ascii="Arial" w:hAnsi="Arial" w:cs="Arial"/>
          <w:color w:val="auto"/>
          <w:sz w:val="22"/>
          <w:szCs w:val="22"/>
        </w:rPr>
        <w:t xml:space="preserve"> te da je na </w:t>
      </w:r>
      <w:r>
        <w:rPr>
          <w:rFonts w:ascii="Arial" w:hAnsi="Arial" w:cs="Arial"/>
          <w:color w:val="auto"/>
          <w:sz w:val="22"/>
          <w:szCs w:val="22"/>
        </w:rPr>
        <w:t xml:space="preserve">dan </w:t>
      </w:r>
      <w:r w:rsidRPr="0031303E">
        <w:rPr>
          <w:rFonts w:ascii="Arial" w:hAnsi="Arial" w:cs="Arial"/>
          <w:color w:val="auto"/>
          <w:sz w:val="22"/>
          <w:szCs w:val="22"/>
        </w:rPr>
        <w:t>30. lipnja 2019.g. aktivno 2.018 postupaka (ovrha, tužbi, predstečajnih i stečajnih prijava i dr.) radi zakonske (prisilne) naplate 22.663.511,51 kn dospjelih gradskih potraživanja glavnica i kamata.</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Analiza stanja dospjelih potraživanja pokazuje dobru naplatu javnih i ugovornih davanja, s iznimkom zakupnina javnih površina koje su manje naplaćene radi sezonskog karaktera poslovanja i jednokratnog zaduženja tj. ugovaranja u svibnju i lipnju za sve mjesece od početka 2019.g., koje plaćanje se najčešće izvršava do kraja turističke sezone.</w:t>
      </w:r>
    </w:p>
    <w:p w:rsidR="002A308D" w:rsidRPr="0031303E" w:rsidRDefault="002A308D" w:rsidP="002A308D">
      <w:pPr>
        <w:suppressAutoHyphens/>
        <w:overflowPunct w:val="0"/>
        <w:autoSpaceDE w:val="0"/>
        <w:ind w:firstLine="720"/>
        <w:jc w:val="both"/>
        <w:textAlignment w:val="baseline"/>
        <w:rPr>
          <w:rFonts w:ascii="Arial" w:hAnsi="Arial" w:cs="Arial"/>
          <w:color w:val="auto"/>
          <w:sz w:val="22"/>
          <w:szCs w:val="22"/>
        </w:rPr>
      </w:pPr>
      <w:r w:rsidRPr="0031303E">
        <w:rPr>
          <w:rFonts w:ascii="Arial" w:hAnsi="Arial" w:cs="Arial"/>
          <w:color w:val="auto"/>
          <w:sz w:val="22"/>
          <w:szCs w:val="22"/>
        </w:rPr>
        <w:t>Lošija je naplata novih gradskih prihoda / pristojbi:</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pristojbe za zaustavljanje i parkiranje vozila u posebnoj prometnoj zoni (na Pilama) koje</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xml:space="preserve">  potraživanje se stalno povećava; veći dio tih potraživanja je u ovršnim postupcima, a jedan</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xml:space="preserve">  dio i u sudskim postupcima radi pokrenutih tužbi oko utvrđivanja valjanosti pravne osnove</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xml:space="preserve">  njihove naplate; </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novčanih kazni prometnog redarstva, koje potraživanje je povećano, dijelom zbog</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xml:space="preserve">  većeg broja utvrđenih prekršajnih kazni, a dijelom zbog sporosti i </w:t>
      </w:r>
      <w:r>
        <w:rPr>
          <w:rFonts w:ascii="Arial" w:hAnsi="Arial" w:cs="Arial"/>
          <w:color w:val="auto"/>
          <w:sz w:val="22"/>
          <w:szCs w:val="22"/>
        </w:rPr>
        <w:t xml:space="preserve">lošije </w:t>
      </w:r>
      <w:r w:rsidRPr="0031303E">
        <w:rPr>
          <w:rFonts w:ascii="Arial" w:hAnsi="Arial" w:cs="Arial"/>
          <w:color w:val="auto"/>
          <w:sz w:val="22"/>
          <w:szCs w:val="22"/>
        </w:rPr>
        <w:t>naplate tih</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xml:space="preserve">  kazni u odgovarajućim postupcima pred nadležnim Prekršajnim sudovima; obzirom da</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xml:space="preserve">  postupak prisilne naplate nije u nadležnosti Grada Dubrovnika, ne možemo utjecati na</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 xml:space="preserve">  poboljšanje naplativosti.</w:t>
      </w:r>
    </w:p>
    <w:p w:rsidR="002A308D" w:rsidRPr="0031303E" w:rsidRDefault="002A308D" w:rsidP="002A308D">
      <w:pPr>
        <w:suppressAutoHyphens/>
        <w:overflowPunct w:val="0"/>
        <w:autoSpaceDE w:val="0"/>
        <w:ind w:firstLine="720"/>
        <w:jc w:val="both"/>
        <w:textAlignment w:val="baseline"/>
        <w:rPr>
          <w:rFonts w:ascii="Arial" w:hAnsi="Arial" w:cs="Arial"/>
          <w:color w:val="auto"/>
          <w:sz w:val="22"/>
          <w:szCs w:val="22"/>
          <w:lang w:eastAsia="ar-SA"/>
        </w:rPr>
      </w:pPr>
      <w:r w:rsidRPr="0031303E">
        <w:rPr>
          <w:rFonts w:ascii="Arial" w:hAnsi="Arial" w:cs="Arial"/>
          <w:color w:val="auto"/>
          <w:sz w:val="22"/>
          <w:szCs w:val="22"/>
          <w:lang w:eastAsia="ar-SA"/>
        </w:rPr>
        <w:t>Znatnije povećano potraživanje od Društva prijatelja dubrovačke starine privremenog je karaktera utvrđeno na izvještajni dan (30. lipnja 2019.) jer je Društvo svoj dug prema Gradu u cijelosti podmirilo 8. srpnja 2019.g.</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 xml:space="preserve">Dio potraživanja je nemoguće naplatiti i zbog toga što neki dužnici svoje financijsko poslovanje obavljaju protivno zakonskim propisima tj. ne posluju preko svojih žiro računa. U takvim slučajevima je nemoguća prisilna naplata na financijskim sredstvima. </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Dio dospjelih potraživanja je nenaplativ (radi nemogućnosti dostave pismena, mogućeg gubitka sudskog spora, nemogućnosti naplate po ovrhama, skraćenog ili dugotrajnog stečajnog postupka, eventualnog otpisa po predstečajnim nagodbama, itd.)</w:t>
      </w:r>
      <w:r>
        <w:rPr>
          <w:rFonts w:ascii="Arial" w:hAnsi="Arial" w:cs="Arial"/>
          <w:color w:val="auto"/>
          <w:sz w:val="22"/>
          <w:szCs w:val="22"/>
        </w:rPr>
        <w:t>,</w:t>
      </w:r>
      <w:r w:rsidRPr="0031303E">
        <w:rPr>
          <w:rFonts w:ascii="Arial" w:hAnsi="Arial" w:cs="Arial"/>
          <w:color w:val="auto"/>
          <w:sz w:val="22"/>
          <w:szCs w:val="22"/>
        </w:rPr>
        <w:t xml:space="preserve"> a ima i dijela koji je usprkos svim pokrenutim mjerama prisilne naplate i zastario.</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Osim na financijskim sredstvima, Grad Dubrovnik provodi postupke prisilne naplate na nekretninama i vrijednosnim papirima (dionicama) dužnika</w:t>
      </w:r>
      <w:r>
        <w:rPr>
          <w:rFonts w:ascii="Arial" w:hAnsi="Arial" w:cs="Arial"/>
          <w:color w:val="auto"/>
          <w:sz w:val="22"/>
          <w:szCs w:val="22"/>
        </w:rPr>
        <w:t>,</w:t>
      </w:r>
      <w:r w:rsidRPr="0031303E">
        <w:rPr>
          <w:rFonts w:ascii="Arial" w:hAnsi="Arial" w:cs="Arial"/>
          <w:color w:val="auto"/>
          <w:sz w:val="22"/>
          <w:szCs w:val="22"/>
        </w:rPr>
        <w:t xml:space="preserve"> odnosno na cjelokupnoj imovini ovršenika. </w:t>
      </w:r>
    </w:p>
    <w:p w:rsidR="002A308D" w:rsidRPr="0031303E"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t xml:space="preserve">Od kraja 2013.g. ponovno je zakonski moguće evidentirati sporno naplativa dugovanja obveznika. Stoga je Grad Dubrovnik pristupio izradi odgovarajućeg informacijskog programa koji je omogućio unos dijela spornih potraživanja Grada. Tako smo, temeljem određenja Općeg poreznog zakona da se svako nenaplaćeno potraživanje starije od 5 godina može proglasiti sporno naplativim, zasad evidentirali </w:t>
      </w:r>
      <w:r w:rsidRPr="0031303E">
        <w:rPr>
          <w:rFonts w:ascii="Arial" w:eastAsia="Arial" w:hAnsi="Arial" w:cs="Arial"/>
          <w:color w:val="auto"/>
          <w:sz w:val="22"/>
          <w:szCs w:val="22"/>
        </w:rPr>
        <w:t xml:space="preserve">1.064.122,85 </w:t>
      </w:r>
      <w:r w:rsidRPr="0031303E">
        <w:rPr>
          <w:rFonts w:ascii="Arial" w:hAnsi="Arial" w:cs="Arial"/>
          <w:color w:val="auto"/>
          <w:sz w:val="22"/>
          <w:szCs w:val="22"/>
        </w:rPr>
        <w:t>kn spornih potraživanja.</w:t>
      </w:r>
    </w:p>
    <w:p w:rsidR="002A308D" w:rsidRPr="005026C9"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hAnsi="Arial" w:cs="Arial"/>
          <w:color w:val="auto"/>
          <w:sz w:val="22"/>
          <w:szCs w:val="22"/>
        </w:rPr>
        <w:tab/>
      </w:r>
      <w:r w:rsidRPr="005026C9">
        <w:rPr>
          <w:rFonts w:ascii="Arial" w:hAnsi="Arial" w:cs="Arial"/>
          <w:color w:val="auto"/>
          <w:sz w:val="22"/>
          <w:szCs w:val="22"/>
        </w:rPr>
        <w:t xml:space="preserve">Proteklih godina se institut spornih potraživanja nije pokazao dovoljno efikasan i operativan, pa je novim odredbama Općeg poreznog zakona uveden institut zastare i otpisa potraživanja po službenoj dužnosti poreznog tijela. Tako je Grad Dubrovnik, kao porezno tijelo za javna davanja u svojoj nadležnosti, u zakonskoj obvezi službeno utvrditi zastaru nenaplaćenih potraživanja starijih od 6 godina. </w:t>
      </w:r>
    </w:p>
    <w:p w:rsidR="002A308D" w:rsidRPr="0031303E" w:rsidRDefault="002A308D" w:rsidP="002A308D">
      <w:pPr>
        <w:suppressAutoHyphens/>
        <w:overflowPunct w:val="0"/>
        <w:autoSpaceDE w:val="0"/>
        <w:ind w:firstLine="720"/>
        <w:jc w:val="both"/>
        <w:textAlignment w:val="baseline"/>
        <w:rPr>
          <w:rFonts w:ascii="Arial" w:hAnsi="Arial" w:cs="Arial"/>
          <w:color w:val="auto"/>
          <w:sz w:val="22"/>
          <w:szCs w:val="22"/>
        </w:rPr>
      </w:pPr>
      <w:r w:rsidRPr="0031303E">
        <w:rPr>
          <w:rFonts w:ascii="Arial" w:hAnsi="Arial" w:cs="Arial"/>
          <w:color w:val="auto"/>
          <w:sz w:val="22"/>
          <w:szCs w:val="22"/>
        </w:rPr>
        <w:t>Redovno se prate pravna i financijska kretanja u Republici Hrvatskoj, posebno postupci predstečajnih nagodbi i stečajeva obveznika gdje prijavljujemo cjelokupna potraživanja Grada, sudjelujemo u raspravama, te provodimo rješenja Trgovačkih sudova.</w:t>
      </w:r>
    </w:p>
    <w:p w:rsidR="002A308D" w:rsidRDefault="002A308D" w:rsidP="002A308D">
      <w:pPr>
        <w:suppressAutoHyphens/>
        <w:overflowPunct w:val="0"/>
        <w:autoSpaceDE w:val="0"/>
        <w:jc w:val="both"/>
        <w:textAlignment w:val="baseline"/>
        <w:rPr>
          <w:rFonts w:ascii="Arial" w:eastAsia="Arial" w:hAnsi="Arial" w:cs="Arial"/>
          <w:color w:val="auto"/>
          <w:sz w:val="22"/>
          <w:szCs w:val="22"/>
        </w:rPr>
      </w:pPr>
      <w:r w:rsidRPr="0031303E">
        <w:rPr>
          <w:rFonts w:ascii="Arial" w:hAnsi="Arial" w:cs="Arial"/>
          <w:color w:val="auto"/>
          <w:sz w:val="22"/>
          <w:szCs w:val="22"/>
        </w:rPr>
        <w:tab/>
        <w:t xml:space="preserve">Grad Dubrovnik je, u postupku izvanredne uprave koncerna Agrokor d.d., na ime potraživanja prema 9 tvrtki koncerna ukupno prijavio 7.253.040,66 kn od čega se najveći dio odnosi na neplaćenu </w:t>
      </w:r>
      <w:r w:rsidRPr="0031303E">
        <w:rPr>
          <w:rFonts w:ascii="Arial" w:eastAsia="Arial" w:hAnsi="Arial" w:cs="Arial"/>
          <w:color w:val="auto"/>
          <w:sz w:val="22"/>
          <w:szCs w:val="22"/>
        </w:rPr>
        <w:t xml:space="preserve">pristojbu za zaustavljanje i parkiranje turističkih autobusa u zoni posebnog prometnog režima (Pile) tvrtki Atlas d.d. i Gulliver travel d.d. Upravo  potraživanja prema ovim dvjema tvrtkama nisu priznata i to u iznosu od 5.617.525,34 kn za što smo u zakonskom roku početkom 2018.g. izjavili žalbu Visokom Trgovačkom sudu Republike Hrvatske koja je odbijena odgovarajućim rješenjem pa su pokrenuti zakonom predviđeni sudski postupci.Porez na promet nekretnina (bio 4%, a od 1.1.2019. iznosi 3%) od početka 2017.g. je u cijelosti prihod jedinica lokalne samouprave pa je stoga evidentirano uplata po ovoj vrsti prihoda u 2019.g. u ukupnom iznosu od 12.599.160,46 kn. </w:t>
      </w:r>
    </w:p>
    <w:p w:rsidR="002A308D" w:rsidRPr="00523BCA" w:rsidRDefault="002A308D" w:rsidP="002A308D">
      <w:pPr>
        <w:suppressAutoHyphens/>
        <w:overflowPunct w:val="0"/>
        <w:autoSpaceDE w:val="0"/>
        <w:jc w:val="both"/>
        <w:textAlignment w:val="baseline"/>
        <w:rPr>
          <w:rFonts w:ascii="Arial" w:hAnsi="Arial" w:cs="Arial"/>
          <w:color w:val="auto"/>
          <w:sz w:val="22"/>
          <w:szCs w:val="22"/>
        </w:rPr>
      </w:pPr>
      <w:r w:rsidRPr="0031303E">
        <w:rPr>
          <w:rFonts w:ascii="Arial" w:eastAsia="Arial" w:hAnsi="Arial" w:cs="Arial"/>
          <w:color w:val="auto"/>
          <w:sz w:val="22"/>
          <w:szCs w:val="22"/>
        </w:rPr>
        <w:lastRenderedPageBreak/>
        <w:t>Kako jedinice lokalne samouprave u RH još uvijek nemaju podatke o zaduženjima za ovaj porez jer zaduženja, temeljem izdanih rješenja vodi Porezna uprava RH, podaci o dužnicima, te eventualno pokrenutim postupcima prisilne naplate nam nisu dostupni, odnosno preneseni.</w:t>
      </w:r>
    </w:p>
    <w:p w:rsidR="0076030C" w:rsidRPr="00713AF3" w:rsidRDefault="0076030C" w:rsidP="0076030C">
      <w:pPr>
        <w:jc w:val="both"/>
        <w:rPr>
          <w:rFonts w:ascii="Arial" w:hAnsi="Arial" w:cs="Arial"/>
          <w:sz w:val="22"/>
          <w:szCs w:val="22"/>
        </w:rPr>
      </w:pPr>
    </w:p>
    <w:p w:rsidR="0076030C" w:rsidRDefault="0076030C" w:rsidP="0076030C">
      <w:pPr>
        <w:jc w:val="both"/>
        <w:rPr>
          <w:rFonts w:ascii="Arial" w:hAnsi="Arial" w:cs="Arial"/>
          <w:sz w:val="22"/>
          <w:szCs w:val="22"/>
        </w:rPr>
      </w:pPr>
    </w:p>
    <w:p w:rsidR="0076030C" w:rsidRDefault="0076030C" w:rsidP="0076030C">
      <w:pPr>
        <w:jc w:val="both"/>
        <w:rPr>
          <w:rFonts w:ascii="Arial" w:hAnsi="Arial" w:cs="Arial"/>
          <w:sz w:val="22"/>
          <w:szCs w:val="22"/>
        </w:rPr>
      </w:pPr>
    </w:p>
    <w:p w:rsidR="0076030C" w:rsidRDefault="0076030C" w:rsidP="0076030C">
      <w:pPr>
        <w:jc w:val="both"/>
        <w:rPr>
          <w:rFonts w:ascii="Arial" w:hAnsi="Arial" w:cs="Arial"/>
          <w:sz w:val="22"/>
          <w:szCs w:val="22"/>
        </w:rPr>
      </w:pPr>
    </w:p>
    <w:p w:rsidR="0076030C" w:rsidRDefault="00425C9B" w:rsidP="0076030C">
      <w:pPr>
        <w:jc w:val="both"/>
        <w:rPr>
          <w:rFonts w:ascii="Arial" w:hAnsi="Arial" w:cs="Arial"/>
          <w:sz w:val="22"/>
          <w:szCs w:val="22"/>
        </w:rPr>
      </w:pPr>
      <w:r w:rsidRPr="009F3C18">
        <w:rPr>
          <w:rFonts w:ascii="Arial" w:hAnsi="Arial" w:cs="Arial"/>
          <w:sz w:val="22"/>
          <w:szCs w:val="22"/>
          <w:lang w:val="en-US"/>
        </w:rPr>
        <w:object w:dxaOrig="9236" w:dyaOrig="12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44.25pt" o:ole="">
            <v:imagedata r:id="rId9" o:title=""/>
          </v:shape>
          <o:OLEObject Type="Embed" ProgID="Excel.Sheet.12" ShapeID="_x0000_i1025" DrawAspect="Content" ObjectID="_1629268637" r:id="rId10"/>
        </w:object>
      </w:r>
    </w:p>
    <w:p w:rsidR="0076030C" w:rsidRDefault="0076030C" w:rsidP="0076030C">
      <w:pPr>
        <w:jc w:val="both"/>
        <w:rPr>
          <w:rFonts w:ascii="Arial" w:hAnsi="Arial" w:cs="Arial"/>
          <w:sz w:val="22"/>
          <w:szCs w:val="22"/>
        </w:rPr>
      </w:pPr>
    </w:p>
    <w:p w:rsidR="00FF4575" w:rsidRDefault="00FF4575" w:rsidP="0076030C">
      <w:pPr>
        <w:jc w:val="both"/>
        <w:rPr>
          <w:rFonts w:ascii="Arial" w:hAnsi="Arial" w:cs="Arial"/>
          <w:noProof/>
          <w:sz w:val="22"/>
          <w:szCs w:val="22"/>
        </w:rPr>
      </w:pPr>
    </w:p>
    <w:p w:rsidR="00FF4575" w:rsidRDefault="00FF4575" w:rsidP="0076030C">
      <w:pPr>
        <w:jc w:val="both"/>
        <w:rPr>
          <w:rFonts w:ascii="Arial" w:hAnsi="Arial" w:cs="Arial"/>
          <w:noProof/>
          <w:sz w:val="22"/>
          <w:szCs w:val="22"/>
        </w:rPr>
      </w:pPr>
    </w:p>
    <w:p w:rsidR="00FF4575" w:rsidRDefault="00FF4575" w:rsidP="0076030C">
      <w:pPr>
        <w:jc w:val="both"/>
        <w:rPr>
          <w:rFonts w:ascii="Arial" w:hAnsi="Arial" w:cs="Arial"/>
          <w:noProof/>
          <w:sz w:val="22"/>
          <w:szCs w:val="22"/>
        </w:rPr>
      </w:pPr>
    </w:p>
    <w:p w:rsidR="00FF4575" w:rsidRDefault="00FF4575" w:rsidP="0076030C">
      <w:pPr>
        <w:jc w:val="both"/>
        <w:rPr>
          <w:rFonts w:ascii="Arial" w:hAnsi="Arial" w:cs="Arial"/>
          <w:noProof/>
          <w:sz w:val="22"/>
          <w:szCs w:val="22"/>
        </w:rPr>
      </w:pPr>
    </w:p>
    <w:p w:rsidR="009F3C18" w:rsidRDefault="009F3C18" w:rsidP="0076030C">
      <w:pPr>
        <w:jc w:val="both"/>
        <w:rPr>
          <w:rFonts w:ascii="Arial" w:hAnsi="Arial" w:cs="Arial"/>
          <w:noProof/>
          <w:sz w:val="22"/>
          <w:szCs w:val="22"/>
        </w:rPr>
      </w:pPr>
    </w:p>
    <w:p w:rsidR="00FF4575" w:rsidRPr="00EA2FED" w:rsidRDefault="00FF4575" w:rsidP="0076030C">
      <w:pPr>
        <w:jc w:val="both"/>
        <w:rPr>
          <w:rFonts w:ascii="Arial" w:hAnsi="Arial" w:cs="Arial"/>
          <w:b/>
          <w:bCs/>
          <w:noProof/>
          <w:sz w:val="22"/>
          <w:szCs w:val="22"/>
        </w:rPr>
      </w:pPr>
      <w:r w:rsidRPr="00EA2FED">
        <w:rPr>
          <w:rFonts w:ascii="Arial" w:hAnsi="Arial" w:cs="Arial"/>
          <w:b/>
          <w:bCs/>
          <w:noProof/>
          <w:sz w:val="22"/>
          <w:szCs w:val="22"/>
        </w:rPr>
        <w:t xml:space="preserve">Tablica </w:t>
      </w:r>
      <w:r w:rsidR="00CA0F13" w:rsidRPr="00EA2FED">
        <w:rPr>
          <w:rFonts w:ascii="Arial" w:hAnsi="Arial" w:cs="Arial"/>
          <w:b/>
          <w:bCs/>
          <w:noProof/>
          <w:sz w:val="22"/>
          <w:szCs w:val="22"/>
        </w:rPr>
        <w:t>A</w:t>
      </w:r>
    </w:p>
    <w:p w:rsidR="00CA0F13" w:rsidRDefault="00CA0F13" w:rsidP="0076030C">
      <w:pPr>
        <w:jc w:val="both"/>
        <w:rPr>
          <w:rFonts w:ascii="Arial" w:hAnsi="Arial" w:cs="Arial"/>
          <w:noProof/>
          <w:sz w:val="22"/>
          <w:szCs w:val="22"/>
        </w:rPr>
      </w:pPr>
    </w:p>
    <w:p w:rsidR="00CA0F13" w:rsidRDefault="00CA0F13" w:rsidP="0076030C">
      <w:pPr>
        <w:jc w:val="both"/>
        <w:rPr>
          <w:rFonts w:ascii="Arial" w:hAnsi="Arial" w:cs="Arial"/>
          <w:noProof/>
          <w:sz w:val="22"/>
          <w:szCs w:val="22"/>
        </w:rPr>
      </w:pPr>
    </w:p>
    <w:p w:rsidR="00CA0F13" w:rsidRDefault="00CA0F13" w:rsidP="0076030C">
      <w:pPr>
        <w:jc w:val="both"/>
        <w:rPr>
          <w:rFonts w:ascii="Arial" w:hAnsi="Arial" w:cs="Arial"/>
          <w:noProof/>
          <w:sz w:val="22"/>
          <w:szCs w:val="22"/>
        </w:rPr>
      </w:pPr>
      <w:r>
        <w:rPr>
          <w:noProof/>
        </w:rPr>
        <w:drawing>
          <wp:inline distT="0" distB="0" distL="0" distR="0">
            <wp:extent cx="6619875" cy="5991225"/>
            <wp:effectExtent l="0" t="0" r="9525" b="9525"/>
            <wp:docPr id="6" name="Picture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B48E433-4136-41CC-BBB1-DCA46C73B7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B48E433-4136-41CC-BBB1-DCA46C73B768}"/>
                        </a:ext>
                      </a:extLst>
                    </pic:cNvPr>
                    <pic:cNvPicPr>
                      <a:picLocks noChangeAspect="1"/>
                    </pic:cNvPicPr>
                  </pic:nvPicPr>
                  <pic:blipFill>
                    <a:blip r:embed="rId11"/>
                    <a:stretch>
                      <a:fillRect/>
                    </a:stretch>
                  </pic:blipFill>
                  <pic:spPr>
                    <a:xfrm>
                      <a:off x="0" y="0"/>
                      <a:ext cx="6619875" cy="5991225"/>
                    </a:xfrm>
                    <a:prstGeom prst="rect">
                      <a:avLst/>
                    </a:prstGeom>
                  </pic:spPr>
                </pic:pic>
              </a:graphicData>
            </a:graphic>
          </wp:inline>
        </w:drawing>
      </w:r>
    </w:p>
    <w:p w:rsidR="00FF4575" w:rsidRDefault="00FF4575" w:rsidP="0076030C">
      <w:pPr>
        <w:jc w:val="both"/>
        <w:rPr>
          <w:rFonts w:ascii="Arial" w:hAnsi="Arial" w:cs="Arial"/>
          <w:noProof/>
          <w:sz w:val="22"/>
          <w:szCs w:val="22"/>
        </w:rPr>
      </w:pPr>
    </w:p>
    <w:p w:rsidR="0076030C" w:rsidRDefault="0076030C" w:rsidP="0076030C">
      <w:pPr>
        <w:jc w:val="both"/>
        <w:rPr>
          <w:rFonts w:ascii="Arial" w:hAnsi="Arial" w:cs="Arial"/>
          <w:sz w:val="22"/>
          <w:szCs w:val="22"/>
        </w:rPr>
      </w:pPr>
    </w:p>
    <w:p w:rsidR="0076030C" w:rsidRDefault="0076030C" w:rsidP="0076030C">
      <w:pPr>
        <w:jc w:val="both"/>
        <w:rPr>
          <w:rFonts w:ascii="Arial" w:hAnsi="Arial" w:cs="Arial"/>
          <w:sz w:val="22"/>
          <w:szCs w:val="22"/>
        </w:rPr>
      </w:pPr>
    </w:p>
    <w:p w:rsidR="0076030C" w:rsidRDefault="0076030C" w:rsidP="0076030C">
      <w:pPr>
        <w:jc w:val="both"/>
        <w:rPr>
          <w:rFonts w:ascii="Arial" w:hAnsi="Arial" w:cs="Arial"/>
          <w:sz w:val="22"/>
          <w:szCs w:val="22"/>
        </w:rPr>
      </w:pPr>
    </w:p>
    <w:p w:rsidR="0076030C" w:rsidRDefault="0076030C" w:rsidP="0076030C">
      <w:pPr>
        <w:jc w:val="both"/>
        <w:rPr>
          <w:rFonts w:ascii="Arial" w:hAnsi="Arial" w:cs="Arial"/>
          <w:sz w:val="22"/>
          <w:szCs w:val="22"/>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A306CD">
      <w:pPr>
        <w:ind w:firstLine="708"/>
        <w:rPr>
          <w:rFonts w:ascii="Arial" w:hAnsi="Arial" w:cs="Arial"/>
          <w:b/>
          <w:color w:val="auto"/>
          <w:sz w:val="22"/>
          <w:szCs w:val="22"/>
          <w:u w:val="single"/>
        </w:rPr>
      </w:pPr>
    </w:p>
    <w:p w:rsidR="0076030C" w:rsidRDefault="0076030C" w:rsidP="009913AD">
      <w:pPr>
        <w:rPr>
          <w:rFonts w:ascii="Arial" w:hAnsi="Arial" w:cs="Arial"/>
          <w:b/>
          <w:color w:val="auto"/>
          <w:sz w:val="22"/>
          <w:szCs w:val="22"/>
          <w:u w:val="single"/>
        </w:rPr>
      </w:pPr>
    </w:p>
    <w:p w:rsidR="009913AD" w:rsidRDefault="009913AD" w:rsidP="009913AD">
      <w:pPr>
        <w:rPr>
          <w:rFonts w:ascii="Arial" w:hAnsi="Arial" w:cs="Arial"/>
          <w:b/>
          <w:color w:val="auto"/>
          <w:sz w:val="22"/>
          <w:szCs w:val="22"/>
          <w:u w:val="single"/>
        </w:rPr>
      </w:pPr>
    </w:p>
    <w:p w:rsidR="009913AD" w:rsidRDefault="009913AD" w:rsidP="009913AD">
      <w:pPr>
        <w:rPr>
          <w:rFonts w:ascii="Arial" w:hAnsi="Arial" w:cs="Arial"/>
          <w:b/>
          <w:color w:val="auto"/>
          <w:sz w:val="22"/>
          <w:szCs w:val="22"/>
          <w:u w:val="single"/>
        </w:rPr>
      </w:pPr>
    </w:p>
    <w:p w:rsidR="009913AD" w:rsidRPr="00FF4575" w:rsidRDefault="00FF4575" w:rsidP="00EA2FED">
      <w:pPr>
        <w:rPr>
          <w:rFonts w:ascii="Arial" w:hAnsi="Arial" w:cs="Arial"/>
          <w:b/>
          <w:color w:val="auto"/>
          <w:sz w:val="22"/>
          <w:szCs w:val="22"/>
        </w:rPr>
      </w:pPr>
      <w:r w:rsidRPr="00FF4575">
        <w:rPr>
          <w:rFonts w:ascii="Arial" w:hAnsi="Arial" w:cs="Arial"/>
          <w:b/>
          <w:color w:val="auto"/>
          <w:sz w:val="22"/>
          <w:szCs w:val="22"/>
        </w:rPr>
        <w:t xml:space="preserve">Tablica </w:t>
      </w:r>
      <w:r w:rsidR="00CA0F13">
        <w:rPr>
          <w:rFonts w:ascii="Arial" w:hAnsi="Arial" w:cs="Arial"/>
          <w:b/>
          <w:color w:val="auto"/>
          <w:sz w:val="22"/>
          <w:szCs w:val="22"/>
        </w:rPr>
        <w:t>B</w:t>
      </w: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EA2FED">
      <w:pPr>
        <w:rPr>
          <w:rFonts w:ascii="Arial" w:hAnsi="Arial" w:cs="Arial"/>
          <w:b/>
          <w:color w:val="auto"/>
          <w:sz w:val="22"/>
          <w:szCs w:val="22"/>
          <w:u w:val="single"/>
        </w:rPr>
      </w:pPr>
    </w:p>
    <w:p w:rsidR="009913AD" w:rsidRDefault="00EA2FED" w:rsidP="00EA2FED">
      <w:pPr>
        <w:rPr>
          <w:rFonts w:ascii="Arial" w:hAnsi="Arial" w:cs="Arial"/>
          <w:b/>
          <w:color w:val="auto"/>
          <w:sz w:val="22"/>
          <w:szCs w:val="22"/>
          <w:u w:val="single"/>
        </w:rPr>
      </w:pPr>
      <w:r w:rsidRPr="00EA2FED">
        <w:rPr>
          <w:noProof/>
        </w:rPr>
        <w:drawing>
          <wp:inline distT="0" distB="0" distL="0" distR="0">
            <wp:extent cx="6877050" cy="550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77050" cy="5505450"/>
                    </a:xfrm>
                    <a:prstGeom prst="rect">
                      <a:avLst/>
                    </a:prstGeom>
                    <a:noFill/>
                    <a:ln>
                      <a:noFill/>
                    </a:ln>
                  </pic:spPr>
                </pic:pic>
              </a:graphicData>
            </a:graphic>
          </wp:inline>
        </w:drawing>
      </w: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13316A">
      <w:pPr>
        <w:ind w:hanging="56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9913AD" w:rsidRDefault="009913AD" w:rsidP="00A306CD">
      <w:pPr>
        <w:ind w:firstLine="708"/>
        <w:rPr>
          <w:rFonts w:ascii="Arial" w:hAnsi="Arial" w:cs="Arial"/>
          <w:b/>
          <w:color w:val="auto"/>
          <w:sz w:val="22"/>
          <w:szCs w:val="22"/>
          <w:u w:val="single"/>
        </w:rPr>
      </w:pPr>
    </w:p>
    <w:p w:rsidR="00FF29CB" w:rsidRPr="00577FAE" w:rsidRDefault="00FF29CB" w:rsidP="00FF29CB">
      <w:pPr>
        <w:ind w:firstLine="708"/>
        <w:rPr>
          <w:rFonts w:ascii="Arial" w:hAnsi="Arial" w:cs="Arial"/>
          <w:b/>
          <w:color w:val="auto"/>
          <w:sz w:val="22"/>
          <w:szCs w:val="22"/>
          <w:u w:val="single"/>
        </w:rPr>
      </w:pPr>
      <w:r w:rsidRPr="00577FAE">
        <w:rPr>
          <w:rFonts w:ascii="Arial" w:hAnsi="Arial" w:cs="Arial"/>
          <w:b/>
          <w:color w:val="auto"/>
          <w:sz w:val="22"/>
          <w:szCs w:val="22"/>
          <w:u w:val="single"/>
        </w:rPr>
        <w:t>V.  OBRAZLOŽENJE NEPODMIRENIH OBVEZA</w:t>
      </w:r>
    </w:p>
    <w:p w:rsidR="00FF29CB" w:rsidRPr="003173B7" w:rsidRDefault="00FF29CB" w:rsidP="00FF29CB">
      <w:pPr>
        <w:ind w:firstLine="708"/>
        <w:rPr>
          <w:rFonts w:ascii="Arial" w:hAnsi="Arial" w:cs="Arial"/>
          <w:color w:val="auto"/>
          <w:sz w:val="22"/>
          <w:szCs w:val="22"/>
          <w:u w:val="single"/>
        </w:rPr>
      </w:pPr>
    </w:p>
    <w:p w:rsidR="00FF29CB" w:rsidRPr="003173B7" w:rsidRDefault="00FF29CB" w:rsidP="00FF29CB">
      <w:pPr>
        <w:rPr>
          <w:rFonts w:ascii="Arial" w:hAnsi="Arial" w:cs="Arial"/>
          <w:color w:val="auto"/>
          <w:sz w:val="22"/>
          <w:szCs w:val="22"/>
        </w:rPr>
      </w:pPr>
    </w:p>
    <w:p w:rsidR="00FF29CB" w:rsidRPr="003173B7" w:rsidRDefault="00FF29CB" w:rsidP="000261CA">
      <w:pPr>
        <w:rPr>
          <w:rFonts w:ascii="Arial" w:hAnsi="Arial" w:cs="Arial"/>
          <w:color w:val="auto"/>
          <w:sz w:val="22"/>
          <w:szCs w:val="22"/>
        </w:rPr>
      </w:pPr>
      <w:r w:rsidRPr="003173B7">
        <w:rPr>
          <w:rFonts w:ascii="Arial" w:hAnsi="Arial" w:cs="Arial"/>
          <w:color w:val="auto"/>
          <w:sz w:val="22"/>
          <w:szCs w:val="22"/>
        </w:rPr>
        <w:t xml:space="preserve">Na dan 30. lipnja 2019. godine Grad je imao ukupno </w:t>
      </w:r>
      <w:r w:rsidR="000261CA" w:rsidRPr="000261CA">
        <w:rPr>
          <w:rFonts w:ascii="Arial" w:hAnsi="Arial" w:cs="Arial"/>
          <w:bCs/>
          <w:color w:val="auto"/>
          <w:sz w:val="22"/>
          <w:szCs w:val="22"/>
        </w:rPr>
        <w:t>19.448.884,92</w:t>
      </w:r>
      <w:r w:rsidRPr="000261CA">
        <w:rPr>
          <w:rFonts w:ascii="Arial" w:hAnsi="Arial" w:cs="Arial"/>
          <w:bCs/>
          <w:color w:val="auto"/>
          <w:sz w:val="22"/>
          <w:szCs w:val="22"/>
        </w:rPr>
        <w:t>kn</w:t>
      </w:r>
      <w:r w:rsidRPr="003173B7">
        <w:rPr>
          <w:rFonts w:ascii="Arial" w:hAnsi="Arial" w:cs="Arial"/>
          <w:color w:val="auto"/>
          <w:sz w:val="22"/>
          <w:szCs w:val="22"/>
        </w:rPr>
        <w:t xml:space="preserve"> nepodmirenih obveza, a koje su se odnosile na :</w:t>
      </w:r>
    </w:p>
    <w:p w:rsidR="00FF29CB" w:rsidRPr="003173B7" w:rsidRDefault="00FF29CB" w:rsidP="00FF29CB">
      <w:pPr>
        <w:ind w:firstLine="708"/>
        <w:rPr>
          <w:rFonts w:ascii="Arial" w:hAnsi="Arial" w:cs="Arial"/>
          <w:color w:val="FF0000"/>
          <w:sz w:val="22"/>
          <w:szCs w:val="22"/>
        </w:rPr>
      </w:pP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w:t>
      </w:r>
      <w:r w:rsidRPr="003173B7">
        <w:rPr>
          <w:rFonts w:ascii="Arial" w:hAnsi="Arial" w:cs="Arial"/>
          <w:b/>
          <w:color w:val="auto"/>
          <w:sz w:val="22"/>
          <w:szCs w:val="22"/>
        </w:rPr>
        <w:t>Obveze za zaposlene</w:t>
      </w:r>
      <w:r w:rsidRPr="003173B7">
        <w:rPr>
          <w:rFonts w:ascii="Arial" w:hAnsi="Arial" w:cs="Arial"/>
          <w:color w:val="auto"/>
          <w:sz w:val="22"/>
          <w:szCs w:val="22"/>
        </w:rPr>
        <w:t>, odnosno  na neisplaćene plaće zaposlenicima gradske uprave za mjesec lipanj ove godine u iznosu od 3.543.964 25;</w:t>
      </w:r>
    </w:p>
    <w:p w:rsidR="00FF29CB" w:rsidRPr="003173B7" w:rsidRDefault="00FF29CB" w:rsidP="00FF29CB">
      <w:pPr>
        <w:rPr>
          <w:rFonts w:ascii="Arial" w:hAnsi="Arial" w:cs="Arial"/>
          <w:color w:val="FF0000"/>
          <w:sz w:val="22"/>
          <w:szCs w:val="22"/>
        </w:rPr>
      </w:pPr>
    </w:p>
    <w:p w:rsidR="00FF29CB" w:rsidRPr="003173B7" w:rsidRDefault="00FF29CB" w:rsidP="00FF29CB">
      <w:pPr>
        <w:rPr>
          <w:rFonts w:ascii="Arial" w:hAnsi="Arial" w:cs="Arial"/>
          <w:color w:val="auto"/>
          <w:sz w:val="22"/>
          <w:szCs w:val="22"/>
        </w:rPr>
      </w:pPr>
      <w:r w:rsidRPr="000261CA">
        <w:rPr>
          <w:rFonts w:ascii="Arial" w:hAnsi="Arial" w:cs="Arial"/>
          <w:color w:val="auto"/>
          <w:sz w:val="22"/>
          <w:szCs w:val="22"/>
        </w:rPr>
        <w:t>-</w:t>
      </w:r>
      <w:r w:rsidRPr="003173B7">
        <w:rPr>
          <w:rFonts w:ascii="Arial" w:hAnsi="Arial" w:cs="Arial"/>
          <w:b/>
          <w:color w:val="auto"/>
          <w:sz w:val="22"/>
          <w:szCs w:val="22"/>
        </w:rPr>
        <w:t>Obveze za materijalne rashode</w:t>
      </w:r>
      <w:r w:rsidRPr="003173B7">
        <w:rPr>
          <w:rFonts w:ascii="Arial" w:hAnsi="Arial" w:cs="Arial"/>
          <w:color w:val="auto"/>
          <w:sz w:val="22"/>
          <w:szCs w:val="22"/>
        </w:rPr>
        <w:t xml:space="preserve"> u ukupnom iznosu od 901.065,28 kune i to:</w:t>
      </w:r>
    </w:p>
    <w:p w:rsidR="00FF29CB" w:rsidRPr="003173B7" w:rsidRDefault="00FF29CB" w:rsidP="00FF29CB">
      <w:pPr>
        <w:rPr>
          <w:rFonts w:ascii="Arial" w:hAnsi="Arial" w:cs="Arial"/>
          <w:color w:val="FF0000"/>
          <w:sz w:val="22"/>
          <w:szCs w:val="22"/>
        </w:rPr>
      </w:pPr>
    </w:p>
    <w:p w:rsidR="00FF29CB" w:rsidRPr="003173B7" w:rsidRDefault="00FF29CB" w:rsidP="00FF29CB">
      <w:pPr>
        <w:rPr>
          <w:rFonts w:ascii="Arial" w:hAnsi="Arial" w:cs="Arial"/>
          <w:color w:val="auto"/>
          <w:sz w:val="22"/>
          <w:szCs w:val="22"/>
        </w:rPr>
      </w:pPr>
      <w:r w:rsidRPr="003173B7">
        <w:rPr>
          <w:rFonts w:ascii="Arial" w:hAnsi="Arial" w:cs="Arial"/>
          <w:b/>
          <w:color w:val="auto"/>
          <w:sz w:val="22"/>
          <w:szCs w:val="22"/>
        </w:rPr>
        <w:t>-</w:t>
      </w:r>
      <w:r w:rsidRPr="003173B7">
        <w:rPr>
          <w:rFonts w:ascii="Arial" w:hAnsi="Arial" w:cs="Arial"/>
          <w:color w:val="auto"/>
          <w:sz w:val="22"/>
          <w:szCs w:val="22"/>
        </w:rPr>
        <w:t xml:space="preserve">naknade troškova zaposlenima čine neplaćene obveze za prijevoz i naknade po putnim </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 xml:space="preserve"> nalozima; </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 xml:space="preserve">-rashodi za materijal i energiju predstavljaju obveze po neplaćenim računima za uredski i ostali materijal, struju, gorivo, te sitan inventar; </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-rashodi  za usluge sastoje se od obveza po neplaćenim uslugama telefona, pošte, promidžbe i informiranja, tekućeg i investicijskog održavanja;</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-naknade troškova osobama izvan radnog odnosa</w:t>
      </w:r>
    </w:p>
    <w:p w:rsidR="00FF29CB" w:rsidRDefault="00FF29CB" w:rsidP="00FF29CB">
      <w:pPr>
        <w:rPr>
          <w:rFonts w:ascii="Arial" w:hAnsi="Arial" w:cs="Arial"/>
          <w:color w:val="auto"/>
          <w:sz w:val="22"/>
          <w:szCs w:val="22"/>
        </w:rPr>
      </w:pPr>
      <w:r w:rsidRPr="003173B7">
        <w:rPr>
          <w:rFonts w:ascii="Arial" w:hAnsi="Arial" w:cs="Arial"/>
          <w:color w:val="auto"/>
          <w:sz w:val="22"/>
          <w:szCs w:val="22"/>
        </w:rPr>
        <w:t xml:space="preserve">-ostali nespomenuti rashode poslovanja čine obveze za reprezentaciju i pričuva za stambene i poslovne prostore. </w:t>
      </w:r>
    </w:p>
    <w:p w:rsidR="00FF29CB" w:rsidRPr="003173B7" w:rsidRDefault="00FF29CB" w:rsidP="00FF29CB">
      <w:pPr>
        <w:rPr>
          <w:rFonts w:ascii="Arial" w:hAnsi="Arial" w:cs="Arial"/>
          <w:color w:val="FF0000"/>
          <w:sz w:val="22"/>
          <w:szCs w:val="22"/>
        </w:rPr>
      </w:pPr>
    </w:p>
    <w:p w:rsidR="00FF29CB" w:rsidRDefault="00FF29CB" w:rsidP="00FF29CB">
      <w:pPr>
        <w:rPr>
          <w:rFonts w:ascii="Arial" w:hAnsi="Arial" w:cs="Arial"/>
          <w:color w:val="auto"/>
          <w:sz w:val="22"/>
          <w:szCs w:val="22"/>
        </w:rPr>
      </w:pPr>
      <w:r w:rsidRPr="003173B7">
        <w:rPr>
          <w:rFonts w:ascii="Arial" w:hAnsi="Arial" w:cs="Arial"/>
          <w:color w:val="auto"/>
          <w:sz w:val="22"/>
          <w:szCs w:val="22"/>
        </w:rPr>
        <w:t>-</w:t>
      </w:r>
      <w:r w:rsidRPr="003173B7">
        <w:rPr>
          <w:rFonts w:ascii="Arial" w:hAnsi="Arial" w:cs="Arial"/>
          <w:b/>
          <w:color w:val="auto"/>
          <w:sz w:val="22"/>
          <w:szCs w:val="22"/>
        </w:rPr>
        <w:t>Obveze za financijske rashode</w:t>
      </w:r>
      <w:r w:rsidRPr="003173B7">
        <w:rPr>
          <w:rFonts w:ascii="Arial" w:hAnsi="Arial" w:cs="Arial"/>
          <w:color w:val="auto"/>
          <w:sz w:val="22"/>
          <w:szCs w:val="22"/>
        </w:rPr>
        <w:t xml:space="preserve"> iznosile su 3.045,73 </w:t>
      </w:r>
      <w:r w:rsidR="00AB08A9">
        <w:rPr>
          <w:rFonts w:ascii="Arial" w:hAnsi="Arial" w:cs="Arial"/>
          <w:color w:val="auto"/>
          <w:sz w:val="22"/>
          <w:szCs w:val="22"/>
        </w:rPr>
        <w:t>kune</w:t>
      </w:r>
      <w:r w:rsidRPr="003173B7">
        <w:rPr>
          <w:rFonts w:ascii="Arial" w:hAnsi="Arial" w:cs="Arial"/>
          <w:color w:val="auto"/>
          <w:sz w:val="22"/>
          <w:szCs w:val="22"/>
        </w:rPr>
        <w:t>, a predstavljaju obveze za bankarske usluge i usluge platnog prometa.</w:t>
      </w:r>
    </w:p>
    <w:p w:rsidR="000261CA" w:rsidRDefault="000261CA" w:rsidP="00FF29CB">
      <w:pPr>
        <w:rPr>
          <w:rFonts w:ascii="Arial" w:hAnsi="Arial" w:cs="Arial"/>
          <w:color w:val="auto"/>
          <w:sz w:val="22"/>
          <w:szCs w:val="22"/>
        </w:rPr>
      </w:pPr>
    </w:p>
    <w:p w:rsidR="000261CA" w:rsidRPr="003173B7" w:rsidRDefault="000261CA" w:rsidP="00FF29CB">
      <w:pPr>
        <w:rPr>
          <w:rFonts w:ascii="Arial" w:hAnsi="Arial" w:cs="Arial"/>
          <w:color w:val="auto"/>
          <w:sz w:val="22"/>
          <w:szCs w:val="22"/>
        </w:rPr>
      </w:pPr>
      <w:r>
        <w:rPr>
          <w:rFonts w:ascii="Arial" w:hAnsi="Arial" w:cs="Arial"/>
          <w:color w:val="auto"/>
          <w:sz w:val="22"/>
          <w:szCs w:val="22"/>
        </w:rPr>
        <w:t>-</w:t>
      </w:r>
      <w:r w:rsidRPr="003173B7">
        <w:rPr>
          <w:rFonts w:ascii="Arial" w:hAnsi="Arial" w:cs="Arial"/>
          <w:b/>
          <w:bCs/>
          <w:color w:val="auto"/>
          <w:sz w:val="22"/>
          <w:szCs w:val="22"/>
        </w:rPr>
        <w:t>Obveze za naknade građanima i kućanstvima</w:t>
      </w:r>
      <w:r w:rsidRPr="000261CA">
        <w:rPr>
          <w:rFonts w:ascii="Arial" w:hAnsi="Arial" w:cs="Arial"/>
          <w:color w:val="auto"/>
          <w:sz w:val="22"/>
          <w:szCs w:val="22"/>
        </w:rPr>
        <w:t>iznosile su60.830,66</w:t>
      </w:r>
      <w:r w:rsidR="00AB08A9">
        <w:rPr>
          <w:rFonts w:ascii="Arial" w:hAnsi="Arial" w:cs="Arial"/>
          <w:color w:val="auto"/>
          <w:sz w:val="22"/>
          <w:szCs w:val="22"/>
        </w:rPr>
        <w:t>kuna</w:t>
      </w:r>
      <w:r w:rsidR="007B36B5">
        <w:rPr>
          <w:rFonts w:ascii="Arial" w:hAnsi="Arial" w:cs="Arial"/>
          <w:color w:val="auto"/>
          <w:sz w:val="22"/>
          <w:szCs w:val="22"/>
        </w:rPr>
        <w:t>.</w:t>
      </w:r>
    </w:p>
    <w:p w:rsidR="00FF29CB" w:rsidRPr="003173B7" w:rsidRDefault="00FF29CB" w:rsidP="00FF29CB">
      <w:pPr>
        <w:rPr>
          <w:rFonts w:ascii="Arial" w:hAnsi="Arial" w:cs="Arial"/>
          <w:color w:val="auto"/>
          <w:sz w:val="22"/>
          <w:szCs w:val="22"/>
        </w:rPr>
      </w:pPr>
    </w:p>
    <w:p w:rsidR="00FF29CB" w:rsidRPr="003173B7" w:rsidRDefault="00FF29CB" w:rsidP="00FF29CB">
      <w:pPr>
        <w:rPr>
          <w:rFonts w:ascii="Arial" w:hAnsi="Arial" w:cs="Arial"/>
          <w:color w:val="auto"/>
          <w:sz w:val="22"/>
          <w:szCs w:val="22"/>
        </w:rPr>
      </w:pPr>
      <w:r w:rsidRPr="003173B7">
        <w:rPr>
          <w:rFonts w:ascii="Arial" w:hAnsi="Arial" w:cs="Arial"/>
          <w:b/>
          <w:color w:val="auto"/>
          <w:sz w:val="22"/>
          <w:szCs w:val="22"/>
        </w:rPr>
        <w:t xml:space="preserve">-Ostale tekuće obveze </w:t>
      </w:r>
      <w:r w:rsidRPr="003173B7">
        <w:rPr>
          <w:rFonts w:ascii="Arial" w:hAnsi="Arial" w:cs="Arial"/>
          <w:color w:val="auto"/>
          <w:sz w:val="22"/>
          <w:szCs w:val="22"/>
        </w:rPr>
        <w:t xml:space="preserve"> iznosile su ukupno 11.135.935,18 kuna i to:</w:t>
      </w:r>
    </w:p>
    <w:p w:rsidR="00FF29CB" w:rsidRPr="003173B7" w:rsidRDefault="00FF29CB" w:rsidP="00FF29CB">
      <w:pPr>
        <w:rPr>
          <w:rFonts w:ascii="Arial" w:hAnsi="Arial" w:cs="Arial"/>
          <w:color w:val="auto"/>
          <w:sz w:val="22"/>
          <w:szCs w:val="22"/>
        </w:rPr>
      </w:pP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-ostale obveze su primljene jamčevine</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-obveze za nenaplaćene tuđe prihode po izdanim rješenjima (spomenička renta, legalizacija,) i obveze za naplaćene prihode Hrvatskih voda. Grad temeljem ugovora zajedno sa komunalnom naknadom naplaćuje i naknadu za uređenje voda koju usmjerava u korist žiro računa Hrvatskih voda,</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-obveze za PDV</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-ostale obveze koje se odnose na donacije, subvencije)</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-obveze po primljenim sredstvima od EU fondova od kojih se posebno izdvajaju obveze primljenih EU predujmova za projekt Grad za djecu.</w:t>
      </w:r>
    </w:p>
    <w:p w:rsidR="00FF29CB" w:rsidRPr="003173B7" w:rsidRDefault="00FF29CB" w:rsidP="00FF29CB">
      <w:pPr>
        <w:rPr>
          <w:rFonts w:ascii="Arial" w:hAnsi="Arial" w:cs="Arial"/>
          <w:color w:val="FF0000"/>
          <w:sz w:val="22"/>
          <w:szCs w:val="22"/>
        </w:rPr>
      </w:pP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w:t>
      </w:r>
      <w:r w:rsidRPr="003173B7">
        <w:rPr>
          <w:rFonts w:ascii="Arial" w:hAnsi="Arial" w:cs="Arial"/>
          <w:b/>
          <w:color w:val="auto"/>
          <w:sz w:val="22"/>
          <w:szCs w:val="22"/>
        </w:rPr>
        <w:t xml:space="preserve">Obveze za nabavu proizvedene dugotrajne imovine </w:t>
      </w:r>
      <w:r w:rsidRPr="003173B7">
        <w:rPr>
          <w:rFonts w:ascii="Arial" w:hAnsi="Arial" w:cs="Arial"/>
          <w:color w:val="auto"/>
          <w:sz w:val="22"/>
          <w:szCs w:val="22"/>
        </w:rPr>
        <w:t xml:space="preserve"> iznosile su 3.804.043,82 kuna, a sastoje se od:</w:t>
      </w:r>
    </w:p>
    <w:p w:rsidR="00FF29CB" w:rsidRPr="003173B7" w:rsidRDefault="00FF29CB" w:rsidP="00FF29CB">
      <w:pPr>
        <w:rPr>
          <w:rFonts w:ascii="Arial" w:hAnsi="Arial" w:cs="Arial"/>
          <w:color w:val="auto"/>
          <w:sz w:val="22"/>
          <w:szCs w:val="22"/>
        </w:rPr>
      </w:pP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-ulaganja u građevinske objekte(ceste)</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-ulaganja u postrojenja i opremu</w:t>
      </w:r>
    </w:p>
    <w:p w:rsidR="00FF29CB" w:rsidRPr="003173B7" w:rsidRDefault="00FF29CB" w:rsidP="00FF29CB">
      <w:pPr>
        <w:rPr>
          <w:rFonts w:ascii="Arial" w:hAnsi="Arial" w:cs="Arial"/>
          <w:color w:val="auto"/>
          <w:sz w:val="22"/>
          <w:szCs w:val="22"/>
        </w:rPr>
      </w:pPr>
      <w:r w:rsidRPr="003173B7">
        <w:rPr>
          <w:rFonts w:ascii="Arial" w:hAnsi="Arial" w:cs="Arial"/>
          <w:color w:val="auto"/>
          <w:sz w:val="22"/>
          <w:szCs w:val="22"/>
        </w:rPr>
        <w:t xml:space="preserve">-dodatna ulaganja u građevinske objekte.  </w:t>
      </w:r>
    </w:p>
    <w:p w:rsidR="00FF29CB" w:rsidRPr="003173B7" w:rsidRDefault="00FF29CB" w:rsidP="00FF29CB">
      <w:pPr>
        <w:rPr>
          <w:rFonts w:ascii="Arial" w:hAnsi="Arial" w:cs="Arial"/>
          <w:color w:val="FF0000"/>
          <w:sz w:val="22"/>
          <w:szCs w:val="22"/>
        </w:rPr>
      </w:pPr>
    </w:p>
    <w:p w:rsidR="00FF29CB" w:rsidRPr="003173B7" w:rsidRDefault="00FF29CB" w:rsidP="00FF29CB">
      <w:pPr>
        <w:rPr>
          <w:rFonts w:ascii="Arial" w:hAnsi="Arial" w:cs="Arial"/>
          <w:b/>
          <w:bCs/>
          <w:sz w:val="22"/>
          <w:szCs w:val="22"/>
          <w:u w:val="single"/>
        </w:rPr>
      </w:pPr>
    </w:p>
    <w:p w:rsidR="00FF29CB" w:rsidRPr="003173B7" w:rsidRDefault="00FF29CB" w:rsidP="00FF29CB">
      <w:pPr>
        <w:rPr>
          <w:rFonts w:ascii="Arial" w:hAnsi="Arial" w:cs="Arial"/>
          <w:b/>
          <w:bCs/>
          <w:sz w:val="22"/>
          <w:szCs w:val="22"/>
          <w:u w:val="single"/>
        </w:rPr>
      </w:pPr>
    </w:p>
    <w:p w:rsidR="00FF29CB" w:rsidRPr="003173B7" w:rsidRDefault="00FF29CB" w:rsidP="00FF29CB">
      <w:pPr>
        <w:rPr>
          <w:rFonts w:ascii="Arial" w:hAnsi="Arial" w:cs="Arial"/>
          <w:b/>
          <w:bCs/>
          <w:sz w:val="22"/>
          <w:szCs w:val="22"/>
          <w:u w:val="single"/>
        </w:rPr>
      </w:pPr>
    </w:p>
    <w:p w:rsidR="00FF29CB" w:rsidRPr="003173B7" w:rsidRDefault="00FF29CB" w:rsidP="00FF29CB">
      <w:pPr>
        <w:rPr>
          <w:rFonts w:ascii="Arial" w:hAnsi="Arial" w:cs="Arial"/>
          <w:b/>
          <w:bCs/>
          <w:sz w:val="22"/>
          <w:szCs w:val="22"/>
          <w:u w:val="single"/>
        </w:rPr>
      </w:pPr>
    </w:p>
    <w:p w:rsidR="00FF29CB" w:rsidRPr="003173B7" w:rsidRDefault="00FF29CB" w:rsidP="00FF29CB">
      <w:pPr>
        <w:rPr>
          <w:rFonts w:ascii="Arial" w:hAnsi="Arial" w:cs="Arial"/>
          <w:b/>
          <w:bCs/>
          <w:sz w:val="22"/>
          <w:szCs w:val="22"/>
          <w:u w:val="single"/>
        </w:rPr>
      </w:pPr>
    </w:p>
    <w:p w:rsidR="00FF29CB" w:rsidRPr="003173B7" w:rsidRDefault="00FF29CB" w:rsidP="00FF29CB">
      <w:pPr>
        <w:rPr>
          <w:rFonts w:ascii="Arial" w:hAnsi="Arial" w:cs="Arial"/>
          <w:b/>
          <w:bCs/>
          <w:sz w:val="22"/>
          <w:szCs w:val="22"/>
          <w:u w:val="single"/>
        </w:rPr>
      </w:pPr>
    </w:p>
    <w:p w:rsidR="00FF29CB" w:rsidRPr="003173B7" w:rsidRDefault="00FF29CB" w:rsidP="00FF29CB">
      <w:pPr>
        <w:rPr>
          <w:rFonts w:ascii="Arial" w:hAnsi="Arial" w:cs="Arial"/>
          <w:color w:val="FF0000"/>
          <w:sz w:val="22"/>
          <w:szCs w:val="22"/>
        </w:rPr>
      </w:pPr>
    </w:p>
    <w:p w:rsidR="00FF29CB" w:rsidRPr="003173B7" w:rsidRDefault="00FF29CB" w:rsidP="00FF29CB">
      <w:pPr>
        <w:ind w:firstLine="708"/>
        <w:rPr>
          <w:rFonts w:ascii="Arial" w:hAnsi="Arial" w:cs="Arial"/>
          <w:b/>
          <w:color w:val="auto"/>
          <w:sz w:val="22"/>
          <w:szCs w:val="22"/>
        </w:rPr>
      </w:pPr>
    </w:p>
    <w:p w:rsidR="00FF29CB" w:rsidRPr="003173B7" w:rsidRDefault="00FF29CB" w:rsidP="00FF29CB">
      <w:pPr>
        <w:ind w:firstLine="708"/>
        <w:rPr>
          <w:rFonts w:ascii="Arial" w:hAnsi="Arial" w:cs="Arial"/>
          <w:b/>
          <w:color w:val="auto"/>
          <w:sz w:val="22"/>
          <w:szCs w:val="22"/>
        </w:rPr>
      </w:pPr>
      <w:r w:rsidRPr="003173B7">
        <w:rPr>
          <w:rFonts w:ascii="Arial" w:hAnsi="Arial" w:cs="Arial"/>
          <w:b/>
          <w:color w:val="auto"/>
          <w:sz w:val="22"/>
          <w:szCs w:val="22"/>
        </w:rPr>
        <w:lastRenderedPageBreak/>
        <w:t>PREGLED  NEPODMIRENIH  OBVEZA  GRADA  DUBROVNIKA</w:t>
      </w:r>
    </w:p>
    <w:p w:rsidR="00FF29CB" w:rsidRPr="003173B7" w:rsidRDefault="00FF29CB" w:rsidP="00FF29CB">
      <w:pPr>
        <w:rPr>
          <w:rFonts w:ascii="Arial" w:hAnsi="Arial" w:cs="Arial"/>
          <w:color w:val="auto"/>
          <w:sz w:val="22"/>
          <w:szCs w:val="22"/>
        </w:rPr>
      </w:pPr>
    </w:p>
    <w:p w:rsidR="00FF29CB" w:rsidRPr="003173B7" w:rsidRDefault="00FF29CB" w:rsidP="00FF29CB">
      <w:pPr>
        <w:rPr>
          <w:rFonts w:ascii="Arial" w:hAnsi="Arial" w:cs="Arial"/>
          <w:b/>
          <w:color w:val="auto"/>
          <w:sz w:val="22"/>
          <w:szCs w:val="22"/>
        </w:rPr>
      </w:pPr>
      <w:r w:rsidRPr="003173B7">
        <w:rPr>
          <w:rFonts w:ascii="Arial" w:hAnsi="Arial" w:cs="Arial"/>
          <w:b/>
          <w:color w:val="auto"/>
          <w:sz w:val="22"/>
          <w:szCs w:val="22"/>
        </w:rPr>
        <w:t>Tablica broj</w:t>
      </w:r>
      <w:r w:rsidR="00EA2FED">
        <w:rPr>
          <w:rFonts w:ascii="Arial" w:hAnsi="Arial" w:cs="Arial"/>
          <w:b/>
          <w:color w:val="auto"/>
          <w:sz w:val="22"/>
          <w:szCs w:val="22"/>
        </w:rPr>
        <w:t>7</w:t>
      </w:r>
    </w:p>
    <w:p w:rsidR="00FF29CB" w:rsidRPr="003173B7" w:rsidRDefault="00FF29CB" w:rsidP="00FF29CB">
      <w:pPr>
        <w:rPr>
          <w:rFonts w:ascii="Arial" w:hAnsi="Arial" w:cs="Arial"/>
          <w:b/>
          <w:color w:val="auto"/>
          <w:sz w:val="22"/>
          <w:szCs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2"/>
        <w:gridCol w:w="2823"/>
      </w:tblGrid>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R.br.</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Opis nepodmirene obveze</w:t>
            </w: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29CB" w:rsidRPr="003173B7" w:rsidRDefault="00FF29CB" w:rsidP="00355752">
            <w:pPr>
              <w:jc w:val="center"/>
              <w:rPr>
                <w:rFonts w:ascii="Arial" w:hAnsi="Arial" w:cs="Arial"/>
                <w:color w:val="auto"/>
                <w:sz w:val="22"/>
                <w:szCs w:val="22"/>
              </w:rPr>
            </w:pPr>
            <w:r w:rsidRPr="003173B7">
              <w:rPr>
                <w:rFonts w:ascii="Arial" w:hAnsi="Arial" w:cs="Arial"/>
                <w:color w:val="auto"/>
                <w:sz w:val="22"/>
                <w:szCs w:val="22"/>
              </w:rPr>
              <w:t>Stanje 30.06.2019.</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1.</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Obveze za zaposlene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b/>
                <w:color w:val="auto"/>
                <w:sz w:val="22"/>
                <w:szCs w:val="22"/>
              </w:rPr>
            </w:pPr>
            <w:r w:rsidRPr="003173B7">
              <w:rPr>
                <w:rFonts w:ascii="Arial" w:hAnsi="Arial" w:cs="Arial"/>
                <w:b/>
                <w:color w:val="auto"/>
                <w:sz w:val="22"/>
                <w:szCs w:val="22"/>
              </w:rPr>
              <w:t>3.543.964,25</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2.</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Obveze za materijalne rashode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b/>
                <w:color w:val="auto"/>
                <w:sz w:val="22"/>
                <w:szCs w:val="22"/>
              </w:rPr>
            </w:pPr>
            <w:r w:rsidRPr="003173B7">
              <w:rPr>
                <w:rFonts w:ascii="Arial" w:hAnsi="Arial" w:cs="Arial"/>
                <w:b/>
                <w:color w:val="auto"/>
                <w:sz w:val="22"/>
                <w:szCs w:val="22"/>
              </w:rPr>
              <w:t>901.065,28</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2.1.</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Naknade troškova zaposlenima</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98.373,94</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2.2.</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Rashodi za materijal i energiju</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26.062,96</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2.3.</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Rashodi za usluge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747.141,00</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2.4.</w:t>
            </w:r>
          </w:p>
        </w:tc>
        <w:tc>
          <w:tcPr>
            <w:tcW w:w="5952" w:type="dxa"/>
            <w:tcBorders>
              <w:top w:val="single" w:sz="4" w:space="0" w:color="auto"/>
              <w:left w:val="single" w:sz="4" w:space="0" w:color="auto"/>
              <w:bottom w:val="single" w:sz="4" w:space="0" w:color="auto"/>
              <w:right w:val="single" w:sz="4" w:space="0" w:color="auto"/>
            </w:tcBorders>
            <w:vAlign w:val="center"/>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Naknade troškova osobama izvan radnog odnosa</w:t>
            </w:r>
          </w:p>
        </w:tc>
        <w:tc>
          <w:tcPr>
            <w:tcW w:w="2823" w:type="dxa"/>
            <w:tcBorders>
              <w:top w:val="single" w:sz="4" w:space="0" w:color="auto"/>
              <w:left w:val="single" w:sz="4" w:space="0" w:color="auto"/>
              <w:bottom w:val="single" w:sz="4" w:space="0" w:color="auto"/>
              <w:right w:val="single" w:sz="4" w:space="0" w:color="auto"/>
            </w:tcBorders>
            <w:vAlign w:val="center"/>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2.433,73</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2.5.</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Ostali nespomenuti rashodi poslovanja</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27.053,65</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3.</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Obveze za financijske rashode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b/>
                <w:color w:val="auto"/>
                <w:sz w:val="22"/>
                <w:szCs w:val="22"/>
              </w:rPr>
            </w:pPr>
            <w:r w:rsidRPr="003173B7">
              <w:rPr>
                <w:rFonts w:ascii="Arial" w:hAnsi="Arial" w:cs="Arial"/>
                <w:b/>
                <w:color w:val="auto"/>
                <w:sz w:val="22"/>
                <w:szCs w:val="22"/>
              </w:rPr>
              <w:t>3.045,73</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3.1.</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Obveze za bankarske usluge i za kamate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3.045,73</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FF29CB" w:rsidRPr="003173B7" w:rsidRDefault="00FF29CB" w:rsidP="00355752">
            <w:pPr>
              <w:rPr>
                <w:rFonts w:ascii="Arial" w:hAnsi="Arial" w:cs="Arial"/>
                <w:b/>
                <w:bCs/>
                <w:color w:val="auto"/>
                <w:sz w:val="22"/>
                <w:szCs w:val="22"/>
              </w:rPr>
            </w:pPr>
            <w:r w:rsidRPr="003173B7">
              <w:rPr>
                <w:rFonts w:ascii="Arial" w:hAnsi="Arial" w:cs="Arial"/>
                <w:b/>
                <w:bCs/>
                <w:color w:val="auto"/>
                <w:sz w:val="22"/>
                <w:szCs w:val="22"/>
              </w:rPr>
              <w:t>4.</w:t>
            </w:r>
          </w:p>
        </w:tc>
        <w:tc>
          <w:tcPr>
            <w:tcW w:w="5952" w:type="dxa"/>
            <w:tcBorders>
              <w:top w:val="single" w:sz="4" w:space="0" w:color="auto"/>
              <w:left w:val="single" w:sz="4" w:space="0" w:color="auto"/>
              <w:bottom w:val="single" w:sz="4" w:space="0" w:color="auto"/>
              <w:right w:val="single" w:sz="4" w:space="0" w:color="auto"/>
            </w:tcBorders>
            <w:vAlign w:val="center"/>
          </w:tcPr>
          <w:p w:rsidR="00FF29CB" w:rsidRPr="003173B7" w:rsidRDefault="00FF29CB" w:rsidP="00355752">
            <w:pPr>
              <w:rPr>
                <w:rFonts w:ascii="Arial" w:hAnsi="Arial" w:cs="Arial"/>
                <w:b/>
                <w:bCs/>
                <w:color w:val="auto"/>
                <w:sz w:val="22"/>
                <w:szCs w:val="22"/>
              </w:rPr>
            </w:pPr>
            <w:r w:rsidRPr="003173B7">
              <w:rPr>
                <w:rFonts w:ascii="Arial" w:hAnsi="Arial" w:cs="Arial"/>
                <w:b/>
                <w:bCs/>
                <w:color w:val="auto"/>
                <w:sz w:val="22"/>
                <w:szCs w:val="22"/>
              </w:rPr>
              <w:t>Obveze za naknade građanima i kućanstvima</w:t>
            </w:r>
          </w:p>
        </w:tc>
        <w:tc>
          <w:tcPr>
            <w:tcW w:w="2823" w:type="dxa"/>
            <w:tcBorders>
              <w:top w:val="single" w:sz="4" w:space="0" w:color="auto"/>
              <w:left w:val="single" w:sz="4" w:space="0" w:color="auto"/>
              <w:bottom w:val="single" w:sz="4" w:space="0" w:color="auto"/>
              <w:right w:val="single" w:sz="4" w:space="0" w:color="auto"/>
            </w:tcBorders>
            <w:vAlign w:val="center"/>
          </w:tcPr>
          <w:p w:rsidR="00FF29CB" w:rsidRPr="003173B7" w:rsidRDefault="00FF29CB" w:rsidP="00355752">
            <w:pPr>
              <w:jc w:val="right"/>
              <w:rPr>
                <w:rFonts w:ascii="Arial" w:hAnsi="Arial" w:cs="Arial"/>
                <w:b/>
                <w:bCs/>
                <w:color w:val="auto"/>
                <w:sz w:val="22"/>
                <w:szCs w:val="22"/>
              </w:rPr>
            </w:pPr>
            <w:r w:rsidRPr="003173B7">
              <w:rPr>
                <w:rFonts w:ascii="Arial" w:hAnsi="Arial" w:cs="Arial"/>
                <w:b/>
                <w:bCs/>
                <w:color w:val="auto"/>
                <w:sz w:val="22"/>
                <w:szCs w:val="22"/>
              </w:rPr>
              <w:t>60.830,66</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5.</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Ostale tekuće obveze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b/>
                <w:color w:val="auto"/>
                <w:sz w:val="22"/>
                <w:szCs w:val="22"/>
              </w:rPr>
            </w:pPr>
            <w:r w:rsidRPr="003173B7">
              <w:rPr>
                <w:rFonts w:ascii="Arial" w:hAnsi="Arial" w:cs="Arial"/>
                <w:b/>
                <w:color w:val="auto"/>
                <w:sz w:val="22"/>
                <w:szCs w:val="22"/>
              </w:rPr>
              <w:t>11.135.935,18</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5.1.</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Obveze za naplaćene tuđe prihode – Hrvatske vode, spomenička renta, legalizacija</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2.223.166,26</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5.2.</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Obveze po primljenim sredstvima od Europskih fondova</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1.511.166,91</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5.3.</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Obveze za jamčevine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1.545.495,25</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5.4.</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Obveze za PDV</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645.359,50</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5.5.</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Ostale obveze (donacije, subvencije, prijenosi ustanovama)</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54.473,26</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5.6.</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Obveze za primljene EU predujmove Lazareti</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5.156.274,00</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6.</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Obveze za nabavu proizvedene dugotrajne imovine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b/>
                <w:color w:val="auto"/>
                <w:sz w:val="22"/>
                <w:szCs w:val="22"/>
              </w:rPr>
            </w:pPr>
            <w:r w:rsidRPr="003173B7">
              <w:rPr>
                <w:rFonts w:ascii="Arial" w:hAnsi="Arial" w:cs="Arial"/>
                <w:b/>
                <w:color w:val="auto"/>
                <w:sz w:val="22"/>
                <w:szCs w:val="22"/>
              </w:rPr>
              <w:t>3.804.043,82</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6.1.</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Građevinski objekti - ceste</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22.550,00</w:t>
            </w:r>
          </w:p>
        </w:tc>
      </w:tr>
      <w:tr w:rsidR="00FF29CB" w:rsidRPr="003173B7" w:rsidTr="00355752">
        <w:trPr>
          <w:trHeight w:val="454"/>
        </w:trPr>
        <w:tc>
          <w:tcPr>
            <w:tcW w:w="675"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6.2.</w:t>
            </w:r>
          </w:p>
        </w:tc>
        <w:tc>
          <w:tcPr>
            <w:tcW w:w="5952"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Postrojenja i oprema</w:t>
            </w:r>
          </w:p>
        </w:tc>
        <w:tc>
          <w:tcPr>
            <w:tcW w:w="2823" w:type="dxa"/>
            <w:tcBorders>
              <w:top w:val="single" w:sz="4" w:space="0" w:color="auto"/>
              <w:left w:val="single" w:sz="4" w:space="0" w:color="auto"/>
              <w:bottom w:val="single" w:sz="4" w:space="0" w:color="auto"/>
              <w:right w:val="single" w:sz="4" w:space="0" w:color="auto"/>
            </w:tcBorders>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86.625,00</w:t>
            </w:r>
          </w:p>
        </w:tc>
      </w:tr>
      <w:tr w:rsidR="00FF29CB" w:rsidRPr="003173B7" w:rsidTr="00355752">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6.3.</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29CB" w:rsidRPr="003173B7" w:rsidRDefault="00FF29CB" w:rsidP="00355752">
            <w:pPr>
              <w:rPr>
                <w:rFonts w:ascii="Arial" w:hAnsi="Arial" w:cs="Arial"/>
                <w:color w:val="auto"/>
                <w:sz w:val="22"/>
                <w:szCs w:val="22"/>
              </w:rPr>
            </w:pPr>
            <w:r w:rsidRPr="003173B7">
              <w:rPr>
                <w:rFonts w:ascii="Arial" w:hAnsi="Arial" w:cs="Arial"/>
                <w:color w:val="auto"/>
                <w:sz w:val="22"/>
                <w:szCs w:val="22"/>
              </w:rPr>
              <w:t>Dodatno ulaganje u građevinske objekte</w:t>
            </w: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29CB" w:rsidRPr="003173B7" w:rsidRDefault="00FF29CB" w:rsidP="00355752">
            <w:pPr>
              <w:jc w:val="right"/>
              <w:rPr>
                <w:rFonts w:ascii="Arial" w:hAnsi="Arial" w:cs="Arial"/>
                <w:color w:val="auto"/>
                <w:sz w:val="22"/>
                <w:szCs w:val="22"/>
              </w:rPr>
            </w:pPr>
            <w:r w:rsidRPr="003173B7">
              <w:rPr>
                <w:rFonts w:ascii="Arial" w:hAnsi="Arial" w:cs="Arial"/>
                <w:color w:val="auto"/>
                <w:sz w:val="22"/>
                <w:szCs w:val="22"/>
              </w:rPr>
              <w:t>3.694.868,82</w:t>
            </w:r>
          </w:p>
        </w:tc>
      </w:tr>
      <w:tr w:rsidR="00FF29CB" w:rsidRPr="003173B7" w:rsidTr="00355752">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FF29CB" w:rsidRPr="003173B7" w:rsidRDefault="00FF29CB" w:rsidP="00355752">
            <w:pPr>
              <w:rPr>
                <w:rFonts w:ascii="Arial" w:hAnsi="Arial" w:cs="Arial"/>
                <w:b/>
                <w:color w:val="auto"/>
                <w:sz w:val="22"/>
                <w:szCs w:val="22"/>
              </w:rPr>
            </w:pP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29CB" w:rsidRPr="003173B7" w:rsidRDefault="00FF29CB" w:rsidP="00355752">
            <w:pPr>
              <w:rPr>
                <w:rFonts w:ascii="Arial" w:hAnsi="Arial" w:cs="Arial"/>
                <w:b/>
                <w:color w:val="auto"/>
                <w:sz w:val="22"/>
                <w:szCs w:val="22"/>
              </w:rPr>
            </w:pPr>
            <w:r w:rsidRPr="003173B7">
              <w:rPr>
                <w:rFonts w:ascii="Arial" w:hAnsi="Arial" w:cs="Arial"/>
                <w:b/>
                <w:color w:val="auto"/>
                <w:sz w:val="22"/>
                <w:szCs w:val="22"/>
              </w:rPr>
              <w:t>U K U P N O</w:t>
            </w: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29CB" w:rsidRPr="003173B7" w:rsidRDefault="00FF29CB" w:rsidP="00355752">
            <w:pPr>
              <w:jc w:val="right"/>
              <w:rPr>
                <w:rFonts w:ascii="Arial" w:hAnsi="Arial" w:cs="Arial"/>
                <w:b/>
                <w:color w:val="auto"/>
                <w:sz w:val="22"/>
                <w:szCs w:val="22"/>
              </w:rPr>
            </w:pPr>
            <w:r w:rsidRPr="003173B7">
              <w:rPr>
                <w:rFonts w:ascii="Arial" w:hAnsi="Arial" w:cs="Arial"/>
                <w:b/>
                <w:color w:val="auto"/>
                <w:sz w:val="22"/>
                <w:szCs w:val="22"/>
              </w:rPr>
              <w:t>19.448.884,92</w:t>
            </w:r>
          </w:p>
        </w:tc>
      </w:tr>
    </w:tbl>
    <w:p w:rsidR="00FF29CB" w:rsidRPr="003173B7" w:rsidRDefault="00FF29CB" w:rsidP="00FF29CB">
      <w:pPr>
        <w:rPr>
          <w:rFonts w:ascii="Arial" w:hAnsi="Arial" w:cs="Arial"/>
          <w:color w:val="FF0000"/>
          <w:sz w:val="22"/>
          <w:szCs w:val="22"/>
        </w:rPr>
      </w:pPr>
    </w:p>
    <w:p w:rsidR="00FF29CB" w:rsidRPr="003173B7" w:rsidRDefault="00FF29CB" w:rsidP="00FF29CB">
      <w:pPr>
        <w:rPr>
          <w:rFonts w:ascii="Arial" w:hAnsi="Arial" w:cs="Arial"/>
          <w:b/>
          <w:bCs/>
          <w:sz w:val="22"/>
          <w:szCs w:val="22"/>
          <w:u w:val="single"/>
        </w:rPr>
      </w:pPr>
    </w:p>
    <w:p w:rsidR="00FF29CB" w:rsidRDefault="00FF29CB" w:rsidP="00FF29CB">
      <w:pPr>
        <w:ind w:firstLine="708"/>
        <w:rPr>
          <w:rFonts w:ascii="Arial" w:hAnsi="Arial" w:cs="Arial"/>
          <w:b/>
          <w:bCs/>
          <w:sz w:val="22"/>
          <w:szCs w:val="22"/>
          <w:u w:val="single"/>
        </w:rPr>
      </w:pPr>
    </w:p>
    <w:p w:rsidR="002A6569" w:rsidRDefault="002A6569" w:rsidP="00FF29CB">
      <w:pPr>
        <w:ind w:firstLine="708"/>
        <w:rPr>
          <w:rFonts w:ascii="Arial" w:hAnsi="Arial" w:cs="Arial"/>
          <w:b/>
          <w:bCs/>
          <w:sz w:val="22"/>
          <w:szCs w:val="22"/>
          <w:u w:val="single"/>
        </w:rPr>
      </w:pPr>
    </w:p>
    <w:p w:rsidR="002A6569" w:rsidRPr="003173B7" w:rsidRDefault="002A6569" w:rsidP="00FF29CB">
      <w:pPr>
        <w:ind w:firstLine="708"/>
        <w:rPr>
          <w:rFonts w:ascii="Arial" w:hAnsi="Arial" w:cs="Arial"/>
          <w:b/>
          <w:bCs/>
          <w:sz w:val="22"/>
          <w:szCs w:val="22"/>
          <w:u w:val="single"/>
        </w:rPr>
      </w:pPr>
    </w:p>
    <w:p w:rsidR="00DF14BC" w:rsidRDefault="00DF14BC" w:rsidP="00FF29CB">
      <w:pPr>
        <w:ind w:firstLine="708"/>
        <w:rPr>
          <w:rFonts w:ascii="Arial" w:hAnsi="Arial" w:cs="Arial"/>
          <w:b/>
          <w:bCs/>
          <w:sz w:val="22"/>
          <w:szCs w:val="22"/>
          <w:u w:val="single"/>
        </w:rPr>
      </w:pPr>
    </w:p>
    <w:p w:rsidR="00FF29CB" w:rsidRPr="00FB1BAF" w:rsidRDefault="00FF29CB" w:rsidP="00FF29CB">
      <w:pPr>
        <w:ind w:firstLine="708"/>
        <w:rPr>
          <w:rFonts w:ascii="Arial" w:hAnsi="Arial" w:cs="Arial"/>
          <w:b/>
          <w:bCs/>
          <w:sz w:val="22"/>
          <w:szCs w:val="22"/>
          <w:u w:val="single"/>
        </w:rPr>
      </w:pPr>
      <w:r w:rsidRPr="00FB1BAF">
        <w:rPr>
          <w:rFonts w:ascii="Arial" w:hAnsi="Arial" w:cs="Arial"/>
          <w:b/>
          <w:bCs/>
          <w:sz w:val="22"/>
          <w:szCs w:val="22"/>
          <w:u w:val="single"/>
        </w:rPr>
        <w:t>VI.  OBRAZLOŽENJE PO DANIM  ZAJMOVIMA I UDIO U GLAVNICI</w:t>
      </w:r>
    </w:p>
    <w:p w:rsidR="00FF29CB" w:rsidRPr="003173B7" w:rsidRDefault="00FF29CB" w:rsidP="00FF29CB">
      <w:pPr>
        <w:rPr>
          <w:rFonts w:ascii="Arial" w:hAnsi="Arial" w:cs="Arial"/>
          <w:sz w:val="22"/>
          <w:szCs w:val="22"/>
        </w:rPr>
      </w:pPr>
    </w:p>
    <w:p w:rsidR="00FF29CB" w:rsidRPr="003173B7" w:rsidRDefault="00FF29CB" w:rsidP="00FF29CB">
      <w:pPr>
        <w:jc w:val="both"/>
        <w:rPr>
          <w:rFonts w:ascii="Arial" w:hAnsi="Arial" w:cs="Arial"/>
          <w:color w:val="auto"/>
          <w:sz w:val="22"/>
          <w:szCs w:val="22"/>
        </w:rPr>
      </w:pPr>
    </w:p>
    <w:p w:rsidR="00FF29CB" w:rsidRPr="003173B7" w:rsidRDefault="00FF29CB" w:rsidP="00FF29CB">
      <w:pPr>
        <w:jc w:val="both"/>
        <w:rPr>
          <w:rFonts w:ascii="Arial" w:hAnsi="Arial" w:cs="Arial"/>
          <w:sz w:val="22"/>
          <w:szCs w:val="22"/>
        </w:rPr>
      </w:pPr>
      <w:r w:rsidRPr="003173B7">
        <w:rPr>
          <w:rFonts w:ascii="Arial" w:hAnsi="Arial" w:cs="Arial"/>
          <w:sz w:val="22"/>
          <w:szCs w:val="22"/>
        </w:rPr>
        <w:t>Zajmovi malim poduzetnicima i obrtnicima dani su početkom 2004.g. na rokove otplate tri, pet i sedam godina, s počekom od jedne godine. Kod slučajeva neurednih otplata poduzete su zakonske mjere prisilne naplate, a u usporedbi sa stanjem na dan 30. lipnja 2018. godine isti su na istoj razini, dok su studentski zajmovi smanjeni za 42.200,00 kn.</w:t>
      </w:r>
    </w:p>
    <w:p w:rsidR="00FF29CB" w:rsidRPr="003173B7" w:rsidRDefault="00FF29CB" w:rsidP="00FF29CB">
      <w:pPr>
        <w:jc w:val="both"/>
        <w:rPr>
          <w:rFonts w:ascii="Arial" w:hAnsi="Arial" w:cs="Arial"/>
          <w:sz w:val="22"/>
          <w:szCs w:val="22"/>
        </w:rPr>
      </w:pPr>
    </w:p>
    <w:p w:rsidR="00FF29CB" w:rsidRPr="003173B7" w:rsidRDefault="00FF29CB" w:rsidP="00FF29CB">
      <w:pPr>
        <w:jc w:val="both"/>
        <w:rPr>
          <w:rFonts w:ascii="Arial" w:hAnsi="Arial" w:cs="Arial"/>
          <w:sz w:val="22"/>
          <w:szCs w:val="22"/>
        </w:rPr>
      </w:pPr>
      <w:r w:rsidRPr="003173B7">
        <w:rPr>
          <w:rFonts w:ascii="Arial" w:hAnsi="Arial" w:cs="Arial"/>
          <w:sz w:val="22"/>
          <w:szCs w:val="22"/>
        </w:rPr>
        <w:t>Odlukom Gradskog vijeća Grada Dubrovnika odobrena je pozajmica društvu DURA d.o.o u iznosu od 790.000,00 kuna, koja je ovom razdoblju u potpunosti otplaćena.</w:t>
      </w:r>
    </w:p>
    <w:p w:rsidR="00FF29CB" w:rsidRPr="003173B7" w:rsidRDefault="00FF29CB" w:rsidP="00FF29CB">
      <w:pPr>
        <w:jc w:val="both"/>
        <w:rPr>
          <w:rFonts w:ascii="Arial" w:hAnsi="Arial" w:cs="Arial"/>
          <w:sz w:val="22"/>
          <w:szCs w:val="22"/>
        </w:rPr>
      </w:pPr>
      <w:r w:rsidRPr="003173B7">
        <w:rPr>
          <w:rFonts w:ascii="Arial" w:hAnsi="Arial" w:cs="Arial"/>
          <w:sz w:val="22"/>
          <w:szCs w:val="22"/>
        </w:rPr>
        <w:t>Ukupno stanje potraživanja po danim zajmovima na dan 30.06.2019 iznosi 385.238,44 kuna što je u odnosu na isto razdoblje protekle godine smanjenje potraživanja od 832.200,00 kuna.</w:t>
      </w:r>
    </w:p>
    <w:p w:rsidR="00FF29CB" w:rsidRPr="003173B7" w:rsidRDefault="00FF29CB" w:rsidP="00FF29CB">
      <w:pPr>
        <w:jc w:val="both"/>
        <w:rPr>
          <w:rFonts w:ascii="Arial" w:hAnsi="Arial" w:cs="Arial"/>
          <w:sz w:val="22"/>
          <w:szCs w:val="22"/>
        </w:rPr>
      </w:pPr>
    </w:p>
    <w:p w:rsidR="00FF29CB" w:rsidRPr="003173B7" w:rsidRDefault="00FF29CB" w:rsidP="00FF29CB">
      <w:pPr>
        <w:jc w:val="both"/>
        <w:rPr>
          <w:rFonts w:ascii="Arial" w:hAnsi="Arial" w:cs="Arial"/>
          <w:sz w:val="22"/>
          <w:szCs w:val="22"/>
        </w:rPr>
      </w:pPr>
      <w:r w:rsidRPr="003173B7">
        <w:rPr>
          <w:rFonts w:ascii="Arial" w:hAnsi="Arial" w:cs="Arial"/>
          <w:sz w:val="22"/>
          <w:szCs w:val="22"/>
        </w:rPr>
        <w:t>Dionice i udjeli u glavnici iskazani su sukladno društvenim ugovorima za bivša javna poduzeća sklopljenim temeljem Zakona o komunalnom gospodarstvu, Zakona o trgovačkim društvima i Odluke komisije Vlade RH, kao i osnivanjem trgovačkih društava i kupnjom dionica.</w:t>
      </w:r>
    </w:p>
    <w:p w:rsidR="00FF29CB" w:rsidRPr="003173B7" w:rsidRDefault="00FF29CB" w:rsidP="00FF29CB">
      <w:pPr>
        <w:jc w:val="both"/>
        <w:rPr>
          <w:rFonts w:ascii="Arial" w:hAnsi="Arial" w:cs="Arial"/>
          <w:sz w:val="22"/>
          <w:szCs w:val="22"/>
        </w:rPr>
      </w:pPr>
    </w:p>
    <w:p w:rsidR="00FF29CB" w:rsidRPr="003173B7" w:rsidRDefault="00FF29CB" w:rsidP="00FF29CB">
      <w:pPr>
        <w:jc w:val="both"/>
        <w:rPr>
          <w:rFonts w:ascii="Arial" w:hAnsi="Arial" w:cs="Arial"/>
          <w:sz w:val="22"/>
          <w:szCs w:val="22"/>
        </w:rPr>
      </w:pPr>
      <w:r w:rsidRPr="003173B7">
        <w:rPr>
          <w:rFonts w:ascii="Arial" w:hAnsi="Arial" w:cs="Arial"/>
          <w:sz w:val="22"/>
          <w:szCs w:val="22"/>
        </w:rPr>
        <w:t>Potraživanja za dane zajmove, te knjigovodstveno evidentirana vrijednost dionica i udjela u glavnici iskazana na temelju vjerodostojne dokumentacije na 30. lipnja 2019. iznose ukupno 426.735.265,91 kuna.</w:t>
      </w:r>
    </w:p>
    <w:p w:rsidR="00FF29CB" w:rsidRPr="003173B7" w:rsidRDefault="00FF29CB" w:rsidP="00FF29CB">
      <w:pPr>
        <w:jc w:val="both"/>
        <w:rPr>
          <w:rFonts w:ascii="Arial" w:hAnsi="Arial" w:cs="Arial"/>
          <w:sz w:val="22"/>
          <w:szCs w:val="22"/>
        </w:rPr>
      </w:pPr>
    </w:p>
    <w:p w:rsidR="00FF29CB" w:rsidRPr="003173B7" w:rsidRDefault="00FF29CB" w:rsidP="00FF29CB">
      <w:pPr>
        <w:jc w:val="both"/>
        <w:rPr>
          <w:rFonts w:ascii="Arial" w:hAnsi="Arial" w:cs="Arial"/>
          <w:sz w:val="22"/>
          <w:szCs w:val="22"/>
        </w:rPr>
      </w:pPr>
      <w:r w:rsidRPr="003173B7">
        <w:rPr>
          <w:rFonts w:ascii="Arial" w:hAnsi="Arial" w:cs="Arial"/>
          <w:sz w:val="22"/>
          <w:szCs w:val="22"/>
        </w:rPr>
        <w:t>Usporedbom stanja 30. lipnja 2018. i 30. lipnja 2019.(pregled u tablici br.</w:t>
      </w:r>
      <w:r w:rsidR="000261CA">
        <w:rPr>
          <w:rFonts w:ascii="Arial" w:hAnsi="Arial" w:cs="Arial"/>
          <w:sz w:val="22"/>
          <w:szCs w:val="22"/>
        </w:rPr>
        <w:t>8</w:t>
      </w:r>
      <w:r w:rsidRPr="003173B7">
        <w:rPr>
          <w:rFonts w:ascii="Arial" w:hAnsi="Arial" w:cs="Arial"/>
          <w:sz w:val="22"/>
          <w:szCs w:val="22"/>
        </w:rPr>
        <w:t>) vidljivo je da je došlo do povećanja i to za ukupno 48.907.302,27 kuna. Prema priloženom pregledu i kako je već navedeno, značajno povećanje udjela ostvareno je prijenosom potraživanja Grada Dubrovnika u udjele društva UTD Ragusa u ukupnom iznosu od 45.727.700 kuna zbog kupnje paketa dionica, dok se vrijednost udjela u tvrtki Lanište d.o.o. umanjilo za 1.153,93 kuna temeljem tečajnih razlika. Također je u izvještajnom razdoblju provedeno isknjiženje potraživanja za četiri tvrtke koje su brisane iz sudskog registra. Uvedene su nova potraživanja za dionice Excelsa nekretnina i Atlas d.d.</w:t>
      </w:r>
    </w:p>
    <w:tbl>
      <w:tblPr>
        <w:tblW w:w="9796" w:type="dxa"/>
        <w:tblInd w:w="93" w:type="dxa"/>
        <w:tblLayout w:type="fixed"/>
        <w:tblLook w:val="04A0"/>
      </w:tblPr>
      <w:tblGrid>
        <w:gridCol w:w="25"/>
        <w:gridCol w:w="636"/>
        <w:gridCol w:w="324"/>
        <w:gridCol w:w="2887"/>
        <w:gridCol w:w="193"/>
        <w:gridCol w:w="1620"/>
        <w:gridCol w:w="320"/>
        <w:gridCol w:w="1523"/>
        <w:gridCol w:w="417"/>
        <w:gridCol w:w="1746"/>
        <w:gridCol w:w="105"/>
      </w:tblGrid>
      <w:tr w:rsidR="00FF29CB" w:rsidRPr="003173B7" w:rsidTr="00355752">
        <w:trPr>
          <w:trHeight w:val="315"/>
        </w:trPr>
        <w:tc>
          <w:tcPr>
            <w:tcW w:w="9796" w:type="dxa"/>
            <w:gridSpan w:val="11"/>
            <w:noWrap/>
            <w:vAlign w:val="center"/>
          </w:tcPr>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Default="00FF29CB" w:rsidP="00355752">
            <w:pPr>
              <w:rPr>
                <w:rFonts w:ascii="Arial" w:hAnsi="Arial" w:cs="Arial"/>
                <w:b/>
                <w:bCs/>
                <w:sz w:val="22"/>
                <w:szCs w:val="22"/>
              </w:rPr>
            </w:pPr>
          </w:p>
          <w:p w:rsidR="001C3C7B" w:rsidRPr="003173B7" w:rsidRDefault="001C3C7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FF29CB" w:rsidRDefault="00FF29CB" w:rsidP="00355752">
            <w:pPr>
              <w:rPr>
                <w:rFonts w:ascii="Arial" w:hAnsi="Arial" w:cs="Arial"/>
                <w:b/>
                <w:bCs/>
                <w:sz w:val="22"/>
                <w:szCs w:val="22"/>
              </w:rPr>
            </w:pPr>
          </w:p>
          <w:p w:rsidR="00FF29CB" w:rsidRPr="003173B7" w:rsidRDefault="00FF29CB" w:rsidP="00355752">
            <w:pPr>
              <w:rPr>
                <w:rFonts w:ascii="Arial" w:hAnsi="Arial" w:cs="Arial"/>
                <w:b/>
                <w:bCs/>
                <w:sz w:val="22"/>
                <w:szCs w:val="22"/>
              </w:rPr>
            </w:pPr>
          </w:p>
          <w:p w:rsidR="00A727D7" w:rsidRPr="003173B7" w:rsidRDefault="00A727D7" w:rsidP="00355752">
            <w:pPr>
              <w:rPr>
                <w:rFonts w:ascii="Arial" w:hAnsi="Arial" w:cs="Arial"/>
                <w:b/>
                <w:bCs/>
                <w:sz w:val="22"/>
                <w:szCs w:val="22"/>
              </w:rPr>
            </w:pPr>
          </w:p>
          <w:p w:rsidR="00FF29CB" w:rsidRPr="003173B7" w:rsidRDefault="00FF29CB" w:rsidP="00355752">
            <w:pPr>
              <w:rPr>
                <w:rFonts w:ascii="Arial" w:hAnsi="Arial" w:cs="Arial"/>
                <w:b/>
                <w:bCs/>
                <w:sz w:val="22"/>
                <w:szCs w:val="22"/>
              </w:rPr>
            </w:pPr>
            <w:r w:rsidRPr="003173B7">
              <w:rPr>
                <w:rFonts w:ascii="Arial" w:hAnsi="Arial" w:cs="Arial"/>
                <w:b/>
                <w:bCs/>
                <w:sz w:val="22"/>
                <w:szCs w:val="22"/>
              </w:rPr>
              <w:t>PREGLED  POTRAŽIVANJA  PO  DANIM  ZAJMOVIMA  I  UDIO  U  GLAVNICI</w:t>
            </w:r>
          </w:p>
        </w:tc>
      </w:tr>
      <w:tr w:rsidR="00FF29CB" w:rsidRPr="003173B7" w:rsidTr="00355752">
        <w:trPr>
          <w:trHeight w:val="255"/>
        </w:trPr>
        <w:tc>
          <w:tcPr>
            <w:tcW w:w="661" w:type="dxa"/>
            <w:gridSpan w:val="2"/>
            <w:noWrap/>
            <w:vAlign w:val="bottom"/>
          </w:tcPr>
          <w:p w:rsidR="00FF29CB" w:rsidRPr="003173B7" w:rsidRDefault="00FF29CB" w:rsidP="00355752">
            <w:pPr>
              <w:rPr>
                <w:rFonts w:ascii="Arial" w:hAnsi="Arial" w:cs="Arial"/>
                <w:sz w:val="22"/>
                <w:szCs w:val="22"/>
              </w:rPr>
            </w:pPr>
          </w:p>
        </w:tc>
        <w:tc>
          <w:tcPr>
            <w:tcW w:w="3211" w:type="dxa"/>
            <w:gridSpan w:val="2"/>
            <w:noWrap/>
            <w:vAlign w:val="bottom"/>
          </w:tcPr>
          <w:p w:rsidR="00FF29CB" w:rsidRPr="003173B7" w:rsidRDefault="00FF29CB" w:rsidP="00355752">
            <w:pPr>
              <w:rPr>
                <w:rFonts w:ascii="Arial" w:hAnsi="Arial" w:cs="Arial"/>
                <w:sz w:val="22"/>
                <w:szCs w:val="22"/>
              </w:rPr>
            </w:pPr>
          </w:p>
        </w:tc>
        <w:tc>
          <w:tcPr>
            <w:tcW w:w="1813" w:type="dxa"/>
            <w:gridSpan w:val="2"/>
            <w:noWrap/>
            <w:vAlign w:val="bottom"/>
          </w:tcPr>
          <w:p w:rsidR="00FF29CB" w:rsidRPr="003173B7" w:rsidRDefault="00FF29CB" w:rsidP="00355752">
            <w:pPr>
              <w:rPr>
                <w:rFonts w:ascii="Arial" w:hAnsi="Arial" w:cs="Arial"/>
                <w:sz w:val="22"/>
                <w:szCs w:val="22"/>
              </w:rPr>
            </w:pPr>
          </w:p>
        </w:tc>
        <w:tc>
          <w:tcPr>
            <w:tcW w:w="1843" w:type="dxa"/>
            <w:gridSpan w:val="2"/>
            <w:noWrap/>
            <w:vAlign w:val="bottom"/>
          </w:tcPr>
          <w:p w:rsidR="00FF29CB" w:rsidRPr="003173B7" w:rsidRDefault="00FF29CB" w:rsidP="00355752">
            <w:pPr>
              <w:rPr>
                <w:rFonts w:ascii="Arial" w:hAnsi="Arial" w:cs="Arial"/>
                <w:sz w:val="22"/>
                <w:szCs w:val="22"/>
              </w:rPr>
            </w:pPr>
          </w:p>
        </w:tc>
        <w:tc>
          <w:tcPr>
            <w:tcW w:w="2268" w:type="dxa"/>
            <w:gridSpan w:val="3"/>
            <w:noWrap/>
            <w:vAlign w:val="bottom"/>
          </w:tcPr>
          <w:p w:rsidR="00FF29CB" w:rsidRPr="003173B7" w:rsidRDefault="00FF29CB" w:rsidP="00355752">
            <w:pPr>
              <w:rPr>
                <w:rFonts w:ascii="Arial" w:hAnsi="Arial" w:cs="Arial"/>
                <w:sz w:val="22"/>
                <w:szCs w:val="22"/>
              </w:rPr>
            </w:pPr>
          </w:p>
        </w:tc>
      </w:tr>
      <w:tr w:rsidR="00FF29CB" w:rsidRPr="003173B7" w:rsidTr="00355752">
        <w:trPr>
          <w:trHeight w:val="255"/>
        </w:trPr>
        <w:tc>
          <w:tcPr>
            <w:tcW w:w="3872" w:type="dxa"/>
            <w:gridSpan w:val="4"/>
            <w:noWrap/>
            <w:vAlign w:val="center"/>
            <w:hideMark/>
          </w:tcPr>
          <w:p w:rsidR="00FF29CB" w:rsidRPr="003173B7" w:rsidRDefault="00FF29CB" w:rsidP="00355752">
            <w:pPr>
              <w:rPr>
                <w:rFonts w:ascii="Arial" w:hAnsi="Arial" w:cs="Arial"/>
                <w:b/>
                <w:bCs/>
                <w:sz w:val="22"/>
                <w:szCs w:val="22"/>
              </w:rPr>
            </w:pPr>
            <w:r w:rsidRPr="003173B7">
              <w:rPr>
                <w:rFonts w:ascii="Arial" w:hAnsi="Arial" w:cs="Arial"/>
                <w:b/>
                <w:bCs/>
                <w:sz w:val="22"/>
                <w:szCs w:val="22"/>
              </w:rPr>
              <w:lastRenderedPageBreak/>
              <w:t xml:space="preserve">Tablica br. </w:t>
            </w:r>
            <w:r w:rsidR="00EA2FED">
              <w:rPr>
                <w:rFonts w:ascii="Arial" w:hAnsi="Arial" w:cs="Arial"/>
                <w:b/>
                <w:bCs/>
                <w:sz w:val="22"/>
                <w:szCs w:val="22"/>
              </w:rPr>
              <w:t>8</w:t>
            </w:r>
          </w:p>
        </w:tc>
        <w:tc>
          <w:tcPr>
            <w:tcW w:w="1813" w:type="dxa"/>
            <w:gridSpan w:val="2"/>
            <w:noWrap/>
            <w:vAlign w:val="bottom"/>
          </w:tcPr>
          <w:p w:rsidR="00FF29CB" w:rsidRPr="003173B7" w:rsidRDefault="00FF29CB" w:rsidP="00355752">
            <w:pPr>
              <w:rPr>
                <w:rFonts w:ascii="Arial" w:hAnsi="Arial" w:cs="Arial"/>
                <w:sz w:val="22"/>
                <w:szCs w:val="22"/>
              </w:rPr>
            </w:pPr>
          </w:p>
        </w:tc>
        <w:tc>
          <w:tcPr>
            <w:tcW w:w="1843" w:type="dxa"/>
            <w:gridSpan w:val="2"/>
            <w:noWrap/>
            <w:vAlign w:val="bottom"/>
          </w:tcPr>
          <w:p w:rsidR="00FF29CB" w:rsidRPr="003173B7" w:rsidRDefault="00FF29CB" w:rsidP="00355752">
            <w:pPr>
              <w:rPr>
                <w:rFonts w:ascii="Arial" w:hAnsi="Arial" w:cs="Arial"/>
                <w:sz w:val="22"/>
                <w:szCs w:val="22"/>
              </w:rPr>
            </w:pPr>
          </w:p>
        </w:tc>
        <w:tc>
          <w:tcPr>
            <w:tcW w:w="2268" w:type="dxa"/>
            <w:gridSpan w:val="3"/>
            <w:noWrap/>
            <w:vAlign w:val="bottom"/>
          </w:tcPr>
          <w:p w:rsidR="00FF29CB" w:rsidRPr="003173B7" w:rsidRDefault="00FF29CB" w:rsidP="00355752">
            <w:pPr>
              <w:rPr>
                <w:rFonts w:ascii="Arial" w:hAnsi="Arial" w:cs="Arial"/>
                <w:sz w:val="22"/>
                <w:szCs w:val="22"/>
              </w:rPr>
            </w:pPr>
          </w:p>
        </w:tc>
      </w:tr>
      <w:tr w:rsidR="00FF29CB" w:rsidRPr="003173B7" w:rsidTr="00355752">
        <w:trPr>
          <w:gridBefore w:val="1"/>
          <w:gridAfter w:val="1"/>
          <w:wBefore w:w="25" w:type="dxa"/>
          <w:wAfter w:w="105" w:type="dxa"/>
          <w:trHeight w:val="315"/>
        </w:trPr>
        <w:tc>
          <w:tcPr>
            <w:tcW w:w="960" w:type="dxa"/>
            <w:gridSpan w:val="2"/>
            <w:tcBorders>
              <w:top w:val="single" w:sz="8" w:space="0" w:color="auto"/>
              <w:left w:val="single" w:sz="8" w:space="0" w:color="auto"/>
              <w:bottom w:val="nil"/>
              <w:right w:val="single" w:sz="8"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R.b.</w:t>
            </w:r>
          </w:p>
        </w:tc>
        <w:tc>
          <w:tcPr>
            <w:tcW w:w="3080" w:type="dxa"/>
            <w:gridSpan w:val="2"/>
            <w:tcBorders>
              <w:top w:val="single" w:sz="8" w:space="0" w:color="auto"/>
              <w:left w:val="nil"/>
              <w:bottom w:val="nil"/>
              <w:right w:val="single" w:sz="8"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Opis potraživanja</w:t>
            </w:r>
          </w:p>
        </w:tc>
        <w:tc>
          <w:tcPr>
            <w:tcW w:w="1940" w:type="dxa"/>
            <w:gridSpan w:val="2"/>
            <w:tcBorders>
              <w:top w:val="single" w:sz="8" w:space="0" w:color="auto"/>
              <w:left w:val="nil"/>
              <w:bottom w:val="nil"/>
              <w:right w:val="single" w:sz="8" w:space="0" w:color="auto"/>
            </w:tcBorders>
            <w:noWrap/>
            <w:vAlign w:val="bottom"/>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Stanje 30.06.2018.</w:t>
            </w:r>
          </w:p>
        </w:tc>
        <w:tc>
          <w:tcPr>
            <w:tcW w:w="1940" w:type="dxa"/>
            <w:gridSpan w:val="2"/>
            <w:tcBorders>
              <w:top w:val="single" w:sz="8" w:space="0" w:color="auto"/>
              <w:left w:val="nil"/>
              <w:bottom w:val="nil"/>
              <w:right w:val="single" w:sz="8" w:space="0" w:color="auto"/>
            </w:tcBorders>
            <w:noWrap/>
            <w:vAlign w:val="bottom"/>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Stanje 30.06.2019.</w:t>
            </w:r>
          </w:p>
        </w:tc>
        <w:tc>
          <w:tcPr>
            <w:tcW w:w="1746" w:type="dxa"/>
            <w:tcBorders>
              <w:top w:val="single" w:sz="8" w:space="0" w:color="auto"/>
              <w:left w:val="nil"/>
              <w:bottom w:val="nil"/>
              <w:right w:val="single" w:sz="8" w:space="0" w:color="auto"/>
            </w:tcBorders>
            <w:noWrap/>
            <w:vAlign w:val="bottom"/>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Razlika + ili -</w:t>
            </w:r>
          </w:p>
        </w:tc>
      </w:tr>
      <w:tr w:rsidR="00FF29CB" w:rsidRPr="003173B7" w:rsidTr="00355752">
        <w:trPr>
          <w:gridBefore w:val="1"/>
          <w:gridAfter w:val="1"/>
          <w:wBefore w:w="25" w:type="dxa"/>
          <w:wAfter w:w="105" w:type="dxa"/>
          <w:trHeight w:val="315"/>
        </w:trPr>
        <w:tc>
          <w:tcPr>
            <w:tcW w:w="960" w:type="dxa"/>
            <w:gridSpan w:val="2"/>
            <w:tcBorders>
              <w:top w:val="single" w:sz="8" w:space="0" w:color="auto"/>
              <w:left w:val="single" w:sz="8" w:space="0" w:color="auto"/>
              <w:bottom w:val="single" w:sz="8" w:space="0" w:color="auto"/>
              <w:right w:val="single" w:sz="4" w:space="0" w:color="auto"/>
            </w:tcBorders>
            <w:shd w:val="clear" w:color="auto" w:fill="D9D9D9"/>
            <w:noWrap/>
            <w:vAlign w:val="center"/>
            <w:hideMark/>
          </w:tcPr>
          <w:p w:rsidR="00FF29CB" w:rsidRPr="003173B7" w:rsidRDefault="00FF29CB" w:rsidP="00355752">
            <w:pPr>
              <w:jc w:val="center"/>
              <w:rPr>
                <w:rFonts w:ascii="Arial" w:hAnsi="Arial" w:cs="Arial"/>
                <w:b/>
                <w:bCs/>
                <w:sz w:val="22"/>
                <w:szCs w:val="22"/>
              </w:rPr>
            </w:pPr>
            <w:r w:rsidRPr="003173B7">
              <w:rPr>
                <w:rFonts w:ascii="Arial" w:hAnsi="Arial" w:cs="Arial"/>
                <w:b/>
                <w:bCs/>
                <w:sz w:val="22"/>
                <w:szCs w:val="22"/>
              </w:rPr>
              <w:t>1.</w:t>
            </w:r>
          </w:p>
        </w:tc>
        <w:tc>
          <w:tcPr>
            <w:tcW w:w="3080" w:type="dxa"/>
            <w:gridSpan w:val="2"/>
            <w:tcBorders>
              <w:top w:val="single" w:sz="8" w:space="0" w:color="auto"/>
              <w:left w:val="nil"/>
              <w:bottom w:val="single" w:sz="8" w:space="0" w:color="auto"/>
              <w:right w:val="single" w:sz="4" w:space="0" w:color="auto"/>
            </w:tcBorders>
            <w:shd w:val="clear" w:color="auto" w:fill="D9D9D9"/>
            <w:noWrap/>
            <w:vAlign w:val="bottom"/>
            <w:hideMark/>
          </w:tcPr>
          <w:p w:rsidR="00FF29CB" w:rsidRPr="003173B7" w:rsidRDefault="00FF29CB" w:rsidP="00355752">
            <w:pPr>
              <w:rPr>
                <w:rFonts w:ascii="Arial" w:hAnsi="Arial" w:cs="Arial"/>
                <w:b/>
                <w:bCs/>
                <w:sz w:val="22"/>
                <w:szCs w:val="22"/>
              </w:rPr>
            </w:pPr>
            <w:r w:rsidRPr="003173B7">
              <w:rPr>
                <w:rFonts w:ascii="Arial" w:hAnsi="Arial" w:cs="Arial"/>
                <w:b/>
                <w:bCs/>
                <w:sz w:val="22"/>
                <w:szCs w:val="22"/>
              </w:rPr>
              <w:t>Zajmovi</w:t>
            </w:r>
          </w:p>
        </w:tc>
        <w:tc>
          <w:tcPr>
            <w:tcW w:w="1940" w:type="dxa"/>
            <w:gridSpan w:val="2"/>
            <w:tcBorders>
              <w:top w:val="single" w:sz="8" w:space="0" w:color="auto"/>
              <w:left w:val="nil"/>
              <w:bottom w:val="single" w:sz="8" w:space="0" w:color="auto"/>
              <w:right w:val="single" w:sz="4" w:space="0" w:color="auto"/>
            </w:tcBorders>
            <w:shd w:val="clear" w:color="auto" w:fill="D9D9D9"/>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1.217.438,44</w:t>
            </w:r>
          </w:p>
        </w:tc>
        <w:tc>
          <w:tcPr>
            <w:tcW w:w="1940" w:type="dxa"/>
            <w:gridSpan w:val="2"/>
            <w:tcBorders>
              <w:top w:val="single" w:sz="8" w:space="0" w:color="auto"/>
              <w:left w:val="nil"/>
              <w:bottom w:val="single" w:sz="8" w:space="0" w:color="auto"/>
              <w:right w:val="single" w:sz="4" w:space="0" w:color="auto"/>
            </w:tcBorders>
            <w:shd w:val="clear" w:color="auto" w:fill="D9D9D9"/>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385.238,44</w:t>
            </w:r>
          </w:p>
        </w:tc>
        <w:tc>
          <w:tcPr>
            <w:tcW w:w="1746" w:type="dxa"/>
            <w:tcBorders>
              <w:top w:val="single" w:sz="8" w:space="0" w:color="auto"/>
              <w:left w:val="nil"/>
              <w:bottom w:val="single" w:sz="8" w:space="0" w:color="auto"/>
              <w:right w:val="single" w:sz="8" w:space="0" w:color="auto"/>
            </w:tcBorders>
            <w:shd w:val="clear" w:color="auto" w:fill="D9D9D9"/>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-832.200,00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1.1.</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Mala privreda i obrtnici</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176.813,44</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176.813,44</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8" w:space="0" w:color="auto"/>
              <w:right w:val="single" w:sz="8"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1.2.</w:t>
            </w:r>
          </w:p>
        </w:tc>
        <w:tc>
          <w:tcPr>
            <w:tcW w:w="308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Studentski zajmovi</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250.625,00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208.425,00</w:t>
            </w:r>
          </w:p>
        </w:tc>
        <w:tc>
          <w:tcPr>
            <w:tcW w:w="1746" w:type="dxa"/>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-42.200,00</w:t>
            </w:r>
          </w:p>
        </w:tc>
      </w:tr>
      <w:tr w:rsidR="00FF29CB" w:rsidRPr="003173B7" w:rsidTr="00355752">
        <w:trPr>
          <w:gridBefore w:val="1"/>
          <w:gridAfter w:val="1"/>
          <w:wBefore w:w="25" w:type="dxa"/>
          <w:wAfter w:w="105" w:type="dxa"/>
          <w:trHeight w:val="315"/>
        </w:trPr>
        <w:tc>
          <w:tcPr>
            <w:tcW w:w="960" w:type="dxa"/>
            <w:gridSpan w:val="2"/>
            <w:tcBorders>
              <w:top w:val="single" w:sz="8" w:space="0" w:color="auto"/>
              <w:left w:val="single" w:sz="4" w:space="0" w:color="auto"/>
              <w:bottom w:val="nil"/>
              <w:right w:val="single" w:sz="8"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1.3.</w:t>
            </w:r>
          </w:p>
        </w:tc>
        <w:tc>
          <w:tcPr>
            <w:tcW w:w="3080" w:type="dxa"/>
            <w:gridSpan w:val="2"/>
            <w:tcBorders>
              <w:top w:val="single" w:sz="8" w:space="0" w:color="auto"/>
              <w:left w:val="single" w:sz="8" w:space="0" w:color="auto"/>
              <w:bottom w:val="nil"/>
              <w:right w:val="single" w:sz="8"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Pozajmica DURA</w:t>
            </w:r>
          </w:p>
        </w:tc>
        <w:tc>
          <w:tcPr>
            <w:tcW w:w="1940" w:type="dxa"/>
            <w:gridSpan w:val="2"/>
            <w:tcBorders>
              <w:top w:val="single" w:sz="8" w:space="0" w:color="auto"/>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790.000,00</w:t>
            </w:r>
          </w:p>
        </w:tc>
        <w:tc>
          <w:tcPr>
            <w:tcW w:w="1940" w:type="dxa"/>
            <w:gridSpan w:val="2"/>
            <w:tcBorders>
              <w:top w:val="single" w:sz="8" w:space="0" w:color="auto"/>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c>
          <w:tcPr>
            <w:tcW w:w="1746" w:type="dxa"/>
            <w:tcBorders>
              <w:top w:val="single" w:sz="8" w:space="0" w:color="auto"/>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-790.000,00</w:t>
            </w:r>
          </w:p>
        </w:tc>
      </w:tr>
      <w:tr w:rsidR="00FF29CB" w:rsidRPr="003173B7" w:rsidTr="00355752">
        <w:trPr>
          <w:gridBefore w:val="1"/>
          <w:gridAfter w:val="1"/>
          <w:wBefore w:w="25" w:type="dxa"/>
          <w:wAfter w:w="105" w:type="dxa"/>
          <w:trHeight w:val="315"/>
        </w:trPr>
        <w:tc>
          <w:tcPr>
            <w:tcW w:w="960" w:type="dxa"/>
            <w:gridSpan w:val="2"/>
            <w:tcBorders>
              <w:top w:val="single" w:sz="8" w:space="0" w:color="auto"/>
              <w:left w:val="single" w:sz="8" w:space="0" w:color="auto"/>
              <w:bottom w:val="single" w:sz="8" w:space="0" w:color="auto"/>
              <w:right w:val="single" w:sz="4" w:space="0" w:color="auto"/>
            </w:tcBorders>
            <w:shd w:val="clear" w:color="auto" w:fill="D9D9D9"/>
            <w:noWrap/>
            <w:vAlign w:val="center"/>
            <w:hideMark/>
          </w:tcPr>
          <w:p w:rsidR="00FF29CB" w:rsidRPr="003173B7" w:rsidRDefault="00FF29CB" w:rsidP="00355752">
            <w:pPr>
              <w:jc w:val="center"/>
              <w:rPr>
                <w:rFonts w:ascii="Arial" w:hAnsi="Arial" w:cs="Arial"/>
                <w:b/>
                <w:bCs/>
                <w:sz w:val="22"/>
                <w:szCs w:val="22"/>
              </w:rPr>
            </w:pPr>
            <w:r w:rsidRPr="003173B7">
              <w:rPr>
                <w:rFonts w:ascii="Arial" w:hAnsi="Arial" w:cs="Arial"/>
                <w:b/>
                <w:bCs/>
                <w:sz w:val="22"/>
                <w:szCs w:val="22"/>
              </w:rPr>
              <w:t>2.</w:t>
            </w:r>
          </w:p>
        </w:tc>
        <w:tc>
          <w:tcPr>
            <w:tcW w:w="3080" w:type="dxa"/>
            <w:gridSpan w:val="2"/>
            <w:tcBorders>
              <w:top w:val="single" w:sz="8" w:space="0" w:color="auto"/>
              <w:left w:val="nil"/>
              <w:bottom w:val="single" w:sz="8" w:space="0" w:color="auto"/>
              <w:right w:val="single" w:sz="4" w:space="0" w:color="auto"/>
            </w:tcBorders>
            <w:shd w:val="clear" w:color="auto" w:fill="D9D9D9"/>
            <w:noWrap/>
            <w:vAlign w:val="bottom"/>
            <w:hideMark/>
          </w:tcPr>
          <w:p w:rsidR="00FF29CB" w:rsidRPr="003173B7" w:rsidRDefault="00FF29CB" w:rsidP="00355752">
            <w:pPr>
              <w:rPr>
                <w:rFonts w:ascii="Arial" w:hAnsi="Arial" w:cs="Arial"/>
                <w:b/>
                <w:bCs/>
                <w:sz w:val="22"/>
                <w:szCs w:val="22"/>
              </w:rPr>
            </w:pPr>
            <w:r w:rsidRPr="003173B7">
              <w:rPr>
                <w:rFonts w:ascii="Arial" w:hAnsi="Arial" w:cs="Arial"/>
                <w:b/>
                <w:bCs/>
                <w:sz w:val="22"/>
                <w:szCs w:val="22"/>
              </w:rPr>
              <w:t>Dionice i udio u glavnici</w:t>
            </w:r>
          </w:p>
        </w:tc>
        <w:tc>
          <w:tcPr>
            <w:tcW w:w="1940" w:type="dxa"/>
            <w:gridSpan w:val="2"/>
            <w:tcBorders>
              <w:top w:val="nil"/>
              <w:left w:val="nil"/>
              <w:bottom w:val="single" w:sz="8" w:space="0" w:color="auto"/>
              <w:right w:val="nil"/>
            </w:tcBorders>
            <w:shd w:val="clear" w:color="auto" w:fill="D9D9D9"/>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376.995.763,64</w:t>
            </w:r>
          </w:p>
        </w:tc>
        <w:tc>
          <w:tcPr>
            <w:tcW w:w="1940" w:type="dxa"/>
            <w:gridSpan w:val="2"/>
            <w:tcBorders>
              <w:top w:val="nil"/>
              <w:left w:val="single" w:sz="8" w:space="0" w:color="auto"/>
              <w:bottom w:val="single" w:sz="8" w:space="0" w:color="auto"/>
              <w:right w:val="single" w:sz="4" w:space="0" w:color="auto"/>
            </w:tcBorders>
            <w:shd w:val="clear" w:color="auto" w:fill="D9D9D9"/>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426.735.265,91</w:t>
            </w:r>
          </w:p>
        </w:tc>
        <w:tc>
          <w:tcPr>
            <w:tcW w:w="1746" w:type="dxa"/>
            <w:tcBorders>
              <w:top w:val="nil"/>
              <w:left w:val="nil"/>
              <w:bottom w:val="single" w:sz="8" w:space="0" w:color="auto"/>
              <w:right w:val="single" w:sz="8" w:space="0" w:color="auto"/>
            </w:tcBorders>
            <w:shd w:val="clear" w:color="auto" w:fill="D9D9D9"/>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49.739.502,27</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Institut IGH</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3.040,00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3.040,00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2.2.</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Čistoća - Grabovica</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30.674.702,16</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30.674.702,16</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2.3.</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Vodovod (Zaton,Brsečine,Elafiti)</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205.799.900,00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205.799.900,00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2.4.</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Libertas - prometno</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26.547.600,00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26.547.600,00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2.5.</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Luka Dubrovnik</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5.694.320,00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5.694.320,00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2.6.</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Sanitat</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5.088.470,16</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5.088.470,16</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2.7.</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Potraž.za dionice HPB</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9.000,00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9.000,00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2.8.</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UTD Ragusa</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16.233.000,00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74.400.600,00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45.727.700,00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2.9.</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Zračna luka Dubrovnik</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41.505.000,00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41.505.000,00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2.10.</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Vrtlar</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31.755.400,00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31.755.400,00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2.11.</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Boninovo</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376.300,00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376.300,00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2.12.</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Hotel Gruž</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4.357.000,00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4.357.000,00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2.13.</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Domouprava</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134.900,00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134.900,00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2.14.</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Rijeka Dubrovačka</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2.15.</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Dubrovački konat</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2.16.</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Dubrovnik i Jakov Becker</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10.200,00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10.200,00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2.17.</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Dubrovačke lučice</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45.000,00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45.000,00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2.18.</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Dubrovnik Riviera Invest</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2.19.</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Dubrovačka razvojna agencija</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2.20.</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Groblje Dubac</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9.800,00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9.800,00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single" w:sz="4" w:space="0" w:color="auto"/>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2.21.</w:t>
            </w:r>
          </w:p>
        </w:tc>
        <w:tc>
          <w:tcPr>
            <w:tcW w:w="3080" w:type="dxa"/>
            <w:gridSpan w:val="2"/>
            <w:tcBorders>
              <w:top w:val="nil"/>
              <w:left w:val="nil"/>
              <w:bottom w:val="single" w:sz="4" w:space="0" w:color="auto"/>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Ragusa Parking</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10.000,00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c>
          <w:tcPr>
            <w:tcW w:w="1746" w:type="dxa"/>
            <w:tcBorders>
              <w:top w:val="nil"/>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-10.000,00</w:t>
            </w:r>
          </w:p>
        </w:tc>
      </w:tr>
      <w:tr w:rsidR="00FF29CB" w:rsidRPr="003173B7" w:rsidTr="00355752">
        <w:trPr>
          <w:gridBefore w:val="1"/>
          <w:gridAfter w:val="1"/>
          <w:wBefore w:w="25" w:type="dxa"/>
          <w:wAfter w:w="105" w:type="dxa"/>
          <w:trHeight w:val="315"/>
        </w:trPr>
        <w:tc>
          <w:tcPr>
            <w:tcW w:w="960" w:type="dxa"/>
            <w:gridSpan w:val="2"/>
            <w:tcBorders>
              <w:top w:val="nil"/>
              <w:left w:val="single" w:sz="4" w:space="0" w:color="auto"/>
              <w:bottom w:val="nil"/>
              <w:right w:val="single" w:sz="4"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2.22.</w:t>
            </w:r>
          </w:p>
        </w:tc>
        <w:tc>
          <w:tcPr>
            <w:tcW w:w="3080" w:type="dxa"/>
            <w:gridSpan w:val="2"/>
            <w:tcBorders>
              <w:top w:val="nil"/>
              <w:left w:val="nil"/>
              <w:bottom w:val="nil"/>
              <w:right w:val="single" w:sz="4" w:space="0" w:color="auto"/>
            </w:tcBorders>
            <w:noWrap/>
            <w:vAlign w:val="bottom"/>
            <w:hideMark/>
          </w:tcPr>
          <w:p w:rsidR="00FF29CB" w:rsidRPr="003173B7" w:rsidRDefault="00FF29CB" w:rsidP="00355752">
            <w:pPr>
              <w:rPr>
                <w:rFonts w:ascii="Arial" w:hAnsi="Arial" w:cs="Arial"/>
                <w:sz w:val="22"/>
                <w:szCs w:val="22"/>
              </w:rPr>
            </w:pPr>
            <w:r w:rsidRPr="003173B7">
              <w:rPr>
                <w:rFonts w:ascii="Arial" w:hAnsi="Arial" w:cs="Arial"/>
                <w:sz w:val="22"/>
                <w:szCs w:val="22"/>
              </w:rPr>
              <w:t>Dubrovačka baština</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20.000,00</w:t>
            </w:r>
          </w:p>
        </w:tc>
        <w:tc>
          <w:tcPr>
            <w:tcW w:w="1746" w:type="dxa"/>
            <w:tcBorders>
              <w:top w:val="nil"/>
              <w:left w:val="nil"/>
              <w:bottom w:val="nil"/>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single" w:sz="8" w:space="0" w:color="auto"/>
              <w:left w:val="single" w:sz="8" w:space="0" w:color="auto"/>
              <w:bottom w:val="single" w:sz="8" w:space="0" w:color="auto"/>
              <w:right w:val="single" w:sz="8"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2.23.</w:t>
            </w:r>
          </w:p>
        </w:tc>
        <w:tc>
          <w:tcPr>
            <w:tcW w:w="3080" w:type="dxa"/>
            <w:gridSpan w:val="2"/>
            <w:tcBorders>
              <w:top w:val="single" w:sz="8" w:space="0" w:color="auto"/>
              <w:left w:val="nil"/>
              <w:bottom w:val="single" w:sz="8" w:space="0" w:color="auto"/>
              <w:right w:val="single" w:sz="8" w:space="0" w:color="auto"/>
            </w:tcBorders>
            <w:noWrap/>
            <w:vAlign w:val="center"/>
            <w:hideMark/>
          </w:tcPr>
          <w:p w:rsidR="00FF29CB" w:rsidRPr="003173B7" w:rsidRDefault="00FF29CB" w:rsidP="00355752">
            <w:pPr>
              <w:rPr>
                <w:rFonts w:ascii="Arial" w:hAnsi="Arial" w:cs="Arial"/>
                <w:sz w:val="22"/>
                <w:szCs w:val="22"/>
              </w:rPr>
            </w:pPr>
            <w:r w:rsidRPr="003173B7">
              <w:rPr>
                <w:rFonts w:ascii="Arial" w:hAnsi="Arial" w:cs="Arial"/>
                <w:sz w:val="22"/>
                <w:szCs w:val="22"/>
              </w:rPr>
              <w:t>Magma d.d</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110.670,00</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110.670,00</w:t>
            </w:r>
          </w:p>
        </w:tc>
        <w:tc>
          <w:tcPr>
            <w:tcW w:w="1746" w:type="dxa"/>
            <w:tcBorders>
              <w:top w:val="single" w:sz="8" w:space="0" w:color="auto"/>
              <w:left w:val="nil"/>
              <w:bottom w:val="nil"/>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r>
      <w:tr w:rsidR="00FF29CB" w:rsidRPr="003173B7" w:rsidTr="00355752">
        <w:trPr>
          <w:gridBefore w:val="1"/>
          <w:gridAfter w:val="1"/>
          <w:wBefore w:w="25" w:type="dxa"/>
          <w:wAfter w:w="105" w:type="dxa"/>
          <w:trHeight w:val="315"/>
        </w:trPr>
        <w:tc>
          <w:tcPr>
            <w:tcW w:w="960" w:type="dxa"/>
            <w:gridSpan w:val="2"/>
            <w:tcBorders>
              <w:top w:val="nil"/>
              <w:left w:val="single" w:sz="8" w:space="0" w:color="auto"/>
              <w:bottom w:val="single" w:sz="8" w:space="0" w:color="auto"/>
              <w:right w:val="single" w:sz="8" w:space="0" w:color="auto"/>
            </w:tcBorders>
            <w:noWrap/>
            <w:vAlign w:val="center"/>
            <w:hideMark/>
          </w:tcPr>
          <w:p w:rsidR="00FF29CB" w:rsidRPr="003173B7" w:rsidRDefault="00FF29CB" w:rsidP="00355752">
            <w:pPr>
              <w:jc w:val="center"/>
              <w:rPr>
                <w:rFonts w:ascii="Arial" w:hAnsi="Arial" w:cs="Arial"/>
                <w:sz w:val="22"/>
                <w:szCs w:val="22"/>
              </w:rPr>
            </w:pPr>
            <w:r w:rsidRPr="003173B7">
              <w:rPr>
                <w:rFonts w:ascii="Arial" w:hAnsi="Arial" w:cs="Arial"/>
                <w:sz w:val="22"/>
                <w:szCs w:val="22"/>
              </w:rPr>
              <w:t>2.24.</w:t>
            </w:r>
          </w:p>
        </w:tc>
        <w:tc>
          <w:tcPr>
            <w:tcW w:w="3080" w:type="dxa"/>
            <w:gridSpan w:val="2"/>
            <w:tcBorders>
              <w:top w:val="nil"/>
              <w:left w:val="nil"/>
              <w:bottom w:val="single" w:sz="8" w:space="0" w:color="auto"/>
              <w:right w:val="single" w:sz="8" w:space="0" w:color="auto"/>
            </w:tcBorders>
            <w:noWrap/>
            <w:vAlign w:val="center"/>
            <w:hideMark/>
          </w:tcPr>
          <w:p w:rsidR="00FF29CB" w:rsidRPr="003173B7" w:rsidRDefault="00FF29CB" w:rsidP="00355752">
            <w:pPr>
              <w:rPr>
                <w:rFonts w:ascii="Arial" w:hAnsi="Arial" w:cs="Arial"/>
                <w:sz w:val="22"/>
                <w:szCs w:val="22"/>
              </w:rPr>
            </w:pPr>
            <w:r w:rsidRPr="003173B7">
              <w:rPr>
                <w:rFonts w:ascii="Arial" w:hAnsi="Arial" w:cs="Arial"/>
                <w:sz w:val="22"/>
                <w:szCs w:val="22"/>
              </w:rPr>
              <w:t>Lanište d.o.o</w:t>
            </w:r>
          </w:p>
        </w:tc>
        <w:tc>
          <w:tcPr>
            <w:tcW w:w="1940" w:type="dxa"/>
            <w:gridSpan w:val="2"/>
            <w:tcBorders>
              <w:top w:val="nil"/>
              <w:left w:val="nil"/>
              <w:bottom w:val="single" w:sz="8" w:space="0" w:color="auto"/>
              <w:right w:val="nil"/>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91.561,32</w:t>
            </w:r>
          </w:p>
        </w:tc>
        <w:tc>
          <w:tcPr>
            <w:tcW w:w="1940" w:type="dxa"/>
            <w:gridSpan w:val="2"/>
            <w:tcBorders>
              <w:top w:val="nil"/>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90.407,39</w:t>
            </w:r>
          </w:p>
        </w:tc>
        <w:tc>
          <w:tcPr>
            <w:tcW w:w="1746" w:type="dxa"/>
            <w:tcBorders>
              <w:top w:val="single" w:sz="8" w:space="0" w:color="auto"/>
              <w:left w:val="nil"/>
              <w:bottom w:val="single" w:sz="8" w:space="0" w:color="auto"/>
              <w:right w:val="single" w:sz="8" w:space="0" w:color="auto"/>
            </w:tcBorders>
            <w:noWrap/>
            <w:vAlign w:val="bottom"/>
            <w:hideMark/>
          </w:tcPr>
          <w:p w:rsidR="00FF29CB" w:rsidRPr="003173B7" w:rsidRDefault="00FF29CB" w:rsidP="00355752">
            <w:pPr>
              <w:jc w:val="right"/>
              <w:rPr>
                <w:rFonts w:ascii="Arial" w:hAnsi="Arial" w:cs="Arial"/>
                <w:sz w:val="22"/>
                <w:szCs w:val="22"/>
              </w:rPr>
            </w:pPr>
            <w:r w:rsidRPr="003173B7">
              <w:rPr>
                <w:rFonts w:ascii="Arial" w:hAnsi="Arial" w:cs="Arial"/>
                <w:sz w:val="22"/>
                <w:szCs w:val="22"/>
              </w:rPr>
              <w:t>-1.153,93</w:t>
            </w:r>
          </w:p>
        </w:tc>
      </w:tr>
      <w:tr w:rsidR="00FF29CB" w:rsidRPr="003173B7" w:rsidTr="00355752">
        <w:trPr>
          <w:gridBefore w:val="1"/>
          <w:gridAfter w:val="1"/>
          <w:wBefore w:w="25" w:type="dxa"/>
          <w:wAfter w:w="105" w:type="dxa"/>
          <w:trHeight w:val="315"/>
        </w:trPr>
        <w:tc>
          <w:tcPr>
            <w:tcW w:w="960" w:type="dxa"/>
            <w:gridSpan w:val="2"/>
            <w:tcBorders>
              <w:top w:val="nil"/>
              <w:left w:val="single" w:sz="8" w:space="0" w:color="auto"/>
              <w:bottom w:val="single" w:sz="8" w:space="0" w:color="auto"/>
              <w:right w:val="single" w:sz="8" w:space="0" w:color="auto"/>
            </w:tcBorders>
            <w:noWrap/>
            <w:vAlign w:val="center"/>
          </w:tcPr>
          <w:p w:rsidR="00FF29CB" w:rsidRPr="003173B7" w:rsidRDefault="00FF29CB" w:rsidP="00355752">
            <w:pPr>
              <w:jc w:val="center"/>
              <w:rPr>
                <w:rFonts w:ascii="Arial" w:hAnsi="Arial" w:cs="Arial"/>
                <w:sz w:val="22"/>
                <w:szCs w:val="22"/>
              </w:rPr>
            </w:pPr>
            <w:r w:rsidRPr="003173B7">
              <w:rPr>
                <w:rFonts w:ascii="Arial" w:hAnsi="Arial" w:cs="Arial"/>
                <w:sz w:val="22"/>
                <w:szCs w:val="22"/>
              </w:rPr>
              <w:t>2.25.</w:t>
            </w:r>
          </w:p>
        </w:tc>
        <w:tc>
          <w:tcPr>
            <w:tcW w:w="3080" w:type="dxa"/>
            <w:gridSpan w:val="2"/>
            <w:tcBorders>
              <w:top w:val="nil"/>
              <w:left w:val="nil"/>
              <w:bottom w:val="single" w:sz="8" w:space="0" w:color="auto"/>
              <w:right w:val="single" w:sz="8" w:space="0" w:color="auto"/>
            </w:tcBorders>
            <w:noWrap/>
            <w:vAlign w:val="center"/>
          </w:tcPr>
          <w:p w:rsidR="00FF29CB" w:rsidRPr="003173B7" w:rsidRDefault="00FF29CB" w:rsidP="00355752">
            <w:pPr>
              <w:rPr>
                <w:rFonts w:ascii="Arial" w:hAnsi="Arial" w:cs="Arial"/>
                <w:sz w:val="22"/>
                <w:szCs w:val="22"/>
              </w:rPr>
            </w:pPr>
            <w:r w:rsidRPr="003173B7">
              <w:rPr>
                <w:rFonts w:ascii="Arial" w:hAnsi="Arial" w:cs="Arial"/>
                <w:sz w:val="22"/>
                <w:szCs w:val="22"/>
              </w:rPr>
              <w:t>Excelsa nekretnine</w:t>
            </w:r>
          </w:p>
        </w:tc>
        <w:tc>
          <w:tcPr>
            <w:tcW w:w="1940" w:type="dxa"/>
            <w:gridSpan w:val="2"/>
            <w:tcBorders>
              <w:top w:val="nil"/>
              <w:left w:val="nil"/>
              <w:bottom w:val="single" w:sz="8" w:space="0" w:color="auto"/>
              <w:right w:val="nil"/>
            </w:tcBorders>
            <w:noWrap/>
            <w:vAlign w:val="bottom"/>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c>
          <w:tcPr>
            <w:tcW w:w="1940" w:type="dxa"/>
            <w:gridSpan w:val="2"/>
            <w:tcBorders>
              <w:top w:val="nil"/>
              <w:left w:val="single" w:sz="8" w:space="0" w:color="auto"/>
              <w:bottom w:val="single" w:sz="8" w:space="0" w:color="auto"/>
              <w:right w:val="single" w:sz="8" w:space="0" w:color="auto"/>
            </w:tcBorders>
            <w:noWrap/>
            <w:vAlign w:val="bottom"/>
          </w:tcPr>
          <w:p w:rsidR="00FF29CB" w:rsidRPr="003173B7" w:rsidRDefault="00FF29CB" w:rsidP="00355752">
            <w:pPr>
              <w:jc w:val="right"/>
              <w:rPr>
                <w:rFonts w:ascii="Arial" w:hAnsi="Arial" w:cs="Arial"/>
                <w:sz w:val="22"/>
                <w:szCs w:val="22"/>
              </w:rPr>
            </w:pPr>
            <w:r w:rsidRPr="003173B7">
              <w:rPr>
                <w:rFonts w:ascii="Arial" w:hAnsi="Arial" w:cs="Arial"/>
                <w:sz w:val="22"/>
                <w:szCs w:val="22"/>
              </w:rPr>
              <w:t>80.855,00</w:t>
            </w:r>
          </w:p>
        </w:tc>
        <w:tc>
          <w:tcPr>
            <w:tcW w:w="1746" w:type="dxa"/>
            <w:tcBorders>
              <w:top w:val="single" w:sz="8" w:space="0" w:color="auto"/>
              <w:left w:val="nil"/>
              <w:bottom w:val="single" w:sz="8" w:space="0" w:color="auto"/>
              <w:right w:val="single" w:sz="8" w:space="0" w:color="auto"/>
            </w:tcBorders>
            <w:noWrap/>
            <w:vAlign w:val="bottom"/>
          </w:tcPr>
          <w:p w:rsidR="00FF29CB" w:rsidRPr="003173B7" w:rsidRDefault="00FF29CB" w:rsidP="00355752">
            <w:pPr>
              <w:jc w:val="right"/>
              <w:rPr>
                <w:rFonts w:ascii="Arial" w:hAnsi="Arial" w:cs="Arial"/>
                <w:sz w:val="22"/>
                <w:szCs w:val="22"/>
              </w:rPr>
            </w:pPr>
            <w:r w:rsidRPr="003173B7">
              <w:rPr>
                <w:rFonts w:ascii="Arial" w:hAnsi="Arial" w:cs="Arial"/>
                <w:sz w:val="22"/>
                <w:szCs w:val="22"/>
              </w:rPr>
              <w:t>80.855,00</w:t>
            </w:r>
          </w:p>
        </w:tc>
      </w:tr>
      <w:tr w:rsidR="00FF29CB" w:rsidRPr="003173B7" w:rsidTr="00355752">
        <w:trPr>
          <w:gridBefore w:val="1"/>
          <w:gridAfter w:val="1"/>
          <w:wBefore w:w="25" w:type="dxa"/>
          <w:wAfter w:w="105" w:type="dxa"/>
          <w:trHeight w:val="315"/>
        </w:trPr>
        <w:tc>
          <w:tcPr>
            <w:tcW w:w="960" w:type="dxa"/>
            <w:gridSpan w:val="2"/>
            <w:tcBorders>
              <w:top w:val="nil"/>
              <w:left w:val="single" w:sz="8" w:space="0" w:color="auto"/>
              <w:bottom w:val="single" w:sz="8" w:space="0" w:color="auto"/>
              <w:right w:val="single" w:sz="8" w:space="0" w:color="auto"/>
            </w:tcBorders>
            <w:noWrap/>
            <w:vAlign w:val="center"/>
          </w:tcPr>
          <w:p w:rsidR="00FF29CB" w:rsidRPr="003173B7" w:rsidRDefault="00FF29CB" w:rsidP="00355752">
            <w:pPr>
              <w:jc w:val="center"/>
              <w:rPr>
                <w:rFonts w:ascii="Arial" w:hAnsi="Arial" w:cs="Arial"/>
                <w:sz w:val="22"/>
                <w:szCs w:val="22"/>
              </w:rPr>
            </w:pPr>
            <w:r w:rsidRPr="003173B7">
              <w:rPr>
                <w:rFonts w:ascii="Arial" w:hAnsi="Arial" w:cs="Arial"/>
                <w:sz w:val="22"/>
                <w:szCs w:val="22"/>
              </w:rPr>
              <w:t>2.26.</w:t>
            </w:r>
          </w:p>
        </w:tc>
        <w:tc>
          <w:tcPr>
            <w:tcW w:w="3080" w:type="dxa"/>
            <w:gridSpan w:val="2"/>
            <w:tcBorders>
              <w:top w:val="nil"/>
              <w:left w:val="nil"/>
              <w:bottom w:val="single" w:sz="8" w:space="0" w:color="auto"/>
              <w:right w:val="single" w:sz="8" w:space="0" w:color="auto"/>
            </w:tcBorders>
            <w:noWrap/>
            <w:vAlign w:val="center"/>
          </w:tcPr>
          <w:p w:rsidR="00FF29CB" w:rsidRPr="003173B7" w:rsidRDefault="00FF29CB" w:rsidP="00355752">
            <w:pPr>
              <w:rPr>
                <w:rFonts w:ascii="Arial" w:hAnsi="Arial" w:cs="Arial"/>
                <w:sz w:val="22"/>
                <w:szCs w:val="22"/>
              </w:rPr>
            </w:pPr>
            <w:r w:rsidRPr="003173B7">
              <w:rPr>
                <w:rFonts w:ascii="Arial" w:hAnsi="Arial" w:cs="Arial"/>
                <w:sz w:val="22"/>
                <w:szCs w:val="22"/>
              </w:rPr>
              <w:t>Atlas d.d.</w:t>
            </w:r>
          </w:p>
        </w:tc>
        <w:tc>
          <w:tcPr>
            <w:tcW w:w="1940" w:type="dxa"/>
            <w:gridSpan w:val="2"/>
            <w:tcBorders>
              <w:top w:val="nil"/>
              <w:left w:val="nil"/>
              <w:bottom w:val="single" w:sz="8" w:space="0" w:color="auto"/>
              <w:right w:val="nil"/>
            </w:tcBorders>
            <w:noWrap/>
            <w:vAlign w:val="bottom"/>
          </w:tcPr>
          <w:p w:rsidR="00FF29CB" w:rsidRPr="003173B7" w:rsidRDefault="00FF29CB" w:rsidP="00355752">
            <w:pPr>
              <w:jc w:val="right"/>
              <w:rPr>
                <w:rFonts w:ascii="Arial" w:hAnsi="Arial" w:cs="Arial"/>
                <w:sz w:val="22"/>
                <w:szCs w:val="22"/>
              </w:rPr>
            </w:pPr>
            <w:r w:rsidRPr="003173B7">
              <w:rPr>
                <w:rFonts w:ascii="Arial" w:hAnsi="Arial" w:cs="Arial"/>
                <w:sz w:val="22"/>
                <w:szCs w:val="22"/>
              </w:rPr>
              <w:t>0,00</w:t>
            </w:r>
          </w:p>
        </w:tc>
        <w:tc>
          <w:tcPr>
            <w:tcW w:w="1940" w:type="dxa"/>
            <w:gridSpan w:val="2"/>
            <w:tcBorders>
              <w:top w:val="nil"/>
              <w:left w:val="single" w:sz="8" w:space="0" w:color="auto"/>
              <w:bottom w:val="single" w:sz="8" w:space="0" w:color="auto"/>
              <w:right w:val="single" w:sz="8" w:space="0" w:color="auto"/>
            </w:tcBorders>
            <w:noWrap/>
            <w:vAlign w:val="bottom"/>
          </w:tcPr>
          <w:p w:rsidR="00FF29CB" w:rsidRPr="003173B7" w:rsidRDefault="00FF29CB" w:rsidP="00355752">
            <w:pPr>
              <w:jc w:val="right"/>
              <w:rPr>
                <w:rFonts w:ascii="Arial" w:hAnsi="Arial" w:cs="Arial"/>
                <w:sz w:val="22"/>
                <w:szCs w:val="22"/>
              </w:rPr>
            </w:pPr>
            <w:r w:rsidRPr="003173B7">
              <w:rPr>
                <w:rFonts w:ascii="Arial" w:hAnsi="Arial" w:cs="Arial"/>
                <w:sz w:val="22"/>
                <w:szCs w:val="22"/>
              </w:rPr>
              <w:t>2.101,20</w:t>
            </w:r>
          </w:p>
        </w:tc>
        <w:tc>
          <w:tcPr>
            <w:tcW w:w="1746" w:type="dxa"/>
            <w:tcBorders>
              <w:top w:val="single" w:sz="8" w:space="0" w:color="auto"/>
              <w:left w:val="nil"/>
              <w:bottom w:val="single" w:sz="8" w:space="0" w:color="auto"/>
              <w:right w:val="single" w:sz="8" w:space="0" w:color="auto"/>
            </w:tcBorders>
            <w:noWrap/>
            <w:vAlign w:val="bottom"/>
          </w:tcPr>
          <w:p w:rsidR="00FF29CB" w:rsidRPr="003173B7" w:rsidRDefault="00FF29CB" w:rsidP="00355752">
            <w:pPr>
              <w:jc w:val="right"/>
              <w:rPr>
                <w:rFonts w:ascii="Arial" w:hAnsi="Arial" w:cs="Arial"/>
                <w:sz w:val="22"/>
                <w:szCs w:val="22"/>
              </w:rPr>
            </w:pPr>
            <w:r w:rsidRPr="003173B7">
              <w:rPr>
                <w:rFonts w:ascii="Arial" w:hAnsi="Arial" w:cs="Arial"/>
                <w:sz w:val="22"/>
                <w:szCs w:val="22"/>
              </w:rPr>
              <w:t>2.101,20</w:t>
            </w:r>
          </w:p>
        </w:tc>
      </w:tr>
      <w:tr w:rsidR="00FF29CB" w:rsidRPr="009A6244" w:rsidTr="00355752">
        <w:trPr>
          <w:gridBefore w:val="1"/>
          <w:gridAfter w:val="1"/>
          <w:wBefore w:w="25" w:type="dxa"/>
          <w:wAfter w:w="105" w:type="dxa"/>
          <w:trHeight w:val="315"/>
        </w:trPr>
        <w:tc>
          <w:tcPr>
            <w:tcW w:w="960" w:type="dxa"/>
            <w:gridSpan w:val="2"/>
            <w:tcBorders>
              <w:top w:val="single" w:sz="8" w:space="0" w:color="auto"/>
              <w:left w:val="single" w:sz="8" w:space="0" w:color="auto"/>
              <w:bottom w:val="single" w:sz="8" w:space="0" w:color="auto"/>
              <w:right w:val="single" w:sz="8" w:space="0" w:color="auto"/>
            </w:tcBorders>
            <w:noWrap/>
            <w:vAlign w:val="center"/>
            <w:hideMark/>
          </w:tcPr>
          <w:p w:rsidR="00FF29CB" w:rsidRPr="003173B7" w:rsidRDefault="00FF29CB" w:rsidP="00355752">
            <w:pPr>
              <w:jc w:val="center"/>
              <w:rPr>
                <w:rFonts w:ascii="Arial" w:hAnsi="Arial" w:cs="Arial"/>
                <w:b/>
                <w:bCs/>
                <w:sz w:val="22"/>
                <w:szCs w:val="22"/>
              </w:rPr>
            </w:pPr>
            <w:r w:rsidRPr="003173B7">
              <w:rPr>
                <w:rFonts w:ascii="Arial" w:hAnsi="Arial" w:cs="Arial"/>
                <w:b/>
                <w:bCs/>
                <w:sz w:val="22"/>
                <w:szCs w:val="22"/>
              </w:rPr>
              <w:t> </w:t>
            </w:r>
          </w:p>
        </w:tc>
        <w:tc>
          <w:tcPr>
            <w:tcW w:w="3080" w:type="dxa"/>
            <w:gridSpan w:val="2"/>
            <w:tcBorders>
              <w:top w:val="single" w:sz="8" w:space="0" w:color="auto"/>
              <w:left w:val="single" w:sz="8" w:space="0" w:color="auto"/>
              <w:bottom w:val="single" w:sz="8" w:space="0" w:color="auto"/>
              <w:right w:val="single" w:sz="8" w:space="0" w:color="auto"/>
            </w:tcBorders>
            <w:noWrap/>
            <w:vAlign w:val="bottom"/>
            <w:hideMark/>
          </w:tcPr>
          <w:p w:rsidR="00FF29CB" w:rsidRPr="003173B7" w:rsidRDefault="00FF29CB" w:rsidP="00355752">
            <w:pPr>
              <w:rPr>
                <w:rFonts w:ascii="Arial" w:hAnsi="Arial" w:cs="Arial"/>
                <w:b/>
                <w:bCs/>
                <w:sz w:val="22"/>
                <w:szCs w:val="22"/>
              </w:rPr>
            </w:pPr>
            <w:r w:rsidRPr="003173B7">
              <w:rPr>
                <w:rFonts w:ascii="Arial" w:hAnsi="Arial" w:cs="Arial"/>
                <w:b/>
                <w:bCs/>
                <w:sz w:val="22"/>
                <w:szCs w:val="22"/>
              </w:rPr>
              <w:t>UKUPNO</w:t>
            </w:r>
          </w:p>
        </w:tc>
        <w:tc>
          <w:tcPr>
            <w:tcW w:w="1940" w:type="dxa"/>
            <w:gridSpan w:val="2"/>
            <w:tcBorders>
              <w:top w:val="single" w:sz="8" w:space="0" w:color="auto"/>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378.213.202,08</w:t>
            </w:r>
          </w:p>
        </w:tc>
        <w:tc>
          <w:tcPr>
            <w:tcW w:w="1940" w:type="dxa"/>
            <w:gridSpan w:val="2"/>
            <w:tcBorders>
              <w:top w:val="single" w:sz="8" w:space="0" w:color="auto"/>
              <w:left w:val="single" w:sz="8" w:space="0" w:color="auto"/>
              <w:bottom w:val="single" w:sz="8" w:space="0" w:color="auto"/>
              <w:right w:val="single" w:sz="8" w:space="0" w:color="auto"/>
            </w:tcBorders>
            <w:noWrap/>
            <w:vAlign w:val="bottom"/>
            <w:hideMark/>
          </w:tcPr>
          <w:p w:rsidR="00FF29CB" w:rsidRPr="003173B7" w:rsidRDefault="00FF29CB" w:rsidP="00355752">
            <w:pPr>
              <w:jc w:val="right"/>
              <w:rPr>
                <w:rFonts w:ascii="Arial" w:hAnsi="Arial" w:cs="Arial"/>
                <w:b/>
                <w:bCs/>
                <w:sz w:val="22"/>
                <w:szCs w:val="22"/>
              </w:rPr>
            </w:pPr>
            <w:r w:rsidRPr="003173B7">
              <w:rPr>
                <w:rFonts w:ascii="Arial" w:hAnsi="Arial" w:cs="Arial"/>
                <w:b/>
                <w:bCs/>
                <w:sz w:val="22"/>
                <w:szCs w:val="22"/>
              </w:rPr>
              <w:t>427.120.504,35</w:t>
            </w:r>
          </w:p>
        </w:tc>
        <w:tc>
          <w:tcPr>
            <w:tcW w:w="1746" w:type="dxa"/>
            <w:tcBorders>
              <w:top w:val="single" w:sz="8" w:space="0" w:color="auto"/>
              <w:left w:val="single" w:sz="8" w:space="0" w:color="auto"/>
              <w:bottom w:val="single" w:sz="8" w:space="0" w:color="auto"/>
              <w:right w:val="single" w:sz="8" w:space="0" w:color="auto"/>
            </w:tcBorders>
            <w:noWrap/>
            <w:vAlign w:val="bottom"/>
            <w:hideMark/>
          </w:tcPr>
          <w:p w:rsidR="00FF29CB" w:rsidRPr="009A6244" w:rsidRDefault="00FF29CB" w:rsidP="00355752">
            <w:pPr>
              <w:jc w:val="right"/>
              <w:rPr>
                <w:rFonts w:ascii="Arial" w:hAnsi="Arial" w:cs="Arial"/>
                <w:b/>
                <w:bCs/>
                <w:sz w:val="22"/>
                <w:szCs w:val="22"/>
              </w:rPr>
            </w:pPr>
            <w:r w:rsidRPr="003173B7">
              <w:rPr>
                <w:rFonts w:ascii="Arial" w:hAnsi="Arial" w:cs="Arial"/>
                <w:b/>
                <w:bCs/>
                <w:sz w:val="22"/>
                <w:szCs w:val="22"/>
              </w:rPr>
              <w:t>48.907.302,27</w:t>
            </w:r>
          </w:p>
        </w:tc>
      </w:tr>
    </w:tbl>
    <w:p w:rsidR="00FF29CB" w:rsidRDefault="00FF29CB" w:rsidP="00FF29CB"/>
    <w:p w:rsidR="00B77C6E" w:rsidRDefault="00B77C6E"/>
    <w:p w:rsidR="00553992" w:rsidRDefault="00D10842">
      <w:r>
        <w:tab/>
      </w:r>
      <w:r>
        <w:tab/>
      </w:r>
    </w:p>
    <w:p w:rsidR="00D96404" w:rsidRPr="00553992" w:rsidRDefault="00D10842">
      <w:r>
        <w:tab/>
      </w:r>
      <w:r w:rsidR="00A43826" w:rsidRPr="0027292F">
        <w:rPr>
          <w:rFonts w:ascii="Arial" w:hAnsi="Arial" w:cs="Arial"/>
          <w:sz w:val="22"/>
          <w:szCs w:val="22"/>
        </w:rPr>
        <w:t>P</w:t>
      </w:r>
      <w:r w:rsidRPr="0027292F">
        <w:rPr>
          <w:rFonts w:ascii="Arial" w:hAnsi="Arial" w:cs="Arial"/>
          <w:sz w:val="22"/>
          <w:szCs w:val="22"/>
        </w:rPr>
        <w:t>ročelnica</w:t>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r>
      <w:r w:rsidRPr="0027292F">
        <w:rPr>
          <w:rFonts w:ascii="Arial" w:hAnsi="Arial" w:cs="Arial"/>
          <w:sz w:val="22"/>
          <w:szCs w:val="22"/>
        </w:rPr>
        <w:tab/>
        <w:t>Anita Burić, dipl.oec.</w:t>
      </w:r>
    </w:p>
    <w:sectPr w:rsidR="00D96404" w:rsidRPr="00553992" w:rsidSect="0013316A">
      <w:footerReference w:type="even" r:id="rId13"/>
      <w:footerReference w:type="default" r:id="rId14"/>
      <w:pgSz w:w="11904" w:h="16834" w:code="9"/>
      <w:pgMar w:top="981" w:right="1272" w:bottom="1701" w:left="709" w:header="720" w:footer="720" w:gutter="0"/>
      <w:cols w:space="708"/>
      <w:noEndnote/>
      <w:docGrid w:linePitch="245" w:charSpace="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08A" w:rsidRDefault="0097308A">
      <w:r>
        <w:separator/>
      </w:r>
    </w:p>
  </w:endnote>
  <w:endnote w:type="continuationSeparator" w:id="1">
    <w:p w:rsidR="0097308A" w:rsidRDefault="00973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88" w:rsidRDefault="00F405D7">
    <w:pPr>
      <w:pStyle w:val="Footer"/>
      <w:framePr w:wrap="around" w:vAnchor="text" w:hAnchor="margin" w:xAlign="right" w:y="1"/>
      <w:rPr>
        <w:rStyle w:val="PageNumber"/>
      </w:rPr>
    </w:pPr>
    <w:r>
      <w:rPr>
        <w:rStyle w:val="PageNumber"/>
      </w:rPr>
      <w:fldChar w:fldCharType="begin"/>
    </w:r>
    <w:r w:rsidR="00545688">
      <w:rPr>
        <w:rStyle w:val="PageNumber"/>
      </w:rPr>
      <w:instrText xml:space="preserve">PAGE  </w:instrText>
    </w:r>
    <w:r>
      <w:rPr>
        <w:rStyle w:val="PageNumber"/>
      </w:rPr>
      <w:fldChar w:fldCharType="end"/>
    </w:r>
  </w:p>
  <w:p w:rsidR="00545688" w:rsidRDefault="005456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88" w:rsidRDefault="00F405D7">
    <w:pPr>
      <w:pStyle w:val="Footer"/>
      <w:framePr w:wrap="around" w:vAnchor="text" w:hAnchor="margin" w:xAlign="right" w:y="1"/>
      <w:rPr>
        <w:rStyle w:val="PageNumber"/>
      </w:rPr>
    </w:pPr>
    <w:r>
      <w:rPr>
        <w:rStyle w:val="PageNumber"/>
      </w:rPr>
      <w:fldChar w:fldCharType="begin"/>
    </w:r>
    <w:r w:rsidR="00545688">
      <w:rPr>
        <w:rStyle w:val="PageNumber"/>
      </w:rPr>
      <w:instrText xml:space="preserve">PAGE  </w:instrText>
    </w:r>
    <w:r>
      <w:rPr>
        <w:rStyle w:val="PageNumber"/>
      </w:rPr>
      <w:fldChar w:fldCharType="separate"/>
    </w:r>
    <w:r w:rsidR="00C064FB">
      <w:rPr>
        <w:rStyle w:val="PageNumber"/>
        <w:noProof/>
      </w:rPr>
      <w:t>2</w:t>
    </w:r>
    <w:r>
      <w:rPr>
        <w:rStyle w:val="PageNumber"/>
      </w:rPr>
      <w:fldChar w:fldCharType="end"/>
    </w:r>
  </w:p>
  <w:p w:rsidR="00545688" w:rsidRDefault="005456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08A" w:rsidRDefault="0097308A">
      <w:r>
        <w:separator/>
      </w:r>
    </w:p>
  </w:footnote>
  <w:footnote w:type="continuationSeparator" w:id="1">
    <w:p w:rsidR="0097308A" w:rsidRDefault="0097308A">
      <w:r>
        <w:continuationSeparator/>
      </w:r>
    </w:p>
  </w:footnote>
  <w:footnote w:id="2">
    <w:p w:rsidR="00545688" w:rsidRDefault="00545688">
      <w:pPr>
        <w:pStyle w:val="FootnoteText"/>
        <w:jc w:val="both"/>
      </w:pPr>
      <w:r>
        <w:rPr>
          <w:rStyle w:val="FootnoteReference"/>
        </w:rPr>
        <w:footnoteRef/>
      </w:r>
      <w:r>
        <w:t xml:space="preserve"> Ministarstvo financija i FINA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B025A92"/>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52F7A1D"/>
    <w:multiLevelType w:val="hybridMultilevel"/>
    <w:tmpl w:val="2CA6230C"/>
    <w:lvl w:ilvl="0" w:tplc="EB5A6A44">
      <w:numFmt w:val="bullet"/>
      <w:lvlText w:val="-"/>
      <w:lvlJc w:val="left"/>
      <w:pPr>
        <w:tabs>
          <w:tab w:val="num" w:pos="720"/>
        </w:tabs>
        <w:ind w:left="720" w:hanging="360"/>
      </w:pPr>
      <w:rPr>
        <w:rFonts w:ascii="Bookman Old Style" w:eastAsia="Times New Roman" w:hAnsi="Bookman Old Style"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2090696A"/>
    <w:multiLevelType w:val="hybridMultilevel"/>
    <w:tmpl w:val="5644D13C"/>
    <w:lvl w:ilvl="0" w:tplc="CF8AA0C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32243CFA"/>
    <w:multiLevelType w:val="hybridMultilevel"/>
    <w:tmpl w:val="0BDE83F2"/>
    <w:lvl w:ilvl="0" w:tplc="041A0001">
      <w:start w:val="1"/>
      <w:numFmt w:val="bullet"/>
      <w:lvlText w:val=""/>
      <w:lvlJc w:val="left"/>
      <w:pPr>
        <w:tabs>
          <w:tab w:val="num" w:pos="705"/>
        </w:tabs>
        <w:ind w:left="705" w:hanging="360"/>
      </w:pPr>
      <w:rPr>
        <w:rFonts w:ascii="Symbol" w:hAnsi="Symbol" w:hint="default"/>
      </w:rPr>
    </w:lvl>
    <w:lvl w:ilvl="1" w:tplc="041A0003" w:tentative="1">
      <w:start w:val="1"/>
      <w:numFmt w:val="bullet"/>
      <w:lvlText w:val="o"/>
      <w:lvlJc w:val="left"/>
      <w:pPr>
        <w:tabs>
          <w:tab w:val="num" w:pos="1425"/>
        </w:tabs>
        <w:ind w:left="1425" w:hanging="360"/>
      </w:pPr>
      <w:rPr>
        <w:rFonts w:ascii="Courier New" w:hAnsi="Courier New" w:cs="Courier New" w:hint="default"/>
      </w:rPr>
    </w:lvl>
    <w:lvl w:ilvl="2" w:tplc="041A0005" w:tentative="1">
      <w:start w:val="1"/>
      <w:numFmt w:val="bullet"/>
      <w:lvlText w:val=""/>
      <w:lvlJc w:val="left"/>
      <w:pPr>
        <w:tabs>
          <w:tab w:val="num" w:pos="2145"/>
        </w:tabs>
        <w:ind w:left="2145" w:hanging="360"/>
      </w:pPr>
      <w:rPr>
        <w:rFonts w:ascii="Wingdings" w:hAnsi="Wingdings" w:hint="default"/>
      </w:rPr>
    </w:lvl>
    <w:lvl w:ilvl="3" w:tplc="041A0001" w:tentative="1">
      <w:start w:val="1"/>
      <w:numFmt w:val="bullet"/>
      <w:lvlText w:val=""/>
      <w:lvlJc w:val="left"/>
      <w:pPr>
        <w:tabs>
          <w:tab w:val="num" w:pos="2865"/>
        </w:tabs>
        <w:ind w:left="2865" w:hanging="360"/>
      </w:pPr>
      <w:rPr>
        <w:rFonts w:ascii="Symbol" w:hAnsi="Symbol" w:hint="default"/>
      </w:rPr>
    </w:lvl>
    <w:lvl w:ilvl="4" w:tplc="041A0003" w:tentative="1">
      <w:start w:val="1"/>
      <w:numFmt w:val="bullet"/>
      <w:lvlText w:val="o"/>
      <w:lvlJc w:val="left"/>
      <w:pPr>
        <w:tabs>
          <w:tab w:val="num" w:pos="3585"/>
        </w:tabs>
        <w:ind w:left="3585" w:hanging="360"/>
      </w:pPr>
      <w:rPr>
        <w:rFonts w:ascii="Courier New" w:hAnsi="Courier New" w:cs="Courier New" w:hint="default"/>
      </w:rPr>
    </w:lvl>
    <w:lvl w:ilvl="5" w:tplc="041A0005" w:tentative="1">
      <w:start w:val="1"/>
      <w:numFmt w:val="bullet"/>
      <w:lvlText w:val=""/>
      <w:lvlJc w:val="left"/>
      <w:pPr>
        <w:tabs>
          <w:tab w:val="num" w:pos="4305"/>
        </w:tabs>
        <w:ind w:left="4305" w:hanging="360"/>
      </w:pPr>
      <w:rPr>
        <w:rFonts w:ascii="Wingdings" w:hAnsi="Wingdings" w:hint="default"/>
      </w:rPr>
    </w:lvl>
    <w:lvl w:ilvl="6" w:tplc="041A0001" w:tentative="1">
      <w:start w:val="1"/>
      <w:numFmt w:val="bullet"/>
      <w:lvlText w:val=""/>
      <w:lvlJc w:val="left"/>
      <w:pPr>
        <w:tabs>
          <w:tab w:val="num" w:pos="5025"/>
        </w:tabs>
        <w:ind w:left="5025" w:hanging="360"/>
      </w:pPr>
      <w:rPr>
        <w:rFonts w:ascii="Symbol" w:hAnsi="Symbol" w:hint="default"/>
      </w:rPr>
    </w:lvl>
    <w:lvl w:ilvl="7" w:tplc="041A0003" w:tentative="1">
      <w:start w:val="1"/>
      <w:numFmt w:val="bullet"/>
      <w:lvlText w:val="o"/>
      <w:lvlJc w:val="left"/>
      <w:pPr>
        <w:tabs>
          <w:tab w:val="num" w:pos="5745"/>
        </w:tabs>
        <w:ind w:left="5745" w:hanging="360"/>
      </w:pPr>
      <w:rPr>
        <w:rFonts w:ascii="Courier New" w:hAnsi="Courier New" w:cs="Courier New" w:hint="default"/>
      </w:rPr>
    </w:lvl>
    <w:lvl w:ilvl="8" w:tplc="041A0005" w:tentative="1">
      <w:start w:val="1"/>
      <w:numFmt w:val="bullet"/>
      <w:lvlText w:val=""/>
      <w:lvlJc w:val="left"/>
      <w:pPr>
        <w:tabs>
          <w:tab w:val="num" w:pos="6465"/>
        </w:tabs>
        <w:ind w:left="6465" w:hanging="360"/>
      </w:pPr>
      <w:rPr>
        <w:rFonts w:ascii="Wingdings" w:hAnsi="Wingdings" w:hint="default"/>
      </w:rPr>
    </w:lvl>
  </w:abstractNum>
  <w:abstractNum w:abstractNumId="6">
    <w:nsid w:val="402500CC"/>
    <w:multiLevelType w:val="hybridMultilevel"/>
    <w:tmpl w:val="904080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79103637"/>
    <w:multiLevelType w:val="hybridMultilevel"/>
    <w:tmpl w:val="1B98D926"/>
    <w:lvl w:ilvl="0" w:tplc="E03A8FF0">
      <w:numFmt w:val="bullet"/>
      <w:lvlText w:val="-"/>
      <w:lvlJc w:val="left"/>
      <w:pPr>
        <w:tabs>
          <w:tab w:val="num" w:pos="4605"/>
        </w:tabs>
        <w:ind w:left="4605"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0"/>
  <w:drawingGridVerticalSpacing w:val="245"/>
  <w:displayHorizontalDrawingGridEvery w:val="0"/>
  <w:noPunctuationKerning/>
  <w:characterSpacingControl w:val="doNotCompress"/>
  <w:footnotePr>
    <w:footnote w:id="0"/>
    <w:footnote w:id="1"/>
  </w:footnotePr>
  <w:endnotePr>
    <w:endnote w:id="0"/>
    <w:endnote w:id="1"/>
  </w:endnotePr>
  <w:compat/>
  <w:rsids>
    <w:rsidRoot w:val="00344CBE"/>
    <w:rsid w:val="00000361"/>
    <w:rsid w:val="000009E4"/>
    <w:rsid w:val="000016E2"/>
    <w:rsid w:val="0000401E"/>
    <w:rsid w:val="0000423D"/>
    <w:rsid w:val="000048A0"/>
    <w:rsid w:val="00004EED"/>
    <w:rsid w:val="000050C4"/>
    <w:rsid w:val="000056EC"/>
    <w:rsid w:val="00006399"/>
    <w:rsid w:val="00007BEA"/>
    <w:rsid w:val="000108B1"/>
    <w:rsid w:val="000118FD"/>
    <w:rsid w:val="000140EC"/>
    <w:rsid w:val="0001437E"/>
    <w:rsid w:val="000145B9"/>
    <w:rsid w:val="00014CA3"/>
    <w:rsid w:val="0001560C"/>
    <w:rsid w:val="00016F48"/>
    <w:rsid w:val="000175A4"/>
    <w:rsid w:val="00020B51"/>
    <w:rsid w:val="00021702"/>
    <w:rsid w:val="00021E12"/>
    <w:rsid w:val="00022375"/>
    <w:rsid w:val="000223B7"/>
    <w:rsid w:val="000225E6"/>
    <w:rsid w:val="00023022"/>
    <w:rsid w:val="000261CA"/>
    <w:rsid w:val="00027AB4"/>
    <w:rsid w:val="00032B80"/>
    <w:rsid w:val="00034C15"/>
    <w:rsid w:val="00035CED"/>
    <w:rsid w:val="000370F4"/>
    <w:rsid w:val="00042023"/>
    <w:rsid w:val="0004272F"/>
    <w:rsid w:val="00043CA4"/>
    <w:rsid w:val="00044508"/>
    <w:rsid w:val="000463E4"/>
    <w:rsid w:val="00046C9C"/>
    <w:rsid w:val="00047206"/>
    <w:rsid w:val="00047540"/>
    <w:rsid w:val="00053321"/>
    <w:rsid w:val="000536E3"/>
    <w:rsid w:val="00055F02"/>
    <w:rsid w:val="00057363"/>
    <w:rsid w:val="00057A5C"/>
    <w:rsid w:val="00060866"/>
    <w:rsid w:val="00061171"/>
    <w:rsid w:val="0006439B"/>
    <w:rsid w:val="00065084"/>
    <w:rsid w:val="00065D21"/>
    <w:rsid w:val="0006665E"/>
    <w:rsid w:val="00067359"/>
    <w:rsid w:val="00070D06"/>
    <w:rsid w:val="00070E0C"/>
    <w:rsid w:val="00070FFA"/>
    <w:rsid w:val="00071C4C"/>
    <w:rsid w:val="0007257F"/>
    <w:rsid w:val="0007474B"/>
    <w:rsid w:val="00080E9B"/>
    <w:rsid w:val="00081F6C"/>
    <w:rsid w:val="0008321F"/>
    <w:rsid w:val="000834D3"/>
    <w:rsid w:val="000839ED"/>
    <w:rsid w:val="0008439D"/>
    <w:rsid w:val="00085A6F"/>
    <w:rsid w:val="00085BC8"/>
    <w:rsid w:val="000864CB"/>
    <w:rsid w:val="00087095"/>
    <w:rsid w:val="00092184"/>
    <w:rsid w:val="00092E59"/>
    <w:rsid w:val="000931AF"/>
    <w:rsid w:val="00093F73"/>
    <w:rsid w:val="00094DD0"/>
    <w:rsid w:val="0009617A"/>
    <w:rsid w:val="00096DD0"/>
    <w:rsid w:val="000A1AF9"/>
    <w:rsid w:val="000A3046"/>
    <w:rsid w:val="000A5434"/>
    <w:rsid w:val="000A5601"/>
    <w:rsid w:val="000A5645"/>
    <w:rsid w:val="000A7711"/>
    <w:rsid w:val="000A7A3E"/>
    <w:rsid w:val="000B2719"/>
    <w:rsid w:val="000B3F44"/>
    <w:rsid w:val="000B5C1C"/>
    <w:rsid w:val="000B6B3A"/>
    <w:rsid w:val="000B76D5"/>
    <w:rsid w:val="000B7A5F"/>
    <w:rsid w:val="000C0CF3"/>
    <w:rsid w:val="000C1E22"/>
    <w:rsid w:val="000C3020"/>
    <w:rsid w:val="000C3D70"/>
    <w:rsid w:val="000C4673"/>
    <w:rsid w:val="000C4D6C"/>
    <w:rsid w:val="000C5EE1"/>
    <w:rsid w:val="000C6BB6"/>
    <w:rsid w:val="000C774D"/>
    <w:rsid w:val="000C7F9B"/>
    <w:rsid w:val="000D005D"/>
    <w:rsid w:val="000D0D93"/>
    <w:rsid w:val="000D1CA7"/>
    <w:rsid w:val="000D3BD1"/>
    <w:rsid w:val="000D458C"/>
    <w:rsid w:val="000D4DA6"/>
    <w:rsid w:val="000D75BC"/>
    <w:rsid w:val="000D7B7C"/>
    <w:rsid w:val="000D7C64"/>
    <w:rsid w:val="000D7EFE"/>
    <w:rsid w:val="000E20BB"/>
    <w:rsid w:val="000E2A5B"/>
    <w:rsid w:val="000E3FBF"/>
    <w:rsid w:val="000E55FA"/>
    <w:rsid w:val="000E57B4"/>
    <w:rsid w:val="000E57BE"/>
    <w:rsid w:val="000E5E36"/>
    <w:rsid w:val="000E6AE2"/>
    <w:rsid w:val="000E7294"/>
    <w:rsid w:val="000F27CE"/>
    <w:rsid w:val="000F29EF"/>
    <w:rsid w:val="000F3388"/>
    <w:rsid w:val="000F5D0C"/>
    <w:rsid w:val="001007CA"/>
    <w:rsid w:val="00100E14"/>
    <w:rsid w:val="001031F8"/>
    <w:rsid w:val="001043A5"/>
    <w:rsid w:val="0010639D"/>
    <w:rsid w:val="00107185"/>
    <w:rsid w:val="00107304"/>
    <w:rsid w:val="00107C16"/>
    <w:rsid w:val="00111826"/>
    <w:rsid w:val="00112533"/>
    <w:rsid w:val="001127E5"/>
    <w:rsid w:val="00116801"/>
    <w:rsid w:val="00116CF2"/>
    <w:rsid w:val="00120AE1"/>
    <w:rsid w:val="0012185E"/>
    <w:rsid w:val="00122B9F"/>
    <w:rsid w:val="00122F88"/>
    <w:rsid w:val="001232AF"/>
    <w:rsid w:val="001241E6"/>
    <w:rsid w:val="00124821"/>
    <w:rsid w:val="001254EB"/>
    <w:rsid w:val="001256AC"/>
    <w:rsid w:val="00125CB6"/>
    <w:rsid w:val="0012600E"/>
    <w:rsid w:val="00131958"/>
    <w:rsid w:val="0013316A"/>
    <w:rsid w:val="001341C6"/>
    <w:rsid w:val="001342D0"/>
    <w:rsid w:val="00134C72"/>
    <w:rsid w:val="00137FDF"/>
    <w:rsid w:val="00140741"/>
    <w:rsid w:val="001407F5"/>
    <w:rsid w:val="00140BA3"/>
    <w:rsid w:val="0014230C"/>
    <w:rsid w:val="00143FC1"/>
    <w:rsid w:val="00146E12"/>
    <w:rsid w:val="00147AE2"/>
    <w:rsid w:val="00150817"/>
    <w:rsid w:val="00151610"/>
    <w:rsid w:val="00152A56"/>
    <w:rsid w:val="00153D21"/>
    <w:rsid w:val="00154CE7"/>
    <w:rsid w:val="0015570A"/>
    <w:rsid w:val="0015578D"/>
    <w:rsid w:val="001574DD"/>
    <w:rsid w:val="00157B25"/>
    <w:rsid w:val="00160A9C"/>
    <w:rsid w:val="00160AB3"/>
    <w:rsid w:val="00160F12"/>
    <w:rsid w:val="00161E5B"/>
    <w:rsid w:val="00162B1E"/>
    <w:rsid w:val="00163D0A"/>
    <w:rsid w:val="001652E5"/>
    <w:rsid w:val="00166373"/>
    <w:rsid w:val="00166600"/>
    <w:rsid w:val="00166C72"/>
    <w:rsid w:val="001679F1"/>
    <w:rsid w:val="001715C3"/>
    <w:rsid w:val="00173A98"/>
    <w:rsid w:val="00174462"/>
    <w:rsid w:val="00174741"/>
    <w:rsid w:val="00174AF3"/>
    <w:rsid w:val="001776A6"/>
    <w:rsid w:val="00181821"/>
    <w:rsid w:val="00182BAA"/>
    <w:rsid w:val="00183839"/>
    <w:rsid w:val="001839FE"/>
    <w:rsid w:val="00183A8D"/>
    <w:rsid w:val="0018476A"/>
    <w:rsid w:val="00185193"/>
    <w:rsid w:val="00186C06"/>
    <w:rsid w:val="00190F59"/>
    <w:rsid w:val="00192117"/>
    <w:rsid w:val="00194155"/>
    <w:rsid w:val="001942FD"/>
    <w:rsid w:val="00194416"/>
    <w:rsid w:val="0019534B"/>
    <w:rsid w:val="00197184"/>
    <w:rsid w:val="001A18DA"/>
    <w:rsid w:val="001A3B1B"/>
    <w:rsid w:val="001A54C2"/>
    <w:rsid w:val="001A5723"/>
    <w:rsid w:val="001A684F"/>
    <w:rsid w:val="001A7174"/>
    <w:rsid w:val="001B1BB0"/>
    <w:rsid w:val="001B1C02"/>
    <w:rsid w:val="001B3168"/>
    <w:rsid w:val="001B35B4"/>
    <w:rsid w:val="001B6E8F"/>
    <w:rsid w:val="001B7C6B"/>
    <w:rsid w:val="001C0557"/>
    <w:rsid w:val="001C1203"/>
    <w:rsid w:val="001C20F5"/>
    <w:rsid w:val="001C2369"/>
    <w:rsid w:val="001C30EA"/>
    <w:rsid w:val="001C3C7B"/>
    <w:rsid w:val="001C4247"/>
    <w:rsid w:val="001C4C3A"/>
    <w:rsid w:val="001C4FCA"/>
    <w:rsid w:val="001C5BB5"/>
    <w:rsid w:val="001C5D4C"/>
    <w:rsid w:val="001C6ADD"/>
    <w:rsid w:val="001C7AAB"/>
    <w:rsid w:val="001D0F8A"/>
    <w:rsid w:val="001D19A2"/>
    <w:rsid w:val="001D1E4A"/>
    <w:rsid w:val="001D5072"/>
    <w:rsid w:val="001D6D2B"/>
    <w:rsid w:val="001D7D42"/>
    <w:rsid w:val="001E072F"/>
    <w:rsid w:val="001E09FC"/>
    <w:rsid w:val="001E3D18"/>
    <w:rsid w:val="001E517B"/>
    <w:rsid w:val="001E5638"/>
    <w:rsid w:val="001E5B31"/>
    <w:rsid w:val="001E6D6A"/>
    <w:rsid w:val="001E789A"/>
    <w:rsid w:val="001F28AD"/>
    <w:rsid w:val="00200751"/>
    <w:rsid w:val="00201172"/>
    <w:rsid w:val="00201F24"/>
    <w:rsid w:val="00202692"/>
    <w:rsid w:val="00202E76"/>
    <w:rsid w:val="00203718"/>
    <w:rsid w:val="00204173"/>
    <w:rsid w:val="00204DA7"/>
    <w:rsid w:val="00206365"/>
    <w:rsid w:val="0020716D"/>
    <w:rsid w:val="00207D9F"/>
    <w:rsid w:val="00207E74"/>
    <w:rsid w:val="00210531"/>
    <w:rsid w:val="002108BB"/>
    <w:rsid w:val="00210C8A"/>
    <w:rsid w:val="0021311D"/>
    <w:rsid w:val="00213841"/>
    <w:rsid w:val="00213C8E"/>
    <w:rsid w:val="002155A2"/>
    <w:rsid w:val="0021622E"/>
    <w:rsid w:val="00216A9B"/>
    <w:rsid w:val="00220E11"/>
    <w:rsid w:val="00221062"/>
    <w:rsid w:val="002210D4"/>
    <w:rsid w:val="00221E65"/>
    <w:rsid w:val="00222494"/>
    <w:rsid w:val="00222A04"/>
    <w:rsid w:val="00222F6E"/>
    <w:rsid w:val="0022326C"/>
    <w:rsid w:val="00225CB3"/>
    <w:rsid w:val="00226CE2"/>
    <w:rsid w:val="002274A7"/>
    <w:rsid w:val="002301F6"/>
    <w:rsid w:val="002321EF"/>
    <w:rsid w:val="0023329A"/>
    <w:rsid w:val="0023393E"/>
    <w:rsid w:val="00233E47"/>
    <w:rsid w:val="00234331"/>
    <w:rsid w:val="00234DF2"/>
    <w:rsid w:val="00236149"/>
    <w:rsid w:val="00236BD4"/>
    <w:rsid w:val="0023750A"/>
    <w:rsid w:val="002375ED"/>
    <w:rsid w:val="00237F12"/>
    <w:rsid w:val="00242835"/>
    <w:rsid w:val="00243F02"/>
    <w:rsid w:val="00243F1C"/>
    <w:rsid w:val="00244E95"/>
    <w:rsid w:val="00245FE0"/>
    <w:rsid w:val="00246B7A"/>
    <w:rsid w:val="00250C44"/>
    <w:rsid w:val="002511CC"/>
    <w:rsid w:val="0025323D"/>
    <w:rsid w:val="00253711"/>
    <w:rsid w:val="00253B98"/>
    <w:rsid w:val="00253D85"/>
    <w:rsid w:val="00254B21"/>
    <w:rsid w:val="002561E2"/>
    <w:rsid w:val="0025712C"/>
    <w:rsid w:val="0026039F"/>
    <w:rsid w:val="002603E4"/>
    <w:rsid w:val="00266603"/>
    <w:rsid w:val="002666A5"/>
    <w:rsid w:val="002677A2"/>
    <w:rsid w:val="00270385"/>
    <w:rsid w:val="0027292F"/>
    <w:rsid w:val="00272F8F"/>
    <w:rsid w:val="0027333B"/>
    <w:rsid w:val="00273A9E"/>
    <w:rsid w:val="00273E8C"/>
    <w:rsid w:val="002747C5"/>
    <w:rsid w:val="00274EA9"/>
    <w:rsid w:val="002778EF"/>
    <w:rsid w:val="0028077E"/>
    <w:rsid w:val="00280923"/>
    <w:rsid w:val="00282511"/>
    <w:rsid w:val="00282630"/>
    <w:rsid w:val="002841E3"/>
    <w:rsid w:val="00284789"/>
    <w:rsid w:val="002854B6"/>
    <w:rsid w:val="00285688"/>
    <w:rsid w:val="002859E2"/>
    <w:rsid w:val="00285EB6"/>
    <w:rsid w:val="002865E0"/>
    <w:rsid w:val="00286E87"/>
    <w:rsid w:val="0028736E"/>
    <w:rsid w:val="00287C20"/>
    <w:rsid w:val="002913DA"/>
    <w:rsid w:val="00291E84"/>
    <w:rsid w:val="00292BEF"/>
    <w:rsid w:val="002933CC"/>
    <w:rsid w:val="002976B0"/>
    <w:rsid w:val="002A0B4C"/>
    <w:rsid w:val="002A2A88"/>
    <w:rsid w:val="002A2D69"/>
    <w:rsid w:val="002A308D"/>
    <w:rsid w:val="002A3535"/>
    <w:rsid w:val="002A47B2"/>
    <w:rsid w:val="002A6569"/>
    <w:rsid w:val="002B1051"/>
    <w:rsid w:val="002B163A"/>
    <w:rsid w:val="002B1B78"/>
    <w:rsid w:val="002B1EA3"/>
    <w:rsid w:val="002B3002"/>
    <w:rsid w:val="002B5CC1"/>
    <w:rsid w:val="002B6C0A"/>
    <w:rsid w:val="002B7CC1"/>
    <w:rsid w:val="002C05E3"/>
    <w:rsid w:val="002C0AAF"/>
    <w:rsid w:val="002C128F"/>
    <w:rsid w:val="002C15D9"/>
    <w:rsid w:val="002C251C"/>
    <w:rsid w:val="002C3112"/>
    <w:rsid w:val="002C5562"/>
    <w:rsid w:val="002C68E9"/>
    <w:rsid w:val="002C6B0F"/>
    <w:rsid w:val="002D131E"/>
    <w:rsid w:val="002D167A"/>
    <w:rsid w:val="002D1E51"/>
    <w:rsid w:val="002D2B73"/>
    <w:rsid w:val="002D3209"/>
    <w:rsid w:val="002D3FC0"/>
    <w:rsid w:val="002D4A34"/>
    <w:rsid w:val="002D66D7"/>
    <w:rsid w:val="002D7950"/>
    <w:rsid w:val="002D7E7C"/>
    <w:rsid w:val="002E0111"/>
    <w:rsid w:val="002E3DDA"/>
    <w:rsid w:val="002E5926"/>
    <w:rsid w:val="002E5C21"/>
    <w:rsid w:val="002E5CCB"/>
    <w:rsid w:val="002E6D26"/>
    <w:rsid w:val="002E70BF"/>
    <w:rsid w:val="002E7FFD"/>
    <w:rsid w:val="002F1999"/>
    <w:rsid w:val="002F2EDB"/>
    <w:rsid w:val="002F40FA"/>
    <w:rsid w:val="002F4129"/>
    <w:rsid w:val="002F42CD"/>
    <w:rsid w:val="002F4C12"/>
    <w:rsid w:val="002F4DDA"/>
    <w:rsid w:val="002F6ABF"/>
    <w:rsid w:val="002F6F03"/>
    <w:rsid w:val="00300163"/>
    <w:rsid w:val="00303577"/>
    <w:rsid w:val="00303E7C"/>
    <w:rsid w:val="00303EE9"/>
    <w:rsid w:val="0030401A"/>
    <w:rsid w:val="003051EB"/>
    <w:rsid w:val="003057B2"/>
    <w:rsid w:val="003076C1"/>
    <w:rsid w:val="00312DC1"/>
    <w:rsid w:val="0031303E"/>
    <w:rsid w:val="0031390F"/>
    <w:rsid w:val="00314F27"/>
    <w:rsid w:val="0031510B"/>
    <w:rsid w:val="00316866"/>
    <w:rsid w:val="00316D31"/>
    <w:rsid w:val="00316E2B"/>
    <w:rsid w:val="00317039"/>
    <w:rsid w:val="00317121"/>
    <w:rsid w:val="003173B7"/>
    <w:rsid w:val="00320726"/>
    <w:rsid w:val="00320A7A"/>
    <w:rsid w:val="00320C59"/>
    <w:rsid w:val="00322FE8"/>
    <w:rsid w:val="00323024"/>
    <w:rsid w:val="00323915"/>
    <w:rsid w:val="00323FE3"/>
    <w:rsid w:val="003256BD"/>
    <w:rsid w:val="003306C7"/>
    <w:rsid w:val="00330BCE"/>
    <w:rsid w:val="00333CFB"/>
    <w:rsid w:val="00333D7E"/>
    <w:rsid w:val="00334A4D"/>
    <w:rsid w:val="0033511F"/>
    <w:rsid w:val="003354EE"/>
    <w:rsid w:val="00337070"/>
    <w:rsid w:val="00340D7B"/>
    <w:rsid w:val="00341C3E"/>
    <w:rsid w:val="00343947"/>
    <w:rsid w:val="00344CBE"/>
    <w:rsid w:val="0034503D"/>
    <w:rsid w:val="003463DD"/>
    <w:rsid w:val="00346B4A"/>
    <w:rsid w:val="00346F0E"/>
    <w:rsid w:val="00347916"/>
    <w:rsid w:val="0035003A"/>
    <w:rsid w:val="0035104C"/>
    <w:rsid w:val="003510F9"/>
    <w:rsid w:val="003513DC"/>
    <w:rsid w:val="003515C9"/>
    <w:rsid w:val="00351727"/>
    <w:rsid w:val="003537AE"/>
    <w:rsid w:val="00353F28"/>
    <w:rsid w:val="00354E59"/>
    <w:rsid w:val="00355752"/>
    <w:rsid w:val="00355A77"/>
    <w:rsid w:val="00355C21"/>
    <w:rsid w:val="00356CFF"/>
    <w:rsid w:val="00357934"/>
    <w:rsid w:val="00360E85"/>
    <w:rsid w:val="00361044"/>
    <w:rsid w:val="00361257"/>
    <w:rsid w:val="00361861"/>
    <w:rsid w:val="003618A1"/>
    <w:rsid w:val="00361E4F"/>
    <w:rsid w:val="00363600"/>
    <w:rsid w:val="00365E6D"/>
    <w:rsid w:val="00367B87"/>
    <w:rsid w:val="00367B8C"/>
    <w:rsid w:val="00372021"/>
    <w:rsid w:val="00372945"/>
    <w:rsid w:val="00374BDB"/>
    <w:rsid w:val="003757AB"/>
    <w:rsid w:val="00377B89"/>
    <w:rsid w:val="00377DB5"/>
    <w:rsid w:val="00380762"/>
    <w:rsid w:val="00382E8D"/>
    <w:rsid w:val="0038378D"/>
    <w:rsid w:val="0038404A"/>
    <w:rsid w:val="0038408F"/>
    <w:rsid w:val="00384AA4"/>
    <w:rsid w:val="00384F23"/>
    <w:rsid w:val="003859EC"/>
    <w:rsid w:val="00385DA7"/>
    <w:rsid w:val="0039129C"/>
    <w:rsid w:val="003916E7"/>
    <w:rsid w:val="003916EA"/>
    <w:rsid w:val="003923FC"/>
    <w:rsid w:val="00394EA9"/>
    <w:rsid w:val="00394F69"/>
    <w:rsid w:val="00394FCF"/>
    <w:rsid w:val="00396E07"/>
    <w:rsid w:val="0039763F"/>
    <w:rsid w:val="00397975"/>
    <w:rsid w:val="003A0E1D"/>
    <w:rsid w:val="003A5E27"/>
    <w:rsid w:val="003B02BE"/>
    <w:rsid w:val="003B1D1D"/>
    <w:rsid w:val="003B1F3E"/>
    <w:rsid w:val="003B20BD"/>
    <w:rsid w:val="003B288C"/>
    <w:rsid w:val="003B290D"/>
    <w:rsid w:val="003B2950"/>
    <w:rsid w:val="003B3EFA"/>
    <w:rsid w:val="003B42C1"/>
    <w:rsid w:val="003B4ED9"/>
    <w:rsid w:val="003B59D4"/>
    <w:rsid w:val="003B6F55"/>
    <w:rsid w:val="003C1EB9"/>
    <w:rsid w:val="003C2E1E"/>
    <w:rsid w:val="003C34EF"/>
    <w:rsid w:val="003C3DC7"/>
    <w:rsid w:val="003C3E33"/>
    <w:rsid w:val="003C5533"/>
    <w:rsid w:val="003C75A1"/>
    <w:rsid w:val="003C7A3F"/>
    <w:rsid w:val="003D024B"/>
    <w:rsid w:val="003D0C81"/>
    <w:rsid w:val="003D18D0"/>
    <w:rsid w:val="003D289B"/>
    <w:rsid w:val="003D37E5"/>
    <w:rsid w:val="003D3A29"/>
    <w:rsid w:val="003D3EB5"/>
    <w:rsid w:val="003D5A87"/>
    <w:rsid w:val="003D5C10"/>
    <w:rsid w:val="003D6843"/>
    <w:rsid w:val="003D6E22"/>
    <w:rsid w:val="003E095A"/>
    <w:rsid w:val="003E1214"/>
    <w:rsid w:val="003E19B5"/>
    <w:rsid w:val="003E216A"/>
    <w:rsid w:val="003E2191"/>
    <w:rsid w:val="003E42E5"/>
    <w:rsid w:val="003E6364"/>
    <w:rsid w:val="003E63A2"/>
    <w:rsid w:val="003E729C"/>
    <w:rsid w:val="003E7E90"/>
    <w:rsid w:val="003F2861"/>
    <w:rsid w:val="003F482D"/>
    <w:rsid w:val="003F49B1"/>
    <w:rsid w:val="003F4DE1"/>
    <w:rsid w:val="003F5DB7"/>
    <w:rsid w:val="003F78C2"/>
    <w:rsid w:val="003F7ABA"/>
    <w:rsid w:val="003F7F64"/>
    <w:rsid w:val="004009EE"/>
    <w:rsid w:val="004009F4"/>
    <w:rsid w:val="00401996"/>
    <w:rsid w:val="00401E30"/>
    <w:rsid w:val="00403B62"/>
    <w:rsid w:val="00403BFB"/>
    <w:rsid w:val="004048D0"/>
    <w:rsid w:val="004049E6"/>
    <w:rsid w:val="004050AE"/>
    <w:rsid w:val="0040650E"/>
    <w:rsid w:val="00406667"/>
    <w:rsid w:val="00406F4A"/>
    <w:rsid w:val="0040701F"/>
    <w:rsid w:val="00407534"/>
    <w:rsid w:val="00407638"/>
    <w:rsid w:val="004076A2"/>
    <w:rsid w:val="00407F49"/>
    <w:rsid w:val="004132A1"/>
    <w:rsid w:val="0041369E"/>
    <w:rsid w:val="00413BEE"/>
    <w:rsid w:val="00413EAA"/>
    <w:rsid w:val="00414F7E"/>
    <w:rsid w:val="00415205"/>
    <w:rsid w:val="004175A6"/>
    <w:rsid w:val="00420BC4"/>
    <w:rsid w:val="0042484C"/>
    <w:rsid w:val="004249E9"/>
    <w:rsid w:val="00425558"/>
    <w:rsid w:val="00425C9B"/>
    <w:rsid w:val="0042749F"/>
    <w:rsid w:val="004306A3"/>
    <w:rsid w:val="004313A8"/>
    <w:rsid w:val="004314D5"/>
    <w:rsid w:val="00431F29"/>
    <w:rsid w:val="004327DB"/>
    <w:rsid w:val="00433BB7"/>
    <w:rsid w:val="00434721"/>
    <w:rsid w:val="004357CF"/>
    <w:rsid w:val="00437E6F"/>
    <w:rsid w:val="00441051"/>
    <w:rsid w:val="00442431"/>
    <w:rsid w:val="004430FE"/>
    <w:rsid w:val="004437DF"/>
    <w:rsid w:val="004449C6"/>
    <w:rsid w:val="00446AB2"/>
    <w:rsid w:val="004473C0"/>
    <w:rsid w:val="00447BDE"/>
    <w:rsid w:val="00450CA0"/>
    <w:rsid w:val="004518F9"/>
    <w:rsid w:val="0045249E"/>
    <w:rsid w:val="00454557"/>
    <w:rsid w:val="004550D4"/>
    <w:rsid w:val="0045524D"/>
    <w:rsid w:val="004553DD"/>
    <w:rsid w:val="004560DA"/>
    <w:rsid w:val="00460A94"/>
    <w:rsid w:val="004615C3"/>
    <w:rsid w:val="004618DF"/>
    <w:rsid w:val="004638B2"/>
    <w:rsid w:val="00464C1D"/>
    <w:rsid w:val="0046534D"/>
    <w:rsid w:val="0046647A"/>
    <w:rsid w:val="0046654D"/>
    <w:rsid w:val="0046729B"/>
    <w:rsid w:val="004675A6"/>
    <w:rsid w:val="00467AAA"/>
    <w:rsid w:val="00472847"/>
    <w:rsid w:val="00472B31"/>
    <w:rsid w:val="0047362D"/>
    <w:rsid w:val="00474090"/>
    <w:rsid w:val="00474756"/>
    <w:rsid w:val="00474F1A"/>
    <w:rsid w:val="00474F47"/>
    <w:rsid w:val="00474FA4"/>
    <w:rsid w:val="00475C7D"/>
    <w:rsid w:val="00475DB1"/>
    <w:rsid w:val="004767AB"/>
    <w:rsid w:val="004779D2"/>
    <w:rsid w:val="004805AD"/>
    <w:rsid w:val="0048088C"/>
    <w:rsid w:val="004822B8"/>
    <w:rsid w:val="004834EB"/>
    <w:rsid w:val="0048351E"/>
    <w:rsid w:val="0048449D"/>
    <w:rsid w:val="004845ED"/>
    <w:rsid w:val="00485934"/>
    <w:rsid w:val="004860C4"/>
    <w:rsid w:val="004862A4"/>
    <w:rsid w:val="0048752E"/>
    <w:rsid w:val="004876AF"/>
    <w:rsid w:val="004901E7"/>
    <w:rsid w:val="004923C7"/>
    <w:rsid w:val="00492DD2"/>
    <w:rsid w:val="0049316A"/>
    <w:rsid w:val="004951B3"/>
    <w:rsid w:val="00495388"/>
    <w:rsid w:val="00497332"/>
    <w:rsid w:val="00497380"/>
    <w:rsid w:val="00497E65"/>
    <w:rsid w:val="004A2D5C"/>
    <w:rsid w:val="004A4E5A"/>
    <w:rsid w:val="004A5963"/>
    <w:rsid w:val="004A6028"/>
    <w:rsid w:val="004A6595"/>
    <w:rsid w:val="004A7DC9"/>
    <w:rsid w:val="004A7F26"/>
    <w:rsid w:val="004B09A4"/>
    <w:rsid w:val="004B2CEE"/>
    <w:rsid w:val="004B4CB2"/>
    <w:rsid w:val="004B5D07"/>
    <w:rsid w:val="004B6739"/>
    <w:rsid w:val="004B7727"/>
    <w:rsid w:val="004C4E8A"/>
    <w:rsid w:val="004C65FF"/>
    <w:rsid w:val="004C7F2F"/>
    <w:rsid w:val="004D03E4"/>
    <w:rsid w:val="004D051A"/>
    <w:rsid w:val="004D2611"/>
    <w:rsid w:val="004D2EEF"/>
    <w:rsid w:val="004D3DC6"/>
    <w:rsid w:val="004D48FA"/>
    <w:rsid w:val="004D553B"/>
    <w:rsid w:val="004D75CD"/>
    <w:rsid w:val="004E2F8C"/>
    <w:rsid w:val="004E5FC2"/>
    <w:rsid w:val="004E6887"/>
    <w:rsid w:val="004E6A79"/>
    <w:rsid w:val="004E732F"/>
    <w:rsid w:val="004E7476"/>
    <w:rsid w:val="004E75EA"/>
    <w:rsid w:val="004F1335"/>
    <w:rsid w:val="004F2011"/>
    <w:rsid w:val="004F35F8"/>
    <w:rsid w:val="004F479F"/>
    <w:rsid w:val="004F4AFF"/>
    <w:rsid w:val="004F4E72"/>
    <w:rsid w:val="004F565B"/>
    <w:rsid w:val="004F5959"/>
    <w:rsid w:val="005071E4"/>
    <w:rsid w:val="00511EA9"/>
    <w:rsid w:val="00512829"/>
    <w:rsid w:val="00520434"/>
    <w:rsid w:val="00520828"/>
    <w:rsid w:val="005211F4"/>
    <w:rsid w:val="005218F3"/>
    <w:rsid w:val="00530303"/>
    <w:rsid w:val="00531063"/>
    <w:rsid w:val="0053216A"/>
    <w:rsid w:val="00532777"/>
    <w:rsid w:val="00532CDD"/>
    <w:rsid w:val="0053389C"/>
    <w:rsid w:val="00534586"/>
    <w:rsid w:val="00534C7D"/>
    <w:rsid w:val="00534F25"/>
    <w:rsid w:val="00536D44"/>
    <w:rsid w:val="00536E3B"/>
    <w:rsid w:val="005375B3"/>
    <w:rsid w:val="005376DD"/>
    <w:rsid w:val="005400D9"/>
    <w:rsid w:val="0054082E"/>
    <w:rsid w:val="00541311"/>
    <w:rsid w:val="00542BE0"/>
    <w:rsid w:val="00545688"/>
    <w:rsid w:val="005469E2"/>
    <w:rsid w:val="00547D1D"/>
    <w:rsid w:val="005506B6"/>
    <w:rsid w:val="00550BB0"/>
    <w:rsid w:val="00552431"/>
    <w:rsid w:val="00553992"/>
    <w:rsid w:val="0055454C"/>
    <w:rsid w:val="005553DB"/>
    <w:rsid w:val="00560182"/>
    <w:rsid w:val="00560210"/>
    <w:rsid w:val="00562230"/>
    <w:rsid w:val="005624B6"/>
    <w:rsid w:val="005649BA"/>
    <w:rsid w:val="00565C3C"/>
    <w:rsid w:val="00565C89"/>
    <w:rsid w:val="0056755D"/>
    <w:rsid w:val="0057021B"/>
    <w:rsid w:val="005706CD"/>
    <w:rsid w:val="00571414"/>
    <w:rsid w:val="00572DA6"/>
    <w:rsid w:val="00573226"/>
    <w:rsid w:val="00573FD0"/>
    <w:rsid w:val="0057453F"/>
    <w:rsid w:val="00574804"/>
    <w:rsid w:val="00575B90"/>
    <w:rsid w:val="00577CA1"/>
    <w:rsid w:val="00577FAE"/>
    <w:rsid w:val="005805FE"/>
    <w:rsid w:val="0058085A"/>
    <w:rsid w:val="0058478A"/>
    <w:rsid w:val="00585691"/>
    <w:rsid w:val="00585FE3"/>
    <w:rsid w:val="005867DA"/>
    <w:rsid w:val="005879B5"/>
    <w:rsid w:val="00590C55"/>
    <w:rsid w:val="005924EB"/>
    <w:rsid w:val="00592A9A"/>
    <w:rsid w:val="0059357C"/>
    <w:rsid w:val="005947A0"/>
    <w:rsid w:val="00595CE8"/>
    <w:rsid w:val="005A1573"/>
    <w:rsid w:val="005A1F25"/>
    <w:rsid w:val="005A2C3A"/>
    <w:rsid w:val="005A2E92"/>
    <w:rsid w:val="005A3E05"/>
    <w:rsid w:val="005A5116"/>
    <w:rsid w:val="005A63C6"/>
    <w:rsid w:val="005A6C3F"/>
    <w:rsid w:val="005B170E"/>
    <w:rsid w:val="005B29D7"/>
    <w:rsid w:val="005B2A98"/>
    <w:rsid w:val="005B3ED4"/>
    <w:rsid w:val="005B42EA"/>
    <w:rsid w:val="005C024F"/>
    <w:rsid w:val="005C1E16"/>
    <w:rsid w:val="005C28E2"/>
    <w:rsid w:val="005C3612"/>
    <w:rsid w:val="005D16F1"/>
    <w:rsid w:val="005D1B47"/>
    <w:rsid w:val="005D2489"/>
    <w:rsid w:val="005D5863"/>
    <w:rsid w:val="005E1198"/>
    <w:rsid w:val="005E24CB"/>
    <w:rsid w:val="005E42DA"/>
    <w:rsid w:val="005E563C"/>
    <w:rsid w:val="005E5E9D"/>
    <w:rsid w:val="005E7C36"/>
    <w:rsid w:val="005F0550"/>
    <w:rsid w:val="005F05A0"/>
    <w:rsid w:val="005F0C48"/>
    <w:rsid w:val="005F1936"/>
    <w:rsid w:val="005F2215"/>
    <w:rsid w:val="005F2B89"/>
    <w:rsid w:val="005F3780"/>
    <w:rsid w:val="005F401A"/>
    <w:rsid w:val="005F45C3"/>
    <w:rsid w:val="005F4AFC"/>
    <w:rsid w:val="005F55EA"/>
    <w:rsid w:val="005F5955"/>
    <w:rsid w:val="005F5EDD"/>
    <w:rsid w:val="005F661A"/>
    <w:rsid w:val="005F6C30"/>
    <w:rsid w:val="005F78F4"/>
    <w:rsid w:val="005F7CFF"/>
    <w:rsid w:val="00600E81"/>
    <w:rsid w:val="006018D8"/>
    <w:rsid w:val="0060268A"/>
    <w:rsid w:val="006035D0"/>
    <w:rsid w:val="00603E10"/>
    <w:rsid w:val="00604C1D"/>
    <w:rsid w:val="006058FE"/>
    <w:rsid w:val="00605AA5"/>
    <w:rsid w:val="0061093C"/>
    <w:rsid w:val="006121D9"/>
    <w:rsid w:val="00614571"/>
    <w:rsid w:val="0061473D"/>
    <w:rsid w:val="006150CF"/>
    <w:rsid w:val="006154FB"/>
    <w:rsid w:val="006164C1"/>
    <w:rsid w:val="006179B2"/>
    <w:rsid w:val="006200AF"/>
    <w:rsid w:val="0062014F"/>
    <w:rsid w:val="0062057B"/>
    <w:rsid w:val="00621C7B"/>
    <w:rsid w:val="006221CA"/>
    <w:rsid w:val="00623696"/>
    <w:rsid w:val="00624976"/>
    <w:rsid w:val="0062536B"/>
    <w:rsid w:val="00625F57"/>
    <w:rsid w:val="00627645"/>
    <w:rsid w:val="00630ACB"/>
    <w:rsid w:val="006317C3"/>
    <w:rsid w:val="006318D8"/>
    <w:rsid w:val="006339D3"/>
    <w:rsid w:val="00633E4C"/>
    <w:rsid w:val="006349C9"/>
    <w:rsid w:val="00634B9E"/>
    <w:rsid w:val="00635897"/>
    <w:rsid w:val="00640037"/>
    <w:rsid w:val="00642192"/>
    <w:rsid w:val="006448FC"/>
    <w:rsid w:val="0064630B"/>
    <w:rsid w:val="00646600"/>
    <w:rsid w:val="00646C21"/>
    <w:rsid w:val="00647907"/>
    <w:rsid w:val="0065016F"/>
    <w:rsid w:val="0065117D"/>
    <w:rsid w:val="00652125"/>
    <w:rsid w:val="0065287F"/>
    <w:rsid w:val="006534B7"/>
    <w:rsid w:val="006565D1"/>
    <w:rsid w:val="006570B2"/>
    <w:rsid w:val="00657207"/>
    <w:rsid w:val="0066118D"/>
    <w:rsid w:val="006622A3"/>
    <w:rsid w:val="0066255C"/>
    <w:rsid w:val="00665B84"/>
    <w:rsid w:val="0067016B"/>
    <w:rsid w:val="006706F4"/>
    <w:rsid w:val="00670998"/>
    <w:rsid w:val="006714DF"/>
    <w:rsid w:val="0067156E"/>
    <w:rsid w:val="0067301E"/>
    <w:rsid w:val="006749D2"/>
    <w:rsid w:val="00674E06"/>
    <w:rsid w:val="00674EEC"/>
    <w:rsid w:val="006756C6"/>
    <w:rsid w:val="00675D88"/>
    <w:rsid w:val="00675FBC"/>
    <w:rsid w:val="0067698D"/>
    <w:rsid w:val="006778BC"/>
    <w:rsid w:val="00681812"/>
    <w:rsid w:val="006818CD"/>
    <w:rsid w:val="0068426B"/>
    <w:rsid w:val="006870BA"/>
    <w:rsid w:val="00690821"/>
    <w:rsid w:val="0069148C"/>
    <w:rsid w:val="0069165D"/>
    <w:rsid w:val="006916D3"/>
    <w:rsid w:val="00691A14"/>
    <w:rsid w:val="00692666"/>
    <w:rsid w:val="00692DC5"/>
    <w:rsid w:val="0069566A"/>
    <w:rsid w:val="00696656"/>
    <w:rsid w:val="006A035B"/>
    <w:rsid w:val="006A0F81"/>
    <w:rsid w:val="006A22AE"/>
    <w:rsid w:val="006A6988"/>
    <w:rsid w:val="006A69F0"/>
    <w:rsid w:val="006A6AA2"/>
    <w:rsid w:val="006A7BDB"/>
    <w:rsid w:val="006B0D81"/>
    <w:rsid w:val="006B137D"/>
    <w:rsid w:val="006B1E20"/>
    <w:rsid w:val="006B1FCC"/>
    <w:rsid w:val="006B24EE"/>
    <w:rsid w:val="006B2DA7"/>
    <w:rsid w:val="006B348D"/>
    <w:rsid w:val="006B36B2"/>
    <w:rsid w:val="006B72AD"/>
    <w:rsid w:val="006C1D71"/>
    <w:rsid w:val="006C2957"/>
    <w:rsid w:val="006C3C81"/>
    <w:rsid w:val="006C4B2A"/>
    <w:rsid w:val="006C68D2"/>
    <w:rsid w:val="006C7AEC"/>
    <w:rsid w:val="006D0914"/>
    <w:rsid w:val="006D3C1E"/>
    <w:rsid w:val="006D4025"/>
    <w:rsid w:val="006D4309"/>
    <w:rsid w:val="006D5754"/>
    <w:rsid w:val="006D5DFB"/>
    <w:rsid w:val="006D6490"/>
    <w:rsid w:val="006D67B8"/>
    <w:rsid w:val="006D6EE4"/>
    <w:rsid w:val="006D7120"/>
    <w:rsid w:val="006E1446"/>
    <w:rsid w:val="006E2136"/>
    <w:rsid w:val="006E3229"/>
    <w:rsid w:val="006E4829"/>
    <w:rsid w:val="006E4E48"/>
    <w:rsid w:val="006E52FD"/>
    <w:rsid w:val="006E6715"/>
    <w:rsid w:val="006E7210"/>
    <w:rsid w:val="006E7E07"/>
    <w:rsid w:val="006F0216"/>
    <w:rsid w:val="006F0939"/>
    <w:rsid w:val="006F233E"/>
    <w:rsid w:val="006F3386"/>
    <w:rsid w:val="006F3EB1"/>
    <w:rsid w:val="006F5972"/>
    <w:rsid w:val="006F6719"/>
    <w:rsid w:val="006F7DD2"/>
    <w:rsid w:val="006F7F9E"/>
    <w:rsid w:val="00704154"/>
    <w:rsid w:val="007047E5"/>
    <w:rsid w:val="0070504B"/>
    <w:rsid w:val="00705950"/>
    <w:rsid w:val="00705E7B"/>
    <w:rsid w:val="0070738E"/>
    <w:rsid w:val="00710916"/>
    <w:rsid w:val="00710A44"/>
    <w:rsid w:val="00711055"/>
    <w:rsid w:val="00711174"/>
    <w:rsid w:val="00712920"/>
    <w:rsid w:val="00712987"/>
    <w:rsid w:val="00712A7D"/>
    <w:rsid w:val="00712B78"/>
    <w:rsid w:val="00712D60"/>
    <w:rsid w:val="0071436D"/>
    <w:rsid w:val="00714673"/>
    <w:rsid w:val="00714AC5"/>
    <w:rsid w:val="00715AC6"/>
    <w:rsid w:val="00715BBA"/>
    <w:rsid w:val="007174C2"/>
    <w:rsid w:val="0072002E"/>
    <w:rsid w:val="0072043A"/>
    <w:rsid w:val="00721323"/>
    <w:rsid w:val="0072133F"/>
    <w:rsid w:val="00722662"/>
    <w:rsid w:val="00722FA2"/>
    <w:rsid w:val="007244BB"/>
    <w:rsid w:val="00724DF5"/>
    <w:rsid w:val="00725AC2"/>
    <w:rsid w:val="00730DD6"/>
    <w:rsid w:val="007346AA"/>
    <w:rsid w:val="007357F8"/>
    <w:rsid w:val="00735A5A"/>
    <w:rsid w:val="00736710"/>
    <w:rsid w:val="00736CD8"/>
    <w:rsid w:val="007371F9"/>
    <w:rsid w:val="00742564"/>
    <w:rsid w:val="00742AA4"/>
    <w:rsid w:val="007433AE"/>
    <w:rsid w:val="00743BA2"/>
    <w:rsid w:val="00744518"/>
    <w:rsid w:val="00744783"/>
    <w:rsid w:val="00744B23"/>
    <w:rsid w:val="00744BFE"/>
    <w:rsid w:val="007454A1"/>
    <w:rsid w:val="00745E82"/>
    <w:rsid w:val="007467FD"/>
    <w:rsid w:val="007471F0"/>
    <w:rsid w:val="0075036E"/>
    <w:rsid w:val="0075070B"/>
    <w:rsid w:val="00750E75"/>
    <w:rsid w:val="0075174C"/>
    <w:rsid w:val="00751D1C"/>
    <w:rsid w:val="00752FFE"/>
    <w:rsid w:val="00753815"/>
    <w:rsid w:val="00754AD3"/>
    <w:rsid w:val="007564D4"/>
    <w:rsid w:val="00756572"/>
    <w:rsid w:val="007566A8"/>
    <w:rsid w:val="00756A3D"/>
    <w:rsid w:val="0076030C"/>
    <w:rsid w:val="00760322"/>
    <w:rsid w:val="00760BAF"/>
    <w:rsid w:val="0076195A"/>
    <w:rsid w:val="0076337F"/>
    <w:rsid w:val="0076362A"/>
    <w:rsid w:val="00763B3E"/>
    <w:rsid w:val="007644D2"/>
    <w:rsid w:val="00764D71"/>
    <w:rsid w:val="00766282"/>
    <w:rsid w:val="0076692D"/>
    <w:rsid w:val="00767429"/>
    <w:rsid w:val="00767C50"/>
    <w:rsid w:val="00770F1F"/>
    <w:rsid w:val="00771208"/>
    <w:rsid w:val="00771AC4"/>
    <w:rsid w:val="00772535"/>
    <w:rsid w:val="00772D6F"/>
    <w:rsid w:val="00773918"/>
    <w:rsid w:val="007746F3"/>
    <w:rsid w:val="00775A8B"/>
    <w:rsid w:val="00776EEF"/>
    <w:rsid w:val="007806DD"/>
    <w:rsid w:val="007843C3"/>
    <w:rsid w:val="00785EC4"/>
    <w:rsid w:val="00791F8A"/>
    <w:rsid w:val="00792DAC"/>
    <w:rsid w:val="007931C3"/>
    <w:rsid w:val="0079340C"/>
    <w:rsid w:val="007939F0"/>
    <w:rsid w:val="00794338"/>
    <w:rsid w:val="00796095"/>
    <w:rsid w:val="007968A1"/>
    <w:rsid w:val="00796BB9"/>
    <w:rsid w:val="007A0D5C"/>
    <w:rsid w:val="007A1662"/>
    <w:rsid w:val="007A1CAB"/>
    <w:rsid w:val="007A1EE3"/>
    <w:rsid w:val="007A2E51"/>
    <w:rsid w:val="007A41BD"/>
    <w:rsid w:val="007A4C0D"/>
    <w:rsid w:val="007A652C"/>
    <w:rsid w:val="007B0CD9"/>
    <w:rsid w:val="007B0D6D"/>
    <w:rsid w:val="007B1420"/>
    <w:rsid w:val="007B36B5"/>
    <w:rsid w:val="007B3DB2"/>
    <w:rsid w:val="007B5772"/>
    <w:rsid w:val="007B6E4C"/>
    <w:rsid w:val="007B7C58"/>
    <w:rsid w:val="007C1ADB"/>
    <w:rsid w:val="007C2744"/>
    <w:rsid w:val="007C2DB5"/>
    <w:rsid w:val="007C3A12"/>
    <w:rsid w:val="007C49FD"/>
    <w:rsid w:val="007C5B7D"/>
    <w:rsid w:val="007D0277"/>
    <w:rsid w:val="007D12A2"/>
    <w:rsid w:val="007D188D"/>
    <w:rsid w:val="007D247D"/>
    <w:rsid w:val="007D3765"/>
    <w:rsid w:val="007D3862"/>
    <w:rsid w:val="007D52C4"/>
    <w:rsid w:val="007E24D7"/>
    <w:rsid w:val="007E3938"/>
    <w:rsid w:val="007E5E95"/>
    <w:rsid w:val="007E6158"/>
    <w:rsid w:val="007F00CC"/>
    <w:rsid w:val="007F01DA"/>
    <w:rsid w:val="007F2465"/>
    <w:rsid w:val="007F290B"/>
    <w:rsid w:val="007F2F41"/>
    <w:rsid w:val="007F4A8B"/>
    <w:rsid w:val="007F4E8F"/>
    <w:rsid w:val="007F7933"/>
    <w:rsid w:val="00804FA6"/>
    <w:rsid w:val="00805A5A"/>
    <w:rsid w:val="00810B65"/>
    <w:rsid w:val="00811C52"/>
    <w:rsid w:val="0081376A"/>
    <w:rsid w:val="008144A4"/>
    <w:rsid w:val="00815867"/>
    <w:rsid w:val="008206B5"/>
    <w:rsid w:val="00821671"/>
    <w:rsid w:val="00821690"/>
    <w:rsid w:val="008227E6"/>
    <w:rsid w:val="008240F0"/>
    <w:rsid w:val="00824F2C"/>
    <w:rsid w:val="008254ED"/>
    <w:rsid w:val="00825C8E"/>
    <w:rsid w:val="00825ED6"/>
    <w:rsid w:val="00827416"/>
    <w:rsid w:val="0082749E"/>
    <w:rsid w:val="00834673"/>
    <w:rsid w:val="00835424"/>
    <w:rsid w:val="00835712"/>
    <w:rsid w:val="00835AB9"/>
    <w:rsid w:val="00836EFC"/>
    <w:rsid w:val="00840F35"/>
    <w:rsid w:val="00841392"/>
    <w:rsid w:val="0084219B"/>
    <w:rsid w:val="0084404C"/>
    <w:rsid w:val="008441A8"/>
    <w:rsid w:val="0084493C"/>
    <w:rsid w:val="0084643E"/>
    <w:rsid w:val="00852002"/>
    <w:rsid w:val="00856E0D"/>
    <w:rsid w:val="00857DAA"/>
    <w:rsid w:val="00861AEF"/>
    <w:rsid w:val="008632EF"/>
    <w:rsid w:val="00863A0C"/>
    <w:rsid w:val="008641A4"/>
    <w:rsid w:val="00864C09"/>
    <w:rsid w:val="00864E0B"/>
    <w:rsid w:val="0086539C"/>
    <w:rsid w:val="00865C24"/>
    <w:rsid w:val="008660B0"/>
    <w:rsid w:val="008705A3"/>
    <w:rsid w:val="00871083"/>
    <w:rsid w:val="00871479"/>
    <w:rsid w:val="0087172F"/>
    <w:rsid w:val="00872D7D"/>
    <w:rsid w:val="0087360C"/>
    <w:rsid w:val="00876C50"/>
    <w:rsid w:val="00880EB7"/>
    <w:rsid w:val="0088102F"/>
    <w:rsid w:val="008824E9"/>
    <w:rsid w:val="008826FE"/>
    <w:rsid w:val="00883703"/>
    <w:rsid w:val="00884450"/>
    <w:rsid w:val="008856D3"/>
    <w:rsid w:val="0088647B"/>
    <w:rsid w:val="00890881"/>
    <w:rsid w:val="00890F59"/>
    <w:rsid w:val="00892CA6"/>
    <w:rsid w:val="00892CFF"/>
    <w:rsid w:val="008932BD"/>
    <w:rsid w:val="0089469D"/>
    <w:rsid w:val="008950B4"/>
    <w:rsid w:val="00897E6A"/>
    <w:rsid w:val="008A02E6"/>
    <w:rsid w:val="008A123D"/>
    <w:rsid w:val="008A1C57"/>
    <w:rsid w:val="008A2CF8"/>
    <w:rsid w:val="008A3DF5"/>
    <w:rsid w:val="008A4947"/>
    <w:rsid w:val="008A58FD"/>
    <w:rsid w:val="008A5BB8"/>
    <w:rsid w:val="008A5C56"/>
    <w:rsid w:val="008A6FA4"/>
    <w:rsid w:val="008A782C"/>
    <w:rsid w:val="008B0473"/>
    <w:rsid w:val="008B462A"/>
    <w:rsid w:val="008B6B4A"/>
    <w:rsid w:val="008B7BA1"/>
    <w:rsid w:val="008C11D7"/>
    <w:rsid w:val="008C212D"/>
    <w:rsid w:val="008C39AC"/>
    <w:rsid w:val="008C5149"/>
    <w:rsid w:val="008C5330"/>
    <w:rsid w:val="008C612C"/>
    <w:rsid w:val="008C7CD9"/>
    <w:rsid w:val="008D182D"/>
    <w:rsid w:val="008D2EFD"/>
    <w:rsid w:val="008D36A8"/>
    <w:rsid w:val="008D3C09"/>
    <w:rsid w:val="008D503D"/>
    <w:rsid w:val="008E0A02"/>
    <w:rsid w:val="008E16BE"/>
    <w:rsid w:val="008E2100"/>
    <w:rsid w:val="008E2EC2"/>
    <w:rsid w:val="008E314F"/>
    <w:rsid w:val="008E3729"/>
    <w:rsid w:val="008E494C"/>
    <w:rsid w:val="008E497B"/>
    <w:rsid w:val="008E4EA2"/>
    <w:rsid w:val="008E4F1D"/>
    <w:rsid w:val="008E5A40"/>
    <w:rsid w:val="008E5B4F"/>
    <w:rsid w:val="008F097A"/>
    <w:rsid w:val="008F0FE4"/>
    <w:rsid w:val="008F1C69"/>
    <w:rsid w:val="008F30F2"/>
    <w:rsid w:val="008F327E"/>
    <w:rsid w:val="008F40CA"/>
    <w:rsid w:val="008F470C"/>
    <w:rsid w:val="008F5263"/>
    <w:rsid w:val="008F5D90"/>
    <w:rsid w:val="008F7A7F"/>
    <w:rsid w:val="009013DC"/>
    <w:rsid w:val="009040F6"/>
    <w:rsid w:val="00904C09"/>
    <w:rsid w:val="0090576C"/>
    <w:rsid w:val="009062F4"/>
    <w:rsid w:val="0090777C"/>
    <w:rsid w:val="00911DB7"/>
    <w:rsid w:val="0091337D"/>
    <w:rsid w:val="00914BD7"/>
    <w:rsid w:val="00916368"/>
    <w:rsid w:val="00916C9A"/>
    <w:rsid w:val="0091723A"/>
    <w:rsid w:val="009178DE"/>
    <w:rsid w:val="00920479"/>
    <w:rsid w:val="0092375E"/>
    <w:rsid w:val="0092438A"/>
    <w:rsid w:val="00924949"/>
    <w:rsid w:val="00925FF7"/>
    <w:rsid w:val="00927166"/>
    <w:rsid w:val="009274D7"/>
    <w:rsid w:val="009278E5"/>
    <w:rsid w:val="00927D94"/>
    <w:rsid w:val="009307B3"/>
    <w:rsid w:val="00931B45"/>
    <w:rsid w:val="00931B71"/>
    <w:rsid w:val="00931CFB"/>
    <w:rsid w:val="00932FE0"/>
    <w:rsid w:val="0093462E"/>
    <w:rsid w:val="009362C5"/>
    <w:rsid w:val="00936FB5"/>
    <w:rsid w:val="0093742A"/>
    <w:rsid w:val="00940A6C"/>
    <w:rsid w:val="00940CA8"/>
    <w:rsid w:val="00940FD3"/>
    <w:rsid w:val="00941378"/>
    <w:rsid w:val="00942469"/>
    <w:rsid w:val="00943840"/>
    <w:rsid w:val="0094536B"/>
    <w:rsid w:val="009453DA"/>
    <w:rsid w:val="00946601"/>
    <w:rsid w:val="0094662F"/>
    <w:rsid w:val="009473BD"/>
    <w:rsid w:val="009500DA"/>
    <w:rsid w:val="00951241"/>
    <w:rsid w:val="00951ED5"/>
    <w:rsid w:val="00952554"/>
    <w:rsid w:val="00952F60"/>
    <w:rsid w:val="00953617"/>
    <w:rsid w:val="0095441A"/>
    <w:rsid w:val="009548A4"/>
    <w:rsid w:val="00955858"/>
    <w:rsid w:val="009559D3"/>
    <w:rsid w:val="009568EB"/>
    <w:rsid w:val="00956AA2"/>
    <w:rsid w:val="00956E7D"/>
    <w:rsid w:val="00957C47"/>
    <w:rsid w:val="00960EA7"/>
    <w:rsid w:val="009613E3"/>
    <w:rsid w:val="009629CB"/>
    <w:rsid w:val="00962A89"/>
    <w:rsid w:val="00963040"/>
    <w:rsid w:val="00964141"/>
    <w:rsid w:val="00964251"/>
    <w:rsid w:val="009645F8"/>
    <w:rsid w:val="0097065D"/>
    <w:rsid w:val="009708FB"/>
    <w:rsid w:val="00971DEB"/>
    <w:rsid w:val="00972C7D"/>
    <w:rsid w:val="0097308A"/>
    <w:rsid w:val="00974153"/>
    <w:rsid w:val="009767D4"/>
    <w:rsid w:val="00976CA3"/>
    <w:rsid w:val="009800FA"/>
    <w:rsid w:val="00980DEB"/>
    <w:rsid w:val="009812E1"/>
    <w:rsid w:val="00981FB6"/>
    <w:rsid w:val="009820C5"/>
    <w:rsid w:val="00987243"/>
    <w:rsid w:val="009878C4"/>
    <w:rsid w:val="00990038"/>
    <w:rsid w:val="00990285"/>
    <w:rsid w:val="009902F2"/>
    <w:rsid w:val="00990440"/>
    <w:rsid w:val="009913AD"/>
    <w:rsid w:val="00993A66"/>
    <w:rsid w:val="009944CC"/>
    <w:rsid w:val="00995201"/>
    <w:rsid w:val="009A0B33"/>
    <w:rsid w:val="009A1238"/>
    <w:rsid w:val="009A1FA6"/>
    <w:rsid w:val="009A379D"/>
    <w:rsid w:val="009A3948"/>
    <w:rsid w:val="009A3A68"/>
    <w:rsid w:val="009A3E50"/>
    <w:rsid w:val="009A45F4"/>
    <w:rsid w:val="009A5D06"/>
    <w:rsid w:val="009A5E55"/>
    <w:rsid w:val="009A6244"/>
    <w:rsid w:val="009A69F2"/>
    <w:rsid w:val="009A7C25"/>
    <w:rsid w:val="009B020A"/>
    <w:rsid w:val="009B18B7"/>
    <w:rsid w:val="009B1AD8"/>
    <w:rsid w:val="009B206A"/>
    <w:rsid w:val="009B2873"/>
    <w:rsid w:val="009B4667"/>
    <w:rsid w:val="009B47B2"/>
    <w:rsid w:val="009B482F"/>
    <w:rsid w:val="009B6FA3"/>
    <w:rsid w:val="009C1725"/>
    <w:rsid w:val="009C2038"/>
    <w:rsid w:val="009C2336"/>
    <w:rsid w:val="009C54BF"/>
    <w:rsid w:val="009C602F"/>
    <w:rsid w:val="009C6417"/>
    <w:rsid w:val="009C6A53"/>
    <w:rsid w:val="009C7DC8"/>
    <w:rsid w:val="009D008D"/>
    <w:rsid w:val="009D1F4D"/>
    <w:rsid w:val="009D23DD"/>
    <w:rsid w:val="009D661D"/>
    <w:rsid w:val="009E066B"/>
    <w:rsid w:val="009E079E"/>
    <w:rsid w:val="009E0F55"/>
    <w:rsid w:val="009E2127"/>
    <w:rsid w:val="009E22DF"/>
    <w:rsid w:val="009E30F1"/>
    <w:rsid w:val="009E3E58"/>
    <w:rsid w:val="009E4933"/>
    <w:rsid w:val="009E6110"/>
    <w:rsid w:val="009E7F3A"/>
    <w:rsid w:val="009F270D"/>
    <w:rsid w:val="009F2A26"/>
    <w:rsid w:val="009F2A2F"/>
    <w:rsid w:val="009F37A6"/>
    <w:rsid w:val="009F3C18"/>
    <w:rsid w:val="009F4C73"/>
    <w:rsid w:val="009F583D"/>
    <w:rsid w:val="009F6687"/>
    <w:rsid w:val="00A00294"/>
    <w:rsid w:val="00A0143E"/>
    <w:rsid w:val="00A015EA"/>
    <w:rsid w:val="00A02642"/>
    <w:rsid w:val="00A029E8"/>
    <w:rsid w:val="00A02C37"/>
    <w:rsid w:val="00A0339B"/>
    <w:rsid w:val="00A03523"/>
    <w:rsid w:val="00A03982"/>
    <w:rsid w:val="00A04DCF"/>
    <w:rsid w:val="00A06136"/>
    <w:rsid w:val="00A065BA"/>
    <w:rsid w:val="00A1037F"/>
    <w:rsid w:val="00A10AE9"/>
    <w:rsid w:val="00A12FF9"/>
    <w:rsid w:val="00A13153"/>
    <w:rsid w:val="00A14A8E"/>
    <w:rsid w:val="00A159B3"/>
    <w:rsid w:val="00A17818"/>
    <w:rsid w:val="00A21AC4"/>
    <w:rsid w:val="00A2613B"/>
    <w:rsid w:val="00A27D72"/>
    <w:rsid w:val="00A27F92"/>
    <w:rsid w:val="00A30344"/>
    <w:rsid w:val="00A306CD"/>
    <w:rsid w:val="00A31BBC"/>
    <w:rsid w:val="00A32E74"/>
    <w:rsid w:val="00A41353"/>
    <w:rsid w:val="00A428D8"/>
    <w:rsid w:val="00A43802"/>
    <w:rsid w:val="00A43826"/>
    <w:rsid w:val="00A43D62"/>
    <w:rsid w:val="00A44BD7"/>
    <w:rsid w:val="00A459FA"/>
    <w:rsid w:val="00A474A8"/>
    <w:rsid w:val="00A475EC"/>
    <w:rsid w:val="00A513E1"/>
    <w:rsid w:val="00A53BE9"/>
    <w:rsid w:val="00A54012"/>
    <w:rsid w:val="00A54400"/>
    <w:rsid w:val="00A5717A"/>
    <w:rsid w:val="00A608AC"/>
    <w:rsid w:val="00A6139C"/>
    <w:rsid w:val="00A614A8"/>
    <w:rsid w:val="00A61A3E"/>
    <w:rsid w:val="00A6208F"/>
    <w:rsid w:val="00A6410E"/>
    <w:rsid w:val="00A659A6"/>
    <w:rsid w:val="00A667AA"/>
    <w:rsid w:val="00A668F1"/>
    <w:rsid w:val="00A67F05"/>
    <w:rsid w:val="00A67FF9"/>
    <w:rsid w:val="00A70DBA"/>
    <w:rsid w:val="00A727D7"/>
    <w:rsid w:val="00A734B0"/>
    <w:rsid w:val="00A75C03"/>
    <w:rsid w:val="00A75C07"/>
    <w:rsid w:val="00A75EA6"/>
    <w:rsid w:val="00A805B5"/>
    <w:rsid w:val="00A8078C"/>
    <w:rsid w:val="00A81E6C"/>
    <w:rsid w:val="00A82514"/>
    <w:rsid w:val="00A82673"/>
    <w:rsid w:val="00A8316E"/>
    <w:rsid w:val="00A84B85"/>
    <w:rsid w:val="00A863A5"/>
    <w:rsid w:val="00A870A0"/>
    <w:rsid w:val="00A87E31"/>
    <w:rsid w:val="00A9253B"/>
    <w:rsid w:val="00A9292C"/>
    <w:rsid w:val="00A935C4"/>
    <w:rsid w:val="00A93B5A"/>
    <w:rsid w:val="00A94DE6"/>
    <w:rsid w:val="00AA0580"/>
    <w:rsid w:val="00AA2B3F"/>
    <w:rsid w:val="00AA3D5A"/>
    <w:rsid w:val="00AA424F"/>
    <w:rsid w:val="00AA4415"/>
    <w:rsid w:val="00AA5D6F"/>
    <w:rsid w:val="00AB08A9"/>
    <w:rsid w:val="00AB0E63"/>
    <w:rsid w:val="00AB2679"/>
    <w:rsid w:val="00AB275F"/>
    <w:rsid w:val="00AB28F4"/>
    <w:rsid w:val="00AB4265"/>
    <w:rsid w:val="00AB4FAD"/>
    <w:rsid w:val="00AB5457"/>
    <w:rsid w:val="00AB5A07"/>
    <w:rsid w:val="00AC0510"/>
    <w:rsid w:val="00AC05A8"/>
    <w:rsid w:val="00AC0E1B"/>
    <w:rsid w:val="00AC310A"/>
    <w:rsid w:val="00AC34C2"/>
    <w:rsid w:val="00AC3B04"/>
    <w:rsid w:val="00AC3BC8"/>
    <w:rsid w:val="00AC3FF4"/>
    <w:rsid w:val="00AC410A"/>
    <w:rsid w:val="00AC5075"/>
    <w:rsid w:val="00AC5D1E"/>
    <w:rsid w:val="00AC687B"/>
    <w:rsid w:val="00AC7124"/>
    <w:rsid w:val="00AC7D9F"/>
    <w:rsid w:val="00AD12BF"/>
    <w:rsid w:val="00AD2399"/>
    <w:rsid w:val="00AD3910"/>
    <w:rsid w:val="00AD5984"/>
    <w:rsid w:val="00AD63D5"/>
    <w:rsid w:val="00AD64D0"/>
    <w:rsid w:val="00AD69EB"/>
    <w:rsid w:val="00AD7628"/>
    <w:rsid w:val="00AE1919"/>
    <w:rsid w:val="00AE1AF3"/>
    <w:rsid w:val="00AE2A48"/>
    <w:rsid w:val="00AE3585"/>
    <w:rsid w:val="00AE3DDE"/>
    <w:rsid w:val="00AE57E4"/>
    <w:rsid w:val="00AE66F7"/>
    <w:rsid w:val="00AE6BD3"/>
    <w:rsid w:val="00AF06ED"/>
    <w:rsid w:val="00AF0D1D"/>
    <w:rsid w:val="00AF1075"/>
    <w:rsid w:val="00AF2433"/>
    <w:rsid w:val="00AF2B3A"/>
    <w:rsid w:val="00AF3C7A"/>
    <w:rsid w:val="00AF55FC"/>
    <w:rsid w:val="00AF77AC"/>
    <w:rsid w:val="00B00201"/>
    <w:rsid w:val="00B0084E"/>
    <w:rsid w:val="00B00F4C"/>
    <w:rsid w:val="00B010C2"/>
    <w:rsid w:val="00B01D39"/>
    <w:rsid w:val="00B024F7"/>
    <w:rsid w:val="00B02DAF"/>
    <w:rsid w:val="00B04E1D"/>
    <w:rsid w:val="00B06022"/>
    <w:rsid w:val="00B06546"/>
    <w:rsid w:val="00B06D26"/>
    <w:rsid w:val="00B119C6"/>
    <w:rsid w:val="00B14058"/>
    <w:rsid w:val="00B14C2D"/>
    <w:rsid w:val="00B15370"/>
    <w:rsid w:val="00B157C4"/>
    <w:rsid w:val="00B17099"/>
    <w:rsid w:val="00B2131B"/>
    <w:rsid w:val="00B21DD5"/>
    <w:rsid w:val="00B22238"/>
    <w:rsid w:val="00B23AEA"/>
    <w:rsid w:val="00B25643"/>
    <w:rsid w:val="00B25959"/>
    <w:rsid w:val="00B25D7B"/>
    <w:rsid w:val="00B264EC"/>
    <w:rsid w:val="00B274C7"/>
    <w:rsid w:val="00B2779E"/>
    <w:rsid w:val="00B27964"/>
    <w:rsid w:val="00B30AA8"/>
    <w:rsid w:val="00B30ED2"/>
    <w:rsid w:val="00B321B8"/>
    <w:rsid w:val="00B339A8"/>
    <w:rsid w:val="00B33DA2"/>
    <w:rsid w:val="00B343A7"/>
    <w:rsid w:val="00B3457E"/>
    <w:rsid w:val="00B406D7"/>
    <w:rsid w:val="00B40B04"/>
    <w:rsid w:val="00B41247"/>
    <w:rsid w:val="00B41735"/>
    <w:rsid w:val="00B4190B"/>
    <w:rsid w:val="00B41988"/>
    <w:rsid w:val="00B41EDF"/>
    <w:rsid w:val="00B44955"/>
    <w:rsid w:val="00B44A7C"/>
    <w:rsid w:val="00B46A51"/>
    <w:rsid w:val="00B46AE8"/>
    <w:rsid w:val="00B46C92"/>
    <w:rsid w:val="00B47BC6"/>
    <w:rsid w:val="00B47C0A"/>
    <w:rsid w:val="00B50852"/>
    <w:rsid w:val="00B518E8"/>
    <w:rsid w:val="00B579D2"/>
    <w:rsid w:val="00B60CD2"/>
    <w:rsid w:val="00B618F1"/>
    <w:rsid w:val="00B6250A"/>
    <w:rsid w:val="00B62D50"/>
    <w:rsid w:val="00B63006"/>
    <w:rsid w:val="00B6495A"/>
    <w:rsid w:val="00B64993"/>
    <w:rsid w:val="00B65F4D"/>
    <w:rsid w:val="00B66B77"/>
    <w:rsid w:val="00B70C25"/>
    <w:rsid w:val="00B71FFE"/>
    <w:rsid w:val="00B74311"/>
    <w:rsid w:val="00B762A0"/>
    <w:rsid w:val="00B76982"/>
    <w:rsid w:val="00B77C6E"/>
    <w:rsid w:val="00B8066E"/>
    <w:rsid w:val="00B80701"/>
    <w:rsid w:val="00B80FF4"/>
    <w:rsid w:val="00B8163F"/>
    <w:rsid w:val="00B817A7"/>
    <w:rsid w:val="00B847F0"/>
    <w:rsid w:val="00B848E1"/>
    <w:rsid w:val="00B8526F"/>
    <w:rsid w:val="00B86F09"/>
    <w:rsid w:val="00B91605"/>
    <w:rsid w:val="00B91BC3"/>
    <w:rsid w:val="00B9200B"/>
    <w:rsid w:val="00B92BBC"/>
    <w:rsid w:val="00B942F9"/>
    <w:rsid w:val="00B94620"/>
    <w:rsid w:val="00B94EE1"/>
    <w:rsid w:val="00B9555D"/>
    <w:rsid w:val="00B961B2"/>
    <w:rsid w:val="00BA0A5D"/>
    <w:rsid w:val="00BA0AB9"/>
    <w:rsid w:val="00BA2529"/>
    <w:rsid w:val="00BA2D80"/>
    <w:rsid w:val="00BA3A59"/>
    <w:rsid w:val="00BB08FB"/>
    <w:rsid w:val="00BB0BA4"/>
    <w:rsid w:val="00BB15A1"/>
    <w:rsid w:val="00BB3415"/>
    <w:rsid w:val="00BB48C6"/>
    <w:rsid w:val="00BB4C4C"/>
    <w:rsid w:val="00BB671A"/>
    <w:rsid w:val="00BC0634"/>
    <w:rsid w:val="00BC06AE"/>
    <w:rsid w:val="00BC2645"/>
    <w:rsid w:val="00BC36C5"/>
    <w:rsid w:val="00BC4198"/>
    <w:rsid w:val="00BC41B6"/>
    <w:rsid w:val="00BC4F8C"/>
    <w:rsid w:val="00BC52E3"/>
    <w:rsid w:val="00BC593F"/>
    <w:rsid w:val="00BC5DF4"/>
    <w:rsid w:val="00BC6E0C"/>
    <w:rsid w:val="00BC79F7"/>
    <w:rsid w:val="00BD1BC7"/>
    <w:rsid w:val="00BD1D34"/>
    <w:rsid w:val="00BD48DC"/>
    <w:rsid w:val="00BD50E9"/>
    <w:rsid w:val="00BD5A0C"/>
    <w:rsid w:val="00BE02C2"/>
    <w:rsid w:val="00BE2045"/>
    <w:rsid w:val="00BE23DE"/>
    <w:rsid w:val="00BE242E"/>
    <w:rsid w:val="00BE334D"/>
    <w:rsid w:val="00BE3A50"/>
    <w:rsid w:val="00BE4321"/>
    <w:rsid w:val="00BE4B23"/>
    <w:rsid w:val="00BE4EAC"/>
    <w:rsid w:val="00BE5497"/>
    <w:rsid w:val="00BE6F07"/>
    <w:rsid w:val="00BE7B29"/>
    <w:rsid w:val="00BE7C9C"/>
    <w:rsid w:val="00BF17C7"/>
    <w:rsid w:val="00BF55E8"/>
    <w:rsid w:val="00BF5C28"/>
    <w:rsid w:val="00BF5DA1"/>
    <w:rsid w:val="00BF63E9"/>
    <w:rsid w:val="00BF741C"/>
    <w:rsid w:val="00BF7A9B"/>
    <w:rsid w:val="00BF7DBB"/>
    <w:rsid w:val="00C00D98"/>
    <w:rsid w:val="00C00E56"/>
    <w:rsid w:val="00C01DB6"/>
    <w:rsid w:val="00C028DF"/>
    <w:rsid w:val="00C041A1"/>
    <w:rsid w:val="00C05142"/>
    <w:rsid w:val="00C064FB"/>
    <w:rsid w:val="00C06BE9"/>
    <w:rsid w:val="00C06D56"/>
    <w:rsid w:val="00C07C4B"/>
    <w:rsid w:val="00C13749"/>
    <w:rsid w:val="00C138F9"/>
    <w:rsid w:val="00C15877"/>
    <w:rsid w:val="00C21D21"/>
    <w:rsid w:val="00C22333"/>
    <w:rsid w:val="00C23476"/>
    <w:rsid w:val="00C253FF"/>
    <w:rsid w:val="00C25745"/>
    <w:rsid w:val="00C25C63"/>
    <w:rsid w:val="00C26553"/>
    <w:rsid w:val="00C2717F"/>
    <w:rsid w:val="00C27C99"/>
    <w:rsid w:val="00C31FE8"/>
    <w:rsid w:val="00C3344E"/>
    <w:rsid w:val="00C33A22"/>
    <w:rsid w:val="00C33FE7"/>
    <w:rsid w:val="00C342FF"/>
    <w:rsid w:val="00C3474F"/>
    <w:rsid w:val="00C34E6F"/>
    <w:rsid w:val="00C34F89"/>
    <w:rsid w:val="00C36746"/>
    <w:rsid w:val="00C36A37"/>
    <w:rsid w:val="00C37256"/>
    <w:rsid w:val="00C375A6"/>
    <w:rsid w:val="00C3794F"/>
    <w:rsid w:val="00C37F37"/>
    <w:rsid w:val="00C40568"/>
    <w:rsid w:val="00C405D8"/>
    <w:rsid w:val="00C4461B"/>
    <w:rsid w:val="00C44FC1"/>
    <w:rsid w:val="00C4706D"/>
    <w:rsid w:val="00C47112"/>
    <w:rsid w:val="00C50731"/>
    <w:rsid w:val="00C52922"/>
    <w:rsid w:val="00C52A4C"/>
    <w:rsid w:val="00C5323F"/>
    <w:rsid w:val="00C53E42"/>
    <w:rsid w:val="00C5480B"/>
    <w:rsid w:val="00C5489E"/>
    <w:rsid w:val="00C56779"/>
    <w:rsid w:val="00C5745C"/>
    <w:rsid w:val="00C60586"/>
    <w:rsid w:val="00C61A18"/>
    <w:rsid w:val="00C62293"/>
    <w:rsid w:val="00C62F30"/>
    <w:rsid w:val="00C630E7"/>
    <w:rsid w:val="00C63823"/>
    <w:rsid w:val="00C6386E"/>
    <w:rsid w:val="00C64D75"/>
    <w:rsid w:val="00C66738"/>
    <w:rsid w:val="00C678B8"/>
    <w:rsid w:val="00C7069F"/>
    <w:rsid w:val="00C715D1"/>
    <w:rsid w:val="00C71B4A"/>
    <w:rsid w:val="00C7282D"/>
    <w:rsid w:val="00C7292A"/>
    <w:rsid w:val="00C747F5"/>
    <w:rsid w:val="00C749A1"/>
    <w:rsid w:val="00C76E46"/>
    <w:rsid w:val="00C80743"/>
    <w:rsid w:val="00C81CC0"/>
    <w:rsid w:val="00C81CDA"/>
    <w:rsid w:val="00C820E0"/>
    <w:rsid w:val="00C83BC7"/>
    <w:rsid w:val="00C8449F"/>
    <w:rsid w:val="00C84C09"/>
    <w:rsid w:val="00C86B2D"/>
    <w:rsid w:val="00C86D36"/>
    <w:rsid w:val="00C87A84"/>
    <w:rsid w:val="00C914F0"/>
    <w:rsid w:val="00C9314C"/>
    <w:rsid w:val="00C942AA"/>
    <w:rsid w:val="00C95464"/>
    <w:rsid w:val="00C9574B"/>
    <w:rsid w:val="00C9628E"/>
    <w:rsid w:val="00C966FE"/>
    <w:rsid w:val="00C96DEB"/>
    <w:rsid w:val="00CA0955"/>
    <w:rsid w:val="00CA0F13"/>
    <w:rsid w:val="00CA2117"/>
    <w:rsid w:val="00CA21B8"/>
    <w:rsid w:val="00CA3831"/>
    <w:rsid w:val="00CA46B3"/>
    <w:rsid w:val="00CA5C0F"/>
    <w:rsid w:val="00CA6264"/>
    <w:rsid w:val="00CA773D"/>
    <w:rsid w:val="00CB02AA"/>
    <w:rsid w:val="00CB0B03"/>
    <w:rsid w:val="00CB197A"/>
    <w:rsid w:val="00CB37E1"/>
    <w:rsid w:val="00CB4244"/>
    <w:rsid w:val="00CB4F1B"/>
    <w:rsid w:val="00CB5ABE"/>
    <w:rsid w:val="00CB5E40"/>
    <w:rsid w:val="00CC0712"/>
    <w:rsid w:val="00CC10F0"/>
    <w:rsid w:val="00CC28F5"/>
    <w:rsid w:val="00CC2E02"/>
    <w:rsid w:val="00CC3D4B"/>
    <w:rsid w:val="00CC46D5"/>
    <w:rsid w:val="00CC60A1"/>
    <w:rsid w:val="00CC6DE1"/>
    <w:rsid w:val="00CD09F3"/>
    <w:rsid w:val="00CD0DC7"/>
    <w:rsid w:val="00CD171A"/>
    <w:rsid w:val="00CD39F8"/>
    <w:rsid w:val="00CD6CDC"/>
    <w:rsid w:val="00CD79EC"/>
    <w:rsid w:val="00CE06D9"/>
    <w:rsid w:val="00CE14D3"/>
    <w:rsid w:val="00CE1902"/>
    <w:rsid w:val="00CE1AA0"/>
    <w:rsid w:val="00CE41BA"/>
    <w:rsid w:val="00CE429C"/>
    <w:rsid w:val="00CE592A"/>
    <w:rsid w:val="00CE7ABD"/>
    <w:rsid w:val="00CF0937"/>
    <w:rsid w:val="00CF4F91"/>
    <w:rsid w:val="00CF7BF5"/>
    <w:rsid w:val="00D028FC"/>
    <w:rsid w:val="00D03682"/>
    <w:rsid w:val="00D0575A"/>
    <w:rsid w:val="00D07B66"/>
    <w:rsid w:val="00D10561"/>
    <w:rsid w:val="00D10842"/>
    <w:rsid w:val="00D10FF3"/>
    <w:rsid w:val="00D12384"/>
    <w:rsid w:val="00D123B5"/>
    <w:rsid w:val="00D145FB"/>
    <w:rsid w:val="00D20FEF"/>
    <w:rsid w:val="00D219A3"/>
    <w:rsid w:val="00D21A24"/>
    <w:rsid w:val="00D21EDB"/>
    <w:rsid w:val="00D23901"/>
    <w:rsid w:val="00D23B3E"/>
    <w:rsid w:val="00D24C9B"/>
    <w:rsid w:val="00D260E0"/>
    <w:rsid w:val="00D2637D"/>
    <w:rsid w:val="00D27069"/>
    <w:rsid w:val="00D27317"/>
    <w:rsid w:val="00D27774"/>
    <w:rsid w:val="00D302F4"/>
    <w:rsid w:val="00D314BA"/>
    <w:rsid w:val="00D3313C"/>
    <w:rsid w:val="00D337FD"/>
    <w:rsid w:val="00D34B77"/>
    <w:rsid w:val="00D357EB"/>
    <w:rsid w:val="00D36334"/>
    <w:rsid w:val="00D36475"/>
    <w:rsid w:val="00D364D3"/>
    <w:rsid w:val="00D37429"/>
    <w:rsid w:val="00D40196"/>
    <w:rsid w:val="00D40DA8"/>
    <w:rsid w:val="00D4118D"/>
    <w:rsid w:val="00D41A64"/>
    <w:rsid w:val="00D41A96"/>
    <w:rsid w:val="00D41D5D"/>
    <w:rsid w:val="00D4265E"/>
    <w:rsid w:val="00D42E80"/>
    <w:rsid w:val="00D43F2A"/>
    <w:rsid w:val="00D4441B"/>
    <w:rsid w:val="00D44507"/>
    <w:rsid w:val="00D4475B"/>
    <w:rsid w:val="00D44AC4"/>
    <w:rsid w:val="00D4561E"/>
    <w:rsid w:val="00D463FD"/>
    <w:rsid w:val="00D47C2F"/>
    <w:rsid w:val="00D52FD6"/>
    <w:rsid w:val="00D53FB3"/>
    <w:rsid w:val="00D54EA6"/>
    <w:rsid w:val="00D56104"/>
    <w:rsid w:val="00D5695C"/>
    <w:rsid w:val="00D57CCF"/>
    <w:rsid w:val="00D60762"/>
    <w:rsid w:val="00D62AAD"/>
    <w:rsid w:val="00D62C47"/>
    <w:rsid w:val="00D642DC"/>
    <w:rsid w:val="00D65E23"/>
    <w:rsid w:val="00D705C9"/>
    <w:rsid w:val="00D70FF8"/>
    <w:rsid w:val="00D716E3"/>
    <w:rsid w:val="00D75B0C"/>
    <w:rsid w:val="00D77085"/>
    <w:rsid w:val="00D84260"/>
    <w:rsid w:val="00D84B3C"/>
    <w:rsid w:val="00D858A4"/>
    <w:rsid w:val="00D85AA9"/>
    <w:rsid w:val="00D865BF"/>
    <w:rsid w:val="00D86BE4"/>
    <w:rsid w:val="00D9022C"/>
    <w:rsid w:val="00D916C8"/>
    <w:rsid w:val="00D91A2F"/>
    <w:rsid w:val="00D91C46"/>
    <w:rsid w:val="00D9576E"/>
    <w:rsid w:val="00D96404"/>
    <w:rsid w:val="00D97193"/>
    <w:rsid w:val="00DA1B52"/>
    <w:rsid w:val="00DA2871"/>
    <w:rsid w:val="00DA2A24"/>
    <w:rsid w:val="00DA2D1F"/>
    <w:rsid w:val="00DA2DE6"/>
    <w:rsid w:val="00DA3083"/>
    <w:rsid w:val="00DA3B09"/>
    <w:rsid w:val="00DA53E6"/>
    <w:rsid w:val="00DA5671"/>
    <w:rsid w:val="00DA64AB"/>
    <w:rsid w:val="00DA6B56"/>
    <w:rsid w:val="00DA78AE"/>
    <w:rsid w:val="00DA7A0A"/>
    <w:rsid w:val="00DA7EF1"/>
    <w:rsid w:val="00DB105B"/>
    <w:rsid w:val="00DB192B"/>
    <w:rsid w:val="00DB33D9"/>
    <w:rsid w:val="00DB38D9"/>
    <w:rsid w:val="00DB61A1"/>
    <w:rsid w:val="00DB6EDF"/>
    <w:rsid w:val="00DB78C4"/>
    <w:rsid w:val="00DC1D24"/>
    <w:rsid w:val="00DC6483"/>
    <w:rsid w:val="00DC784D"/>
    <w:rsid w:val="00DD1FCE"/>
    <w:rsid w:val="00DD2CA0"/>
    <w:rsid w:val="00DD55BD"/>
    <w:rsid w:val="00DD59B6"/>
    <w:rsid w:val="00DD6D36"/>
    <w:rsid w:val="00DE06C6"/>
    <w:rsid w:val="00DE295B"/>
    <w:rsid w:val="00DE3DE9"/>
    <w:rsid w:val="00DE4449"/>
    <w:rsid w:val="00DE500E"/>
    <w:rsid w:val="00DE57D6"/>
    <w:rsid w:val="00DF0A5F"/>
    <w:rsid w:val="00DF14BC"/>
    <w:rsid w:val="00DF1A7D"/>
    <w:rsid w:val="00DF1BCD"/>
    <w:rsid w:val="00DF1CEA"/>
    <w:rsid w:val="00DF4C57"/>
    <w:rsid w:val="00DF51F3"/>
    <w:rsid w:val="00DF7E7D"/>
    <w:rsid w:val="00E00039"/>
    <w:rsid w:val="00E0005A"/>
    <w:rsid w:val="00E0069F"/>
    <w:rsid w:val="00E013B7"/>
    <w:rsid w:val="00E015B7"/>
    <w:rsid w:val="00E016FB"/>
    <w:rsid w:val="00E03484"/>
    <w:rsid w:val="00E03EAD"/>
    <w:rsid w:val="00E11BD7"/>
    <w:rsid w:val="00E124C9"/>
    <w:rsid w:val="00E1297F"/>
    <w:rsid w:val="00E1502B"/>
    <w:rsid w:val="00E15266"/>
    <w:rsid w:val="00E154D9"/>
    <w:rsid w:val="00E158E2"/>
    <w:rsid w:val="00E15EDD"/>
    <w:rsid w:val="00E16CF1"/>
    <w:rsid w:val="00E16F57"/>
    <w:rsid w:val="00E171F7"/>
    <w:rsid w:val="00E174F9"/>
    <w:rsid w:val="00E20E0C"/>
    <w:rsid w:val="00E2190E"/>
    <w:rsid w:val="00E21ED1"/>
    <w:rsid w:val="00E22093"/>
    <w:rsid w:val="00E24A6B"/>
    <w:rsid w:val="00E26673"/>
    <w:rsid w:val="00E30EBA"/>
    <w:rsid w:val="00E31837"/>
    <w:rsid w:val="00E31932"/>
    <w:rsid w:val="00E33684"/>
    <w:rsid w:val="00E353B1"/>
    <w:rsid w:val="00E358F5"/>
    <w:rsid w:val="00E35EDD"/>
    <w:rsid w:val="00E37450"/>
    <w:rsid w:val="00E37CBC"/>
    <w:rsid w:val="00E43660"/>
    <w:rsid w:val="00E4448E"/>
    <w:rsid w:val="00E44A6B"/>
    <w:rsid w:val="00E4567A"/>
    <w:rsid w:val="00E46D19"/>
    <w:rsid w:val="00E46DE1"/>
    <w:rsid w:val="00E47330"/>
    <w:rsid w:val="00E47C63"/>
    <w:rsid w:val="00E50B8D"/>
    <w:rsid w:val="00E51023"/>
    <w:rsid w:val="00E51B2F"/>
    <w:rsid w:val="00E51D35"/>
    <w:rsid w:val="00E52086"/>
    <w:rsid w:val="00E5268B"/>
    <w:rsid w:val="00E5357A"/>
    <w:rsid w:val="00E54759"/>
    <w:rsid w:val="00E54CD5"/>
    <w:rsid w:val="00E55D88"/>
    <w:rsid w:val="00E56863"/>
    <w:rsid w:val="00E57452"/>
    <w:rsid w:val="00E6259C"/>
    <w:rsid w:val="00E6630F"/>
    <w:rsid w:val="00E66908"/>
    <w:rsid w:val="00E703B3"/>
    <w:rsid w:val="00E70F6D"/>
    <w:rsid w:val="00E7162E"/>
    <w:rsid w:val="00E72FEA"/>
    <w:rsid w:val="00E73EE2"/>
    <w:rsid w:val="00E7400A"/>
    <w:rsid w:val="00E75352"/>
    <w:rsid w:val="00E758F4"/>
    <w:rsid w:val="00E766F0"/>
    <w:rsid w:val="00E80CE2"/>
    <w:rsid w:val="00E80E27"/>
    <w:rsid w:val="00E821F3"/>
    <w:rsid w:val="00E84297"/>
    <w:rsid w:val="00E84D44"/>
    <w:rsid w:val="00E90667"/>
    <w:rsid w:val="00E92B34"/>
    <w:rsid w:val="00E92F56"/>
    <w:rsid w:val="00E93CBF"/>
    <w:rsid w:val="00E93DDA"/>
    <w:rsid w:val="00E94A7C"/>
    <w:rsid w:val="00E95AE3"/>
    <w:rsid w:val="00E9608A"/>
    <w:rsid w:val="00E9611B"/>
    <w:rsid w:val="00E974BD"/>
    <w:rsid w:val="00EA0E8C"/>
    <w:rsid w:val="00EA2317"/>
    <w:rsid w:val="00EA2FED"/>
    <w:rsid w:val="00EA3D35"/>
    <w:rsid w:val="00EA4165"/>
    <w:rsid w:val="00EA48A2"/>
    <w:rsid w:val="00EA547D"/>
    <w:rsid w:val="00EB0B05"/>
    <w:rsid w:val="00EB26F7"/>
    <w:rsid w:val="00EB3B1B"/>
    <w:rsid w:val="00EB4592"/>
    <w:rsid w:val="00EB4AAE"/>
    <w:rsid w:val="00EB4D21"/>
    <w:rsid w:val="00EB5326"/>
    <w:rsid w:val="00EB61D7"/>
    <w:rsid w:val="00EB6431"/>
    <w:rsid w:val="00EB6D92"/>
    <w:rsid w:val="00EB75CC"/>
    <w:rsid w:val="00EB7618"/>
    <w:rsid w:val="00EC154C"/>
    <w:rsid w:val="00EC3031"/>
    <w:rsid w:val="00EC3524"/>
    <w:rsid w:val="00EC4D3D"/>
    <w:rsid w:val="00EC5885"/>
    <w:rsid w:val="00EC75F2"/>
    <w:rsid w:val="00ED07C2"/>
    <w:rsid w:val="00ED13F2"/>
    <w:rsid w:val="00ED291A"/>
    <w:rsid w:val="00ED2FBE"/>
    <w:rsid w:val="00ED52BA"/>
    <w:rsid w:val="00ED685D"/>
    <w:rsid w:val="00ED746B"/>
    <w:rsid w:val="00ED7DB6"/>
    <w:rsid w:val="00EE00FF"/>
    <w:rsid w:val="00EE0324"/>
    <w:rsid w:val="00EE1216"/>
    <w:rsid w:val="00EE1F2C"/>
    <w:rsid w:val="00EE2E16"/>
    <w:rsid w:val="00EE3317"/>
    <w:rsid w:val="00EE36DE"/>
    <w:rsid w:val="00EE44D5"/>
    <w:rsid w:val="00EE4B8D"/>
    <w:rsid w:val="00EE673F"/>
    <w:rsid w:val="00EE7112"/>
    <w:rsid w:val="00EF0518"/>
    <w:rsid w:val="00EF11D5"/>
    <w:rsid w:val="00EF1B7B"/>
    <w:rsid w:val="00EF224A"/>
    <w:rsid w:val="00EF3490"/>
    <w:rsid w:val="00EF37B2"/>
    <w:rsid w:val="00EF53A7"/>
    <w:rsid w:val="00EF53A8"/>
    <w:rsid w:val="00EF5655"/>
    <w:rsid w:val="00EF6825"/>
    <w:rsid w:val="00EF779F"/>
    <w:rsid w:val="00F00297"/>
    <w:rsid w:val="00F0053A"/>
    <w:rsid w:val="00F006CB"/>
    <w:rsid w:val="00F009D8"/>
    <w:rsid w:val="00F00EA0"/>
    <w:rsid w:val="00F04559"/>
    <w:rsid w:val="00F07B5A"/>
    <w:rsid w:val="00F11044"/>
    <w:rsid w:val="00F113AC"/>
    <w:rsid w:val="00F1171D"/>
    <w:rsid w:val="00F117B9"/>
    <w:rsid w:val="00F11819"/>
    <w:rsid w:val="00F11C0D"/>
    <w:rsid w:val="00F11C75"/>
    <w:rsid w:val="00F11FB0"/>
    <w:rsid w:val="00F1204E"/>
    <w:rsid w:val="00F138D7"/>
    <w:rsid w:val="00F177D8"/>
    <w:rsid w:val="00F17B8C"/>
    <w:rsid w:val="00F215B5"/>
    <w:rsid w:val="00F230C4"/>
    <w:rsid w:val="00F23E09"/>
    <w:rsid w:val="00F249C5"/>
    <w:rsid w:val="00F252E7"/>
    <w:rsid w:val="00F25729"/>
    <w:rsid w:val="00F2725A"/>
    <w:rsid w:val="00F2745A"/>
    <w:rsid w:val="00F275C2"/>
    <w:rsid w:val="00F27B40"/>
    <w:rsid w:val="00F30922"/>
    <w:rsid w:val="00F3348B"/>
    <w:rsid w:val="00F3446D"/>
    <w:rsid w:val="00F3471B"/>
    <w:rsid w:val="00F35A15"/>
    <w:rsid w:val="00F3624D"/>
    <w:rsid w:val="00F37CF9"/>
    <w:rsid w:val="00F404AB"/>
    <w:rsid w:val="00F405D7"/>
    <w:rsid w:val="00F42973"/>
    <w:rsid w:val="00F4332A"/>
    <w:rsid w:val="00F4335A"/>
    <w:rsid w:val="00F43533"/>
    <w:rsid w:val="00F44EA7"/>
    <w:rsid w:val="00F45284"/>
    <w:rsid w:val="00F47497"/>
    <w:rsid w:val="00F509BD"/>
    <w:rsid w:val="00F51E7D"/>
    <w:rsid w:val="00F52916"/>
    <w:rsid w:val="00F53239"/>
    <w:rsid w:val="00F546C4"/>
    <w:rsid w:val="00F54E6D"/>
    <w:rsid w:val="00F54F77"/>
    <w:rsid w:val="00F55824"/>
    <w:rsid w:val="00F55D1D"/>
    <w:rsid w:val="00F56E3D"/>
    <w:rsid w:val="00F6056E"/>
    <w:rsid w:val="00F6107F"/>
    <w:rsid w:val="00F61396"/>
    <w:rsid w:val="00F618BE"/>
    <w:rsid w:val="00F63D25"/>
    <w:rsid w:val="00F64A6C"/>
    <w:rsid w:val="00F65233"/>
    <w:rsid w:val="00F6738C"/>
    <w:rsid w:val="00F7039E"/>
    <w:rsid w:val="00F734D1"/>
    <w:rsid w:val="00F739DE"/>
    <w:rsid w:val="00F7756B"/>
    <w:rsid w:val="00F77E14"/>
    <w:rsid w:val="00F80D69"/>
    <w:rsid w:val="00F80DF1"/>
    <w:rsid w:val="00F81937"/>
    <w:rsid w:val="00F8677C"/>
    <w:rsid w:val="00F87500"/>
    <w:rsid w:val="00F90BBB"/>
    <w:rsid w:val="00F95E10"/>
    <w:rsid w:val="00F97C32"/>
    <w:rsid w:val="00FA0580"/>
    <w:rsid w:val="00FA0F37"/>
    <w:rsid w:val="00FA2E96"/>
    <w:rsid w:val="00FA3860"/>
    <w:rsid w:val="00FA44AC"/>
    <w:rsid w:val="00FA4EA7"/>
    <w:rsid w:val="00FA65D5"/>
    <w:rsid w:val="00FA6889"/>
    <w:rsid w:val="00FA6A92"/>
    <w:rsid w:val="00FA7E18"/>
    <w:rsid w:val="00FB09F3"/>
    <w:rsid w:val="00FB1BAF"/>
    <w:rsid w:val="00FB1CB8"/>
    <w:rsid w:val="00FB2B0D"/>
    <w:rsid w:val="00FB2E3B"/>
    <w:rsid w:val="00FB2EC1"/>
    <w:rsid w:val="00FB3649"/>
    <w:rsid w:val="00FB39BD"/>
    <w:rsid w:val="00FB4C1E"/>
    <w:rsid w:val="00FB504B"/>
    <w:rsid w:val="00FB7876"/>
    <w:rsid w:val="00FB7F61"/>
    <w:rsid w:val="00FC0226"/>
    <w:rsid w:val="00FC0361"/>
    <w:rsid w:val="00FC3682"/>
    <w:rsid w:val="00FC3916"/>
    <w:rsid w:val="00FC3E80"/>
    <w:rsid w:val="00FC632D"/>
    <w:rsid w:val="00FC6C4D"/>
    <w:rsid w:val="00FC7D67"/>
    <w:rsid w:val="00FD05AD"/>
    <w:rsid w:val="00FD0B6F"/>
    <w:rsid w:val="00FD0DC8"/>
    <w:rsid w:val="00FD10E4"/>
    <w:rsid w:val="00FD1E09"/>
    <w:rsid w:val="00FD29AC"/>
    <w:rsid w:val="00FD3457"/>
    <w:rsid w:val="00FD4156"/>
    <w:rsid w:val="00FD5109"/>
    <w:rsid w:val="00FD6BEF"/>
    <w:rsid w:val="00FD7CEF"/>
    <w:rsid w:val="00FE12B2"/>
    <w:rsid w:val="00FE3242"/>
    <w:rsid w:val="00FE399E"/>
    <w:rsid w:val="00FE4F59"/>
    <w:rsid w:val="00FE59CE"/>
    <w:rsid w:val="00FE7BD7"/>
    <w:rsid w:val="00FF0438"/>
    <w:rsid w:val="00FF29CB"/>
    <w:rsid w:val="00FF2D81"/>
    <w:rsid w:val="00FF3801"/>
    <w:rsid w:val="00FF4575"/>
    <w:rsid w:val="00FF573B"/>
    <w:rsid w:val="00FF5D9E"/>
    <w:rsid w:val="00FF68C3"/>
    <w:rsid w:val="00FF7FF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15"/>
    <w:rPr>
      <w:color w:val="000000"/>
      <w:sz w:val="24"/>
    </w:rPr>
  </w:style>
  <w:style w:type="paragraph" w:styleId="Heading1">
    <w:name w:val="heading 1"/>
    <w:basedOn w:val="Normal"/>
    <w:next w:val="Normal"/>
    <w:qFormat/>
    <w:rsid w:val="00034C15"/>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rPr>
  </w:style>
  <w:style w:type="paragraph" w:styleId="Heading2">
    <w:name w:val="heading 2"/>
    <w:basedOn w:val="Normal"/>
    <w:next w:val="Normal"/>
    <w:qFormat/>
    <w:rsid w:val="00034C15"/>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outlineLvl w:val="1"/>
    </w:pPr>
    <w:rPr>
      <w:b/>
      <w:color w:val="auto"/>
    </w:rPr>
  </w:style>
  <w:style w:type="paragraph" w:styleId="Heading3">
    <w:name w:val="heading 3"/>
    <w:basedOn w:val="Normal"/>
    <w:next w:val="Normal"/>
    <w:qFormat/>
    <w:rsid w:val="00034C15"/>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outlineLvl w:val="2"/>
    </w:pPr>
    <w:rPr>
      <w:color w:val="auto"/>
    </w:rPr>
  </w:style>
  <w:style w:type="paragraph" w:styleId="Heading4">
    <w:name w:val="heading 4"/>
    <w:basedOn w:val="Normal"/>
    <w:next w:val="Normal"/>
    <w:qFormat/>
    <w:rsid w:val="00034C15"/>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outlineLvl w:val="3"/>
    </w:pPr>
    <w:rPr>
      <w:color w:val="auto"/>
      <w:sz w:val="28"/>
    </w:rPr>
  </w:style>
  <w:style w:type="paragraph" w:styleId="Heading5">
    <w:name w:val="heading 5"/>
    <w:basedOn w:val="Normal"/>
    <w:next w:val="Normal"/>
    <w:qFormat/>
    <w:rsid w:val="00034C15"/>
    <w:pPr>
      <w:keepNext/>
      <w:jc w:val="center"/>
      <w:outlineLvl w:val="4"/>
    </w:pPr>
    <w:rPr>
      <w:b/>
      <w:bCs/>
    </w:rPr>
  </w:style>
  <w:style w:type="paragraph" w:styleId="Heading6">
    <w:name w:val="heading 6"/>
    <w:basedOn w:val="Normal"/>
    <w:next w:val="Normal"/>
    <w:qFormat/>
    <w:rsid w:val="00034C15"/>
    <w:pPr>
      <w:keepNext/>
      <w:outlineLvl w:val="5"/>
    </w:pPr>
    <w:rPr>
      <w:b/>
      <w:bCs/>
    </w:rPr>
  </w:style>
  <w:style w:type="paragraph" w:styleId="Heading7">
    <w:name w:val="heading 7"/>
    <w:basedOn w:val="Normal"/>
    <w:next w:val="Normal"/>
    <w:qFormat/>
    <w:rsid w:val="00034C15"/>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4C15"/>
    <w:pPr>
      <w:jc w:val="both"/>
    </w:pPr>
  </w:style>
  <w:style w:type="paragraph" w:customStyle="1" w:styleId="BodyText21">
    <w:name w:val="Body Text 21"/>
    <w:basedOn w:val="Normal"/>
    <w:rsid w:val="00034C1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auto"/>
    </w:rPr>
  </w:style>
  <w:style w:type="paragraph" w:styleId="FootnoteText">
    <w:name w:val="footnote text"/>
    <w:basedOn w:val="Normal"/>
    <w:semiHidden/>
    <w:rsid w:val="00034C15"/>
    <w:rPr>
      <w:sz w:val="20"/>
    </w:rPr>
  </w:style>
  <w:style w:type="character" w:styleId="FootnoteReference">
    <w:name w:val="footnote reference"/>
    <w:semiHidden/>
    <w:rsid w:val="00034C15"/>
    <w:rPr>
      <w:vertAlign w:val="superscript"/>
    </w:rPr>
  </w:style>
  <w:style w:type="paragraph" w:customStyle="1" w:styleId="BodyText31">
    <w:name w:val="Body Text 31"/>
    <w:basedOn w:val="Normal"/>
    <w:rsid w:val="00034C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pPr>
    <w:rPr>
      <w:b/>
      <w:color w:val="auto"/>
      <w:sz w:val="20"/>
    </w:rPr>
  </w:style>
  <w:style w:type="paragraph" w:styleId="BodyTextIndent">
    <w:name w:val="Body Text Indent"/>
    <w:basedOn w:val="Normal"/>
    <w:rsid w:val="00034C1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pPr>
  </w:style>
  <w:style w:type="paragraph" w:styleId="Footer">
    <w:name w:val="footer"/>
    <w:basedOn w:val="Normal"/>
    <w:rsid w:val="00034C15"/>
    <w:pPr>
      <w:tabs>
        <w:tab w:val="center" w:pos="4536"/>
        <w:tab w:val="right" w:pos="9072"/>
      </w:tabs>
    </w:pPr>
  </w:style>
  <w:style w:type="character" w:styleId="PageNumber">
    <w:name w:val="page number"/>
    <w:basedOn w:val="DefaultParagraphFont"/>
    <w:rsid w:val="00034C15"/>
  </w:style>
  <w:style w:type="paragraph" w:styleId="ListBullet2">
    <w:name w:val="List Bullet 2"/>
    <w:basedOn w:val="Normal"/>
    <w:autoRedefine/>
    <w:rsid w:val="00670998"/>
    <w:pPr>
      <w:ind w:left="426" w:firstLine="141"/>
    </w:pPr>
    <w:rPr>
      <w:u w:val="single"/>
    </w:rPr>
  </w:style>
  <w:style w:type="paragraph" w:styleId="Caption">
    <w:name w:val="caption"/>
    <w:basedOn w:val="Normal"/>
    <w:next w:val="Normal"/>
    <w:qFormat/>
    <w:rsid w:val="0067301E"/>
    <w:pPr>
      <w:spacing w:before="120" w:after="120"/>
    </w:pPr>
    <w:rPr>
      <w:b/>
      <w:bCs/>
      <w:sz w:val="20"/>
    </w:rPr>
  </w:style>
  <w:style w:type="paragraph" w:styleId="BalloonText">
    <w:name w:val="Balloon Text"/>
    <w:basedOn w:val="Normal"/>
    <w:semiHidden/>
    <w:rsid w:val="00A67F05"/>
    <w:rPr>
      <w:rFonts w:ascii="Tahoma" w:hAnsi="Tahoma" w:cs="Tahoma"/>
      <w:sz w:val="16"/>
      <w:szCs w:val="16"/>
    </w:rPr>
  </w:style>
  <w:style w:type="paragraph" w:styleId="DocumentMap">
    <w:name w:val="Document Map"/>
    <w:basedOn w:val="Normal"/>
    <w:semiHidden/>
    <w:rsid w:val="001C20F5"/>
    <w:pPr>
      <w:shd w:val="clear" w:color="auto" w:fill="000080"/>
    </w:pPr>
    <w:rPr>
      <w:rFonts w:ascii="Tahoma" w:hAnsi="Tahoma" w:cs="Tahoma"/>
    </w:rPr>
  </w:style>
  <w:style w:type="paragraph" w:styleId="Header">
    <w:name w:val="header"/>
    <w:basedOn w:val="Normal"/>
    <w:link w:val="HeaderChar"/>
    <w:rsid w:val="00772D6F"/>
    <w:pPr>
      <w:tabs>
        <w:tab w:val="center" w:pos="4536"/>
        <w:tab w:val="right" w:pos="9072"/>
      </w:tabs>
    </w:pPr>
  </w:style>
  <w:style w:type="character" w:customStyle="1" w:styleId="HeaderChar">
    <w:name w:val="Header Char"/>
    <w:link w:val="Header"/>
    <w:rsid w:val="00772D6F"/>
    <w:rPr>
      <w:color w:val="000000"/>
      <w:sz w:val="24"/>
    </w:rPr>
  </w:style>
  <w:style w:type="character" w:customStyle="1" w:styleId="BodyTextChar">
    <w:name w:val="Body Text Char"/>
    <w:basedOn w:val="DefaultParagraphFont"/>
    <w:link w:val="BodyText"/>
    <w:rsid w:val="00CD171A"/>
    <w:rPr>
      <w:color w:val="000000"/>
      <w:sz w:val="24"/>
    </w:rPr>
  </w:style>
</w:styles>
</file>

<file path=word/webSettings.xml><?xml version="1.0" encoding="utf-8"?>
<w:webSettings xmlns:r="http://schemas.openxmlformats.org/officeDocument/2006/relationships" xmlns:w="http://schemas.openxmlformats.org/wordprocessingml/2006/main">
  <w:divs>
    <w:div w:id="21831253">
      <w:bodyDiv w:val="1"/>
      <w:marLeft w:val="0"/>
      <w:marRight w:val="0"/>
      <w:marTop w:val="0"/>
      <w:marBottom w:val="0"/>
      <w:divBdr>
        <w:top w:val="none" w:sz="0" w:space="0" w:color="auto"/>
        <w:left w:val="none" w:sz="0" w:space="0" w:color="auto"/>
        <w:bottom w:val="none" w:sz="0" w:space="0" w:color="auto"/>
        <w:right w:val="none" w:sz="0" w:space="0" w:color="auto"/>
      </w:divBdr>
    </w:div>
    <w:div w:id="70087213">
      <w:bodyDiv w:val="1"/>
      <w:marLeft w:val="0"/>
      <w:marRight w:val="0"/>
      <w:marTop w:val="0"/>
      <w:marBottom w:val="0"/>
      <w:divBdr>
        <w:top w:val="none" w:sz="0" w:space="0" w:color="auto"/>
        <w:left w:val="none" w:sz="0" w:space="0" w:color="auto"/>
        <w:bottom w:val="none" w:sz="0" w:space="0" w:color="auto"/>
        <w:right w:val="none" w:sz="0" w:space="0" w:color="auto"/>
      </w:divBdr>
    </w:div>
    <w:div w:id="90206876">
      <w:bodyDiv w:val="1"/>
      <w:marLeft w:val="0"/>
      <w:marRight w:val="0"/>
      <w:marTop w:val="0"/>
      <w:marBottom w:val="0"/>
      <w:divBdr>
        <w:top w:val="none" w:sz="0" w:space="0" w:color="auto"/>
        <w:left w:val="none" w:sz="0" w:space="0" w:color="auto"/>
        <w:bottom w:val="none" w:sz="0" w:space="0" w:color="auto"/>
        <w:right w:val="none" w:sz="0" w:space="0" w:color="auto"/>
      </w:divBdr>
    </w:div>
    <w:div w:id="100615248">
      <w:bodyDiv w:val="1"/>
      <w:marLeft w:val="0"/>
      <w:marRight w:val="0"/>
      <w:marTop w:val="0"/>
      <w:marBottom w:val="0"/>
      <w:divBdr>
        <w:top w:val="none" w:sz="0" w:space="0" w:color="auto"/>
        <w:left w:val="none" w:sz="0" w:space="0" w:color="auto"/>
        <w:bottom w:val="none" w:sz="0" w:space="0" w:color="auto"/>
        <w:right w:val="none" w:sz="0" w:space="0" w:color="auto"/>
      </w:divBdr>
    </w:div>
    <w:div w:id="137303912">
      <w:bodyDiv w:val="1"/>
      <w:marLeft w:val="0"/>
      <w:marRight w:val="0"/>
      <w:marTop w:val="0"/>
      <w:marBottom w:val="0"/>
      <w:divBdr>
        <w:top w:val="none" w:sz="0" w:space="0" w:color="auto"/>
        <w:left w:val="none" w:sz="0" w:space="0" w:color="auto"/>
        <w:bottom w:val="none" w:sz="0" w:space="0" w:color="auto"/>
        <w:right w:val="none" w:sz="0" w:space="0" w:color="auto"/>
      </w:divBdr>
    </w:div>
    <w:div w:id="171649993">
      <w:bodyDiv w:val="1"/>
      <w:marLeft w:val="0"/>
      <w:marRight w:val="0"/>
      <w:marTop w:val="0"/>
      <w:marBottom w:val="0"/>
      <w:divBdr>
        <w:top w:val="none" w:sz="0" w:space="0" w:color="auto"/>
        <w:left w:val="none" w:sz="0" w:space="0" w:color="auto"/>
        <w:bottom w:val="none" w:sz="0" w:space="0" w:color="auto"/>
        <w:right w:val="none" w:sz="0" w:space="0" w:color="auto"/>
      </w:divBdr>
    </w:div>
    <w:div w:id="268664285">
      <w:bodyDiv w:val="1"/>
      <w:marLeft w:val="0"/>
      <w:marRight w:val="0"/>
      <w:marTop w:val="0"/>
      <w:marBottom w:val="0"/>
      <w:divBdr>
        <w:top w:val="none" w:sz="0" w:space="0" w:color="auto"/>
        <w:left w:val="none" w:sz="0" w:space="0" w:color="auto"/>
        <w:bottom w:val="none" w:sz="0" w:space="0" w:color="auto"/>
        <w:right w:val="none" w:sz="0" w:space="0" w:color="auto"/>
      </w:divBdr>
    </w:div>
    <w:div w:id="316226701">
      <w:bodyDiv w:val="1"/>
      <w:marLeft w:val="0"/>
      <w:marRight w:val="0"/>
      <w:marTop w:val="0"/>
      <w:marBottom w:val="0"/>
      <w:divBdr>
        <w:top w:val="none" w:sz="0" w:space="0" w:color="auto"/>
        <w:left w:val="none" w:sz="0" w:space="0" w:color="auto"/>
        <w:bottom w:val="none" w:sz="0" w:space="0" w:color="auto"/>
        <w:right w:val="none" w:sz="0" w:space="0" w:color="auto"/>
      </w:divBdr>
    </w:div>
    <w:div w:id="386998095">
      <w:bodyDiv w:val="1"/>
      <w:marLeft w:val="0"/>
      <w:marRight w:val="0"/>
      <w:marTop w:val="0"/>
      <w:marBottom w:val="0"/>
      <w:divBdr>
        <w:top w:val="none" w:sz="0" w:space="0" w:color="auto"/>
        <w:left w:val="none" w:sz="0" w:space="0" w:color="auto"/>
        <w:bottom w:val="none" w:sz="0" w:space="0" w:color="auto"/>
        <w:right w:val="none" w:sz="0" w:space="0" w:color="auto"/>
      </w:divBdr>
    </w:div>
    <w:div w:id="492137076">
      <w:bodyDiv w:val="1"/>
      <w:marLeft w:val="0"/>
      <w:marRight w:val="0"/>
      <w:marTop w:val="0"/>
      <w:marBottom w:val="0"/>
      <w:divBdr>
        <w:top w:val="none" w:sz="0" w:space="0" w:color="auto"/>
        <w:left w:val="none" w:sz="0" w:space="0" w:color="auto"/>
        <w:bottom w:val="none" w:sz="0" w:space="0" w:color="auto"/>
        <w:right w:val="none" w:sz="0" w:space="0" w:color="auto"/>
      </w:divBdr>
    </w:div>
    <w:div w:id="542836907">
      <w:bodyDiv w:val="1"/>
      <w:marLeft w:val="0"/>
      <w:marRight w:val="0"/>
      <w:marTop w:val="0"/>
      <w:marBottom w:val="0"/>
      <w:divBdr>
        <w:top w:val="none" w:sz="0" w:space="0" w:color="auto"/>
        <w:left w:val="none" w:sz="0" w:space="0" w:color="auto"/>
        <w:bottom w:val="none" w:sz="0" w:space="0" w:color="auto"/>
        <w:right w:val="none" w:sz="0" w:space="0" w:color="auto"/>
      </w:divBdr>
    </w:div>
    <w:div w:id="645621432">
      <w:bodyDiv w:val="1"/>
      <w:marLeft w:val="0"/>
      <w:marRight w:val="0"/>
      <w:marTop w:val="0"/>
      <w:marBottom w:val="0"/>
      <w:divBdr>
        <w:top w:val="none" w:sz="0" w:space="0" w:color="auto"/>
        <w:left w:val="none" w:sz="0" w:space="0" w:color="auto"/>
        <w:bottom w:val="none" w:sz="0" w:space="0" w:color="auto"/>
        <w:right w:val="none" w:sz="0" w:space="0" w:color="auto"/>
      </w:divBdr>
    </w:div>
    <w:div w:id="709112481">
      <w:bodyDiv w:val="1"/>
      <w:marLeft w:val="0"/>
      <w:marRight w:val="0"/>
      <w:marTop w:val="0"/>
      <w:marBottom w:val="0"/>
      <w:divBdr>
        <w:top w:val="none" w:sz="0" w:space="0" w:color="auto"/>
        <w:left w:val="none" w:sz="0" w:space="0" w:color="auto"/>
        <w:bottom w:val="none" w:sz="0" w:space="0" w:color="auto"/>
        <w:right w:val="none" w:sz="0" w:space="0" w:color="auto"/>
      </w:divBdr>
    </w:div>
    <w:div w:id="728579154">
      <w:bodyDiv w:val="1"/>
      <w:marLeft w:val="0"/>
      <w:marRight w:val="0"/>
      <w:marTop w:val="0"/>
      <w:marBottom w:val="0"/>
      <w:divBdr>
        <w:top w:val="none" w:sz="0" w:space="0" w:color="auto"/>
        <w:left w:val="none" w:sz="0" w:space="0" w:color="auto"/>
        <w:bottom w:val="none" w:sz="0" w:space="0" w:color="auto"/>
        <w:right w:val="none" w:sz="0" w:space="0" w:color="auto"/>
      </w:divBdr>
    </w:div>
    <w:div w:id="771097262">
      <w:bodyDiv w:val="1"/>
      <w:marLeft w:val="0"/>
      <w:marRight w:val="0"/>
      <w:marTop w:val="0"/>
      <w:marBottom w:val="0"/>
      <w:divBdr>
        <w:top w:val="none" w:sz="0" w:space="0" w:color="auto"/>
        <w:left w:val="none" w:sz="0" w:space="0" w:color="auto"/>
        <w:bottom w:val="none" w:sz="0" w:space="0" w:color="auto"/>
        <w:right w:val="none" w:sz="0" w:space="0" w:color="auto"/>
      </w:divBdr>
    </w:div>
    <w:div w:id="833645966">
      <w:bodyDiv w:val="1"/>
      <w:marLeft w:val="0"/>
      <w:marRight w:val="0"/>
      <w:marTop w:val="0"/>
      <w:marBottom w:val="0"/>
      <w:divBdr>
        <w:top w:val="none" w:sz="0" w:space="0" w:color="auto"/>
        <w:left w:val="none" w:sz="0" w:space="0" w:color="auto"/>
        <w:bottom w:val="none" w:sz="0" w:space="0" w:color="auto"/>
        <w:right w:val="none" w:sz="0" w:space="0" w:color="auto"/>
      </w:divBdr>
    </w:div>
    <w:div w:id="879904726">
      <w:bodyDiv w:val="1"/>
      <w:marLeft w:val="0"/>
      <w:marRight w:val="0"/>
      <w:marTop w:val="0"/>
      <w:marBottom w:val="0"/>
      <w:divBdr>
        <w:top w:val="none" w:sz="0" w:space="0" w:color="auto"/>
        <w:left w:val="none" w:sz="0" w:space="0" w:color="auto"/>
        <w:bottom w:val="none" w:sz="0" w:space="0" w:color="auto"/>
        <w:right w:val="none" w:sz="0" w:space="0" w:color="auto"/>
      </w:divBdr>
    </w:div>
    <w:div w:id="952832263">
      <w:bodyDiv w:val="1"/>
      <w:marLeft w:val="0"/>
      <w:marRight w:val="0"/>
      <w:marTop w:val="0"/>
      <w:marBottom w:val="0"/>
      <w:divBdr>
        <w:top w:val="none" w:sz="0" w:space="0" w:color="auto"/>
        <w:left w:val="none" w:sz="0" w:space="0" w:color="auto"/>
        <w:bottom w:val="none" w:sz="0" w:space="0" w:color="auto"/>
        <w:right w:val="none" w:sz="0" w:space="0" w:color="auto"/>
      </w:divBdr>
    </w:div>
    <w:div w:id="956719063">
      <w:bodyDiv w:val="1"/>
      <w:marLeft w:val="0"/>
      <w:marRight w:val="0"/>
      <w:marTop w:val="0"/>
      <w:marBottom w:val="0"/>
      <w:divBdr>
        <w:top w:val="none" w:sz="0" w:space="0" w:color="auto"/>
        <w:left w:val="none" w:sz="0" w:space="0" w:color="auto"/>
        <w:bottom w:val="none" w:sz="0" w:space="0" w:color="auto"/>
        <w:right w:val="none" w:sz="0" w:space="0" w:color="auto"/>
      </w:divBdr>
    </w:div>
    <w:div w:id="993492153">
      <w:bodyDiv w:val="1"/>
      <w:marLeft w:val="0"/>
      <w:marRight w:val="0"/>
      <w:marTop w:val="0"/>
      <w:marBottom w:val="0"/>
      <w:divBdr>
        <w:top w:val="none" w:sz="0" w:space="0" w:color="auto"/>
        <w:left w:val="none" w:sz="0" w:space="0" w:color="auto"/>
        <w:bottom w:val="none" w:sz="0" w:space="0" w:color="auto"/>
        <w:right w:val="none" w:sz="0" w:space="0" w:color="auto"/>
      </w:divBdr>
    </w:div>
    <w:div w:id="1076169090">
      <w:bodyDiv w:val="1"/>
      <w:marLeft w:val="0"/>
      <w:marRight w:val="0"/>
      <w:marTop w:val="0"/>
      <w:marBottom w:val="0"/>
      <w:divBdr>
        <w:top w:val="none" w:sz="0" w:space="0" w:color="auto"/>
        <w:left w:val="none" w:sz="0" w:space="0" w:color="auto"/>
        <w:bottom w:val="none" w:sz="0" w:space="0" w:color="auto"/>
        <w:right w:val="none" w:sz="0" w:space="0" w:color="auto"/>
      </w:divBdr>
    </w:div>
    <w:div w:id="1078482227">
      <w:bodyDiv w:val="1"/>
      <w:marLeft w:val="0"/>
      <w:marRight w:val="0"/>
      <w:marTop w:val="0"/>
      <w:marBottom w:val="0"/>
      <w:divBdr>
        <w:top w:val="none" w:sz="0" w:space="0" w:color="auto"/>
        <w:left w:val="none" w:sz="0" w:space="0" w:color="auto"/>
        <w:bottom w:val="none" w:sz="0" w:space="0" w:color="auto"/>
        <w:right w:val="none" w:sz="0" w:space="0" w:color="auto"/>
      </w:divBdr>
    </w:div>
    <w:div w:id="1110778163">
      <w:bodyDiv w:val="1"/>
      <w:marLeft w:val="0"/>
      <w:marRight w:val="0"/>
      <w:marTop w:val="0"/>
      <w:marBottom w:val="0"/>
      <w:divBdr>
        <w:top w:val="none" w:sz="0" w:space="0" w:color="auto"/>
        <w:left w:val="none" w:sz="0" w:space="0" w:color="auto"/>
        <w:bottom w:val="none" w:sz="0" w:space="0" w:color="auto"/>
        <w:right w:val="none" w:sz="0" w:space="0" w:color="auto"/>
      </w:divBdr>
    </w:div>
    <w:div w:id="1120878634">
      <w:bodyDiv w:val="1"/>
      <w:marLeft w:val="0"/>
      <w:marRight w:val="0"/>
      <w:marTop w:val="0"/>
      <w:marBottom w:val="0"/>
      <w:divBdr>
        <w:top w:val="none" w:sz="0" w:space="0" w:color="auto"/>
        <w:left w:val="none" w:sz="0" w:space="0" w:color="auto"/>
        <w:bottom w:val="none" w:sz="0" w:space="0" w:color="auto"/>
        <w:right w:val="none" w:sz="0" w:space="0" w:color="auto"/>
      </w:divBdr>
    </w:div>
    <w:div w:id="1271281552">
      <w:bodyDiv w:val="1"/>
      <w:marLeft w:val="0"/>
      <w:marRight w:val="0"/>
      <w:marTop w:val="0"/>
      <w:marBottom w:val="0"/>
      <w:divBdr>
        <w:top w:val="none" w:sz="0" w:space="0" w:color="auto"/>
        <w:left w:val="none" w:sz="0" w:space="0" w:color="auto"/>
        <w:bottom w:val="none" w:sz="0" w:space="0" w:color="auto"/>
        <w:right w:val="none" w:sz="0" w:space="0" w:color="auto"/>
      </w:divBdr>
    </w:div>
    <w:div w:id="1274439237">
      <w:bodyDiv w:val="1"/>
      <w:marLeft w:val="0"/>
      <w:marRight w:val="0"/>
      <w:marTop w:val="0"/>
      <w:marBottom w:val="0"/>
      <w:divBdr>
        <w:top w:val="none" w:sz="0" w:space="0" w:color="auto"/>
        <w:left w:val="none" w:sz="0" w:space="0" w:color="auto"/>
        <w:bottom w:val="none" w:sz="0" w:space="0" w:color="auto"/>
        <w:right w:val="none" w:sz="0" w:space="0" w:color="auto"/>
      </w:divBdr>
    </w:div>
    <w:div w:id="1355232885">
      <w:bodyDiv w:val="1"/>
      <w:marLeft w:val="0"/>
      <w:marRight w:val="0"/>
      <w:marTop w:val="0"/>
      <w:marBottom w:val="0"/>
      <w:divBdr>
        <w:top w:val="none" w:sz="0" w:space="0" w:color="auto"/>
        <w:left w:val="none" w:sz="0" w:space="0" w:color="auto"/>
        <w:bottom w:val="none" w:sz="0" w:space="0" w:color="auto"/>
        <w:right w:val="none" w:sz="0" w:space="0" w:color="auto"/>
      </w:divBdr>
    </w:div>
    <w:div w:id="1398237284">
      <w:bodyDiv w:val="1"/>
      <w:marLeft w:val="0"/>
      <w:marRight w:val="0"/>
      <w:marTop w:val="0"/>
      <w:marBottom w:val="0"/>
      <w:divBdr>
        <w:top w:val="none" w:sz="0" w:space="0" w:color="auto"/>
        <w:left w:val="none" w:sz="0" w:space="0" w:color="auto"/>
        <w:bottom w:val="none" w:sz="0" w:space="0" w:color="auto"/>
        <w:right w:val="none" w:sz="0" w:space="0" w:color="auto"/>
      </w:divBdr>
    </w:div>
    <w:div w:id="1429277205">
      <w:bodyDiv w:val="1"/>
      <w:marLeft w:val="0"/>
      <w:marRight w:val="0"/>
      <w:marTop w:val="0"/>
      <w:marBottom w:val="0"/>
      <w:divBdr>
        <w:top w:val="none" w:sz="0" w:space="0" w:color="auto"/>
        <w:left w:val="none" w:sz="0" w:space="0" w:color="auto"/>
        <w:bottom w:val="none" w:sz="0" w:space="0" w:color="auto"/>
        <w:right w:val="none" w:sz="0" w:space="0" w:color="auto"/>
      </w:divBdr>
    </w:div>
    <w:div w:id="1508128802">
      <w:bodyDiv w:val="1"/>
      <w:marLeft w:val="0"/>
      <w:marRight w:val="0"/>
      <w:marTop w:val="0"/>
      <w:marBottom w:val="0"/>
      <w:divBdr>
        <w:top w:val="none" w:sz="0" w:space="0" w:color="auto"/>
        <w:left w:val="none" w:sz="0" w:space="0" w:color="auto"/>
        <w:bottom w:val="none" w:sz="0" w:space="0" w:color="auto"/>
        <w:right w:val="none" w:sz="0" w:space="0" w:color="auto"/>
      </w:divBdr>
    </w:div>
    <w:div w:id="1514299623">
      <w:bodyDiv w:val="1"/>
      <w:marLeft w:val="0"/>
      <w:marRight w:val="0"/>
      <w:marTop w:val="0"/>
      <w:marBottom w:val="0"/>
      <w:divBdr>
        <w:top w:val="none" w:sz="0" w:space="0" w:color="auto"/>
        <w:left w:val="none" w:sz="0" w:space="0" w:color="auto"/>
        <w:bottom w:val="none" w:sz="0" w:space="0" w:color="auto"/>
        <w:right w:val="none" w:sz="0" w:space="0" w:color="auto"/>
      </w:divBdr>
    </w:div>
    <w:div w:id="1551116128">
      <w:bodyDiv w:val="1"/>
      <w:marLeft w:val="0"/>
      <w:marRight w:val="0"/>
      <w:marTop w:val="0"/>
      <w:marBottom w:val="0"/>
      <w:divBdr>
        <w:top w:val="none" w:sz="0" w:space="0" w:color="auto"/>
        <w:left w:val="none" w:sz="0" w:space="0" w:color="auto"/>
        <w:bottom w:val="none" w:sz="0" w:space="0" w:color="auto"/>
        <w:right w:val="none" w:sz="0" w:space="0" w:color="auto"/>
      </w:divBdr>
    </w:div>
    <w:div w:id="1560941263">
      <w:bodyDiv w:val="1"/>
      <w:marLeft w:val="0"/>
      <w:marRight w:val="0"/>
      <w:marTop w:val="0"/>
      <w:marBottom w:val="0"/>
      <w:divBdr>
        <w:top w:val="none" w:sz="0" w:space="0" w:color="auto"/>
        <w:left w:val="none" w:sz="0" w:space="0" w:color="auto"/>
        <w:bottom w:val="none" w:sz="0" w:space="0" w:color="auto"/>
        <w:right w:val="none" w:sz="0" w:space="0" w:color="auto"/>
      </w:divBdr>
    </w:div>
    <w:div w:id="1599019376">
      <w:bodyDiv w:val="1"/>
      <w:marLeft w:val="0"/>
      <w:marRight w:val="0"/>
      <w:marTop w:val="0"/>
      <w:marBottom w:val="0"/>
      <w:divBdr>
        <w:top w:val="none" w:sz="0" w:space="0" w:color="auto"/>
        <w:left w:val="none" w:sz="0" w:space="0" w:color="auto"/>
        <w:bottom w:val="none" w:sz="0" w:space="0" w:color="auto"/>
        <w:right w:val="none" w:sz="0" w:space="0" w:color="auto"/>
      </w:divBdr>
    </w:div>
    <w:div w:id="1634871899">
      <w:bodyDiv w:val="1"/>
      <w:marLeft w:val="0"/>
      <w:marRight w:val="0"/>
      <w:marTop w:val="0"/>
      <w:marBottom w:val="0"/>
      <w:divBdr>
        <w:top w:val="none" w:sz="0" w:space="0" w:color="auto"/>
        <w:left w:val="none" w:sz="0" w:space="0" w:color="auto"/>
        <w:bottom w:val="none" w:sz="0" w:space="0" w:color="auto"/>
        <w:right w:val="none" w:sz="0" w:space="0" w:color="auto"/>
      </w:divBdr>
    </w:div>
    <w:div w:id="1645508171">
      <w:bodyDiv w:val="1"/>
      <w:marLeft w:val="0"/>
      <w:marRight w:val="0"/>
      <w:marTop w:val="0"/>
      <w:marBottom w:val="0"/>
      <w:divBdr>
        <w:top w:val="none" w:sz="0" w:space="0" w:color="auto"/>
        <w:left w:val="none" w:sz="0" w:space="0" w:color="auto"/>
        <w:bottom w:val="none" w:sz="0" w:space="0" w:color="auto"/>
        <w:right w:val="none" w:sz="0" w:space="0" w:color="auto"/>
      </w:divBdr>
    </w:div>
    <w:div w:id="1649942729">
      <w:bodyDiv w:val="1"/>
      <w:marLeft w:val="0"/>
      <w:marRight w:val="0"/>
      <w:marTop w:val="0"/>
      <w:marBottom w:val="0"/>
      <w:divBdr>
        <w:top w:val="none" w:sz="0" w:space="0" w:color="auto"/>
        <w:left w:val="none" w:sz="0" w:space="0" w:color="auto"/>
        <w:bottom w:val="none" w:sz="0" w:space="0" w:color="auto"/>
        <w:right w:val="none" w:sz="0" w:space="0" w:color="auto"/>
      </w:divBdr>
    </w:div>
    <w:div w:id="1677922643">
      <w:bodyDiv w:val="1"/>
      <w:marLeft w:val="0"/>
      <w:marRight w:val="0"/>
      <w:marTop w:val="0"/>
      <w:marBottom w:val="0"/>
      <w:divBdr>
        <w:top w:val="none" w:sz="0" w:space="0" w:color="auto"/>
        <w:left w:val="none" w:sz="0" w:space="0" w:color="auto"/>
        <w:bottom w:val="none" w:sz="0" w:space="0" w:color="auto"/>
        <w:right w:val="none" w:sz="0" w:space="0" w:color="auto"/>
      </w:divBdr>
    </w:div>
    <w:div w:id="1703166532">
      <w:bodyDiv w:val="1"/>
      <w:marLeft w:val="0"/>
      <w:marRight w:val="0"/>
      <w:marTop w:val="0"/>
      <w:marBottom w:val="0"/>
      <w:divBdr>
        <w:top w:val="none" w:sz="0" w:space="0" w:color="auto"/>
        <w:left w:val="none" w:sz="0" w:space="0" w:color="auto"/>
        <w:bottom w:val="none" w:sz="0" w:space="0" w:color="auto"/>
        <w:right w:val="none" w:sz="0" w:space="0" w:color="auto"/>
      </w:divBdr>
    </w:div>
    <w:div w:id="1708681629">
      <w:bodyDiv w:val="1"/>
      <w:marLeft w:val="0"/>
      <w:marRight w:val="0"/>
      <w:marTop w:val="0"/>
      <w:marBottom w:val="0"/>
      <w:divBdr>
        <w:top w:val="none" w:sz="0" w:space="0" w:color="auto"/>
        <w:left w:val="none" w:sz="0" w:space="0" w:color="auto"/>
        <w:bottom w:val="none" w:sz="0" w:space="0" w:color="auto"/>
        <w:right w:val="none" w:sz="0" w:space="0" w:color="auto"/>
      </w:divBdr>
    </w:div>
    <w:div w:id="1747453933">
      <w:bodyDiv w:val="1"/>
      <w:marLeft w:val="0"/>
      <w:marRight w:val="0"/>
      <w:marTop w:val="0"/>
      <w:marBottom w:val="0"/>
      <w:divBdr>
        <w:top w:val="none" w:sz="0" w:space="0" w:color="auto"/>
        <w:left w:val="none" w:sz="0" w:space="0" w:color="auto"/>
        <w:bottom w:val="none" w:sz="0" w:space="0" w:color="auto"/>
        <w:right w:val="none" w:sz="0" w:space="0" w:color="auto"/>
      </w:divBdr>
    </w:div>
    <w:div w:id="1754161594">
      <w:bodyDiv w:val="1"/>
      <w:marLeft w:val="0"/>
      <w:marRight w:val="0"/>
      <w:marTop w:val="0"/>
      <w:marBottom w:val="0"/>
      <w:divBdr>
        <w:top w:val="none" w:sz="0" w:space="0" w:color="auto"/>
        <w:left w:val="none" w:sz="0" w:space="0" w:color="auto"/>
        <w:bottom w:val="none" w:sz="0" w:space="0" w:color="auto"/>
        <w:right w:val="none" w:sz="0" w:space="0" w:color="auto"/>
      </w:divBdr>
    </w:div>
    <w:div w:id="1830637112">
      <w:bodyDiv w:val="1"/>
      <w:marLeft w:val="0"/>
      <w:marRight w:val="0"/>
      <w:marTop w:val="0"/>
      <w:marBottom w:val="0"/>
      <w:divBdr>
        <w:top w:val="none" w:sz="0" w:space="0" w:color="auto"/>
        <w:left w:val="none" w:sz="0" w:space="0" w:color="auto"/>
        <w:bottom w:val="none" w:sz="0" w:space="0" w:color="auto"/>
        <w:right w:val="none" w:sz="0" w:space="0" w:color="auto"/>
      </w:divBdr>
    </w:div>
    <w:div w:id="1904293065">
      <w:bodyDiv w:val="1"/>
      <w:marLeft w:val="0"/>
      <w:marRight w:val="0"/>
      <w:marTop w:val="0"/>
      <w:marBottom w:val="0"/>
      <w:divBdr>
        <w:top w:val="none" w:sz="0" w:space="0" w:color="auto"/>
        <w:left w:val="none" w:sz="0" w:space="0" w:color="auto"/>
        <w:bottom w:val="none" w:sz="0" w:space="0" w:color="auto"/>
        <w:right w:val="none" w:sz="0" w:space="0" w:color="auto"/>
      </w:divBdr>
    </w:div>
    <w:div w:id="1934048330">
      <w:bodyDiv w:val="1"/>
      <w:marLeft w:val="0"/>
      <w:marRight w:val="0"/>
      <w:marTop w:val="0"/>
      <w:marBottom w:val="0"/>
      <w:divBdr>
        <w:top w:val="none" w:sz="0" w:space="0" w:color="auto"/>
        <w:left w:val="none" w:sz="0" w:space="0" w:color="auto"/>
        <w:bottom w:val="none" w:sz="0" w:space="0" w:color="auto"/>
        <w:right w:val="none" w:sz="0" w:space="0" w:color="auto"/>
      </w:divBdr>
    </w:div>
    <w:div w:id="1934166456">
      <w:bodyDiv w:val="1"/>
      <w:marLeft w:val="0"/>
      <w:marRight w:val="0"/>
      <w:marTop w:val="0"/>
      <w:marBottom w:val="0"/>
      <w:divBdr>
        <w:top w:val="none" w:sz="0" w:space="0" w:color="auto"/>
        <w:left w:val="none" w:sz="0" w:space="0" w:color="auto"/>
        <w:bottom w:val="none" w:sz="0" w:space="0" w:color="auto"/>
        <w:right w:val="none" w:sz="0" w:space="0" w:color="auto"/>
      </w:divBdr>
    </w:div>
    <w:div w:id="1950158349">
      <w:bodyDiv w:val="1"/>
      <w:marLeft w:val="0"/>
      <w:marRight w:val="0"/>
      <w:marTop w:val="0"/>
      <w:marBottom w:val="0"/>
      <w:divBdr>
        <w:top w:val="none" w:sz="0" w:space="0" w:color="auto"/>
        <w:left w:val="none" w:sz="0" w:space="0" w:color="auto"/>
        <w:bottom w:val="none" w:sz="0" w:space="0" w:color="auto"/>
        <w:right w:val="none" w:sz="0" w:space="0" w:color="auto"/>
      </w:divBdr>
    </w:div>
    <w:div w:id="1992517393">
      <w:bodyDiv w:val="1"/>
      <w:marLeft w:val="0"/>
      <w:marRight w:val="0"/>
      <w:marTop w:val="0"/>
      <w:marBottom w:val="0"/>
      <w:divBdr>
        <w:top w:val="none" w:sz="0" w:space="0" w:color="auto"/>
        <w:left w:val="none" w:sz="0" w:space="0" w:color="auto"/>
        <w:bottom w:val="none" w:sz="0" w:space="0" w:color="auto"/>
        <w:right w:val="none" w:sz="0" w:space="0" w:color="auto"/>
      </w:divBdr>
    </w:div>
    <w:div w:id="1998072087">
      <w:bodyDiv w:val="1"/>
      <w:marLeft w:val="0"/>
      <w:marRight w:val="0"/>
      <w:marTop w:val="0"/>
      <w:marBottom w:val="0"/>
      <w:divBdr>
        <w:top w:val="none" w:sz="0" w:space="0" w:color="auto"/>
        <w:left w:val="none" w:sz="0" w:space="0" w:color="auto"/>
        <w:bottom w:val="none" w:sz="0" w:space="0" w:color="auto"/>
        <w:right w:val="none" w:sz="0" w:space="0" w:color="auto"/>
      </w:divBdr>
    </w:div>
    <w:div w:id="2022118982">
      <w:bodyDiv w:val="1"/>
      <w:marLeft w:val="0"/>
      <w:marRight w:val="0"/>
      <w:marTop w:val="0"/>
      <w:marBottom w:val="0"/>
      <w:divBdr>
        <w:top w:val="none" w:sz="0" w:space="0" w:color="auto"/>
        <w:left w:val="none" w:sz="0" w:space="0" w:color="auto"/>
        <w:bottom w:val="none" w:sz="0" w:space="0" w:color="auto"/>
        <w:right w:val="none" w:sz="0" w:space="0" w:color="auto"/>
      </w:divBdr>
    </w:div>
    <w:div w:id="2066636146">
      <w:bodyDiv w:val="1"/>
      <w:marLeft w:val="0"/>
      <w:marRight w:val="0"/>
      <w:marTop w:val="0"/>
      <w:marBottom w:val="0"/>
      <w:divBdr>
        <w:top w:val="none" w:sz="0" w:space="0" w:color="auto"/>
        <w:left w:val="none" w:sz="0" w:space="0" w:color="auto"/>
        <w:bottom w:val="none" w:sz="0" w:space="0" w:color="auto"/>
        <w:right w:val="none" w:sz="0" w:space="0" w:color="auto"/>
      </w:divBdr>
    </w:div>
    <w:div w:id="2088725539">
      <w:bodyDiv w:val="1"/>
      <w:marLeft w:val="0"/>
      <w:marRight w:val="0"/>
      <w:marTop w:val="0"/>
      <w:marBottom w:val="0"/>
      <w:divBdr>
        <w:top w:val="none" w:sz="0" w:space="0" w:color="auto"/>
        <w:left w:val="none" w:sz="0" w:space="0" w:color="auto"/>
        <w:bottom w:val="none" w:sz="0" w:space="0" w:color="auto"/>
        <w:right w:val="none" w:sz="0" w:space="0" w:color="auto"/>
      </w:divBdr>
    </w:div>
    <w:div w:id="2109498449">
      <w:bodyDiv w:val="1"/>
      <w:marLeft w:val="0"/>
      <w:marRight w:val="0"/>
      <w:marTop w:val="0"/>
      <w:marBottom w:val="0"/>
      <w:divBdr>
        <w:top w:val="none" w:sz="0" w:space="0" w:color="auto"/>
        <w:left w:val="none" w:sz="0" w:space="0" w:color="auto"/>
        <w:bottom w:val="none" w:sz="0" w:space="0" w:color="auto"/>
        <w:right w:val="none" w:sz="0" w:space="0" w:color="auto"/>
      </w:divBdr>
    </w:div>
    <w:div w:id="2111314507">
      <w:bodyDiv w:val="1"/>
      <w:marLeft w:val="0"/>
      <w:marRight w:val="0"/>
      <w:marTop w:val="0"/>
      <w:marBottom w:val="0"/>
      <w:divBdr>
        <w:top w:val="none" w:sz="0" w:space="0" w:color="auto"/>
        <w:left w:val="none" w:sz="0" w:space="0" w:color="auto"/>
        <w:bottom w:val="none" w:sz="0" w:space="0" w:color="auto"/>
        <w:right w:val="none" w:sz="0" w:space="0" w:color="auto"/>
      </w:divBdr>
    </w:div>
    <w:div w:id="21123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Office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9198-5B29-4D43-867A-F79FB16A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6605</Words>
  <Characters>37650</Characters>
  <Application>Microsoft Office Word</Application>
  <DocSecurity>0</DocSecurity>
  <Lines>313</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DUBROVNIK</vt:lpstr>
      <vt:lpstr>GRAD DUBROVNIK</vt:lpstr>
    </vt:vector>
  </TitlesOfParts>
  <Company/>
  <LinksUpToDate>false</LinksUpToDate>
  <CharactersWithSpaces>44167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DUBROVNIK</dc:title>
  <dc:creator>_</dc:creator>
  <cp:lastModifiedBy>aljubenko</cp:lastModifiedBy>
  <cp:revision>2</cp:revision>
  <cp:lastPrinted>2019-09-05T07:38:00Z</cp:lastPrinted>
  <dcterms:created xsi:type="dcterms:W3CDTF">2019-09-06T07:51:00Z</dcterms:created>
  <dcterms:modified xsi:type="dcterms:W3CDTF">2019-09-06T07:51:00Z</dcterms:modified>
</cp:coreProperties>
</file>