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AB7" w:rsidRPr="009A6AB7" w:rsidRDefault="009A6AB7" w:rsidP="009A6AB7">
      <w:pPr>
        <w:rPr>
          <w:rFonts w:ascii="Arial" w:hAnsi="Arial" w:cs="Arial"/>
        </w:rPr>
      </w:pPr>
      <w:r w:rsidRPr="009A6AB7">
        <w:rPr>
          <w:rFonts w:ascii="Arial" w:hAnsi="Arial" w:cs="Arial"/>
        </w:rPr>
        <w:t>KLASA: 011-01/19-01/01</w:t>
      </w:r>
    </w:p>
    <w:p w:rsidR="00C130BE" w:rsidRDefault="009A6AB7" w:rsidP="009A6AB7">
      <w:pPr>
        <w:rPr>
          <w:rFonts w:ascii="Arial" w:hAnsi="Arial" w:cs="Arial"/>
        </w:rPr>
      </w:pPr>
      <w:r w:rsidRPr="009A6AB7">
        <w:rPr>
          <w:rFonts w:ascii="Arial" w:hAnsi="Arial" w:cs="Arial"/>
        </w:rPr>
        <w:t>URBROJ: 2117/01-08-01/28-19-</w:t>
      </w:r>
      <w:r>
        <w:rPr>
          <w:rFonts w:ascii="Arial" w:hAnsi="Arial" w:cs="Arial"/>
        </w:rPr>
        <w:t>5</w:t>
      </w:r>
    </w:p>
    <w:p w:rsidR="009A6AB7" w:rsidRDefault="009A6AB7" w:rsidP="009A6AB7">
      <w:pPr>
        <w:rPr>
          <w:rFonts w:ascii="Arial" w:hAnsi="Arial" w:cs="Arial"/>
        </w:rPr>
      </w:pPr>
    </w:p>
    <w:tbl>
      <w:tblPr>
        <w:tblStyle w:val="TableGrid1"/>
        <w:tblW w:w="0" w:type="auto"/>
        <w:tblLook w:val="04A0" w:firstRow="1" w:lastRow="0" w:firstColumn="1" w:lastColumn="0" w:noHBand="0" w:noVBand="1"/>
      </w:tblPr>
      <w:tblGrid>
        <w:gridCol w:w="3288"/>
        <w:gridCol w:w="2876"/>
        <w:gridCol w:w="2898"/>
      </w:tblGrid>
      <w:tr w:rsidR="009A6AB7" w:rsidRPr="009A6AB7" w:rsidTr="00136EAE">
        <w:trPr>
          <w:trHeight w:val="983"/>
        </w:trPr>
        <w:tc>
          <w:tcPr>
            <w:tcW w:w="9062" w:type="dxa"/>
            <w:gridSpan w:val="3"/>
          </w:tcPr>
          <w:p w:rsidR="009A6AB7" w:rsidRPr="009A6AB7" w:rsidRDefault="009A6AB7" w:rsidP="009A6AB7">
            <w:pPr>
              <w:jc w:val="center"/>
              <w:rPr>
                <w:rFonts w:ascii="Arial" w:hAnsi="Arial" w:cs="Arial"/>
                <w:b/>
              </w:rPr>
            </w:pPr>
            <w:r w:rsidRPr="009A6AB7">
              <w:rPr>
                <w:rFonts w:ascii="Arial" w:hAnsi="Arial" w:cs="Arial"/>
                <w:b/>
              </w:rPr>
              <w:t xml:space="preserve">  </w:t>
            </w:r>
            <w:bookmarkStart w:id="0" w:name="_Hlk535828759"/>
            <w:r w:rsidRPr="009A6AB7">
              <w:rPr>
                <w:rFonts w:ascii="Arial" w:hAnsi="Arial" w:cs="Arial"/>
                <w:b/>
              </w:rPr>
              <w:t>IZVJEŠĆE O PROVEDENOM SAVJETOVANJU</w:t>
            </w:r>
          </w:p>
          <w:p w:rsidR="009A6AB7" w:rsidRPr="009A6AB7" w:rsidRDefault="009A6AB7" w:rsidP="009A6AB7">
            <w:pPr>
              <w:jc w:val="center"/>
              <w:rPr>
                <w:rFonts w:ascii="Arial" w:hAnsi="Arial" w:cs="Arial"/>
                <w:b/>
              </w:rPr>
            </w:pPr>
            <w:r w:rsidRPr="009A6AB7">
              <w:rPr>
                <w:rFonts w:ascii="Arial" w:hAnsi="Arial" w:cs="Arial"/>
                <w:b/>
              </w:rPr>
              <w:t xml:space="preserve"> SA ZAINTERESIRANOM JAVNOŠĆU</w:t>
            </w:r>
          </w:p>
        </w:tc>
      </w:tr>
      <w:tr w:rsidR="009A6AB7" w:rsidRPr="009A6AB7" w:rsidTr="00136EAE">
        <w:tc>
          <w:tcPr>
            <w:tcW w:w="3288" w:type="dxa"/>
          </w:tcPr>
          <w:p w:rsidR="009A6AB7" w:rsidRPr="009A6AB7" w:rsidRDefault="009A6AB7" w:rsidP="009A6AB7">
            <w:pPr>
              <w:rPr>
                <w:rFonts w:ascii="Arial" w:hAnsi="Arial" w:cs="Arial"/>
              </w:rPr>
            </w:pPr>
            <w:r w:rsidRPr="009A6AB7">
              <w:rPr>
                <w:rFonts w:ascii="Arial" w:hAnsi="Arial" w:cs="Arial"/>
              </w:rPr>
              <w:t>Naslov dokumenta</w:t>
            </w:r>
          </w:p>
        </w:tc>
        <w:tc>
          <w:tcPr>
            <w:tcW w:w="5774" w:type="dxa"/>
            <w:gridSpan w:val="2"/>
          </w:tcPr>
          <w:p w:rsidR="009A6AB7" w:rsidRPr="009A6AB7" w:rsidRDefault="009A6AB7" w:rsidP="009A6AB7">
            <w:pPr>
              <w:jc w:val="center"/>
              <w:rPr>
                <w:rFonts w:ascii="Arial" w:hAnsi="Arial" w:cs="Arial"/>
                <w:b/>
              </w:rPr>
            </w:pPr>
            <w:r w:rsidRPr="009A6AB7">
              <w:rPr>
                <w:rFonts w:ascii="Arial" w:hAnsi="Arial" w:cs="Arial"/>
                <w:b/>
              </w:rPr>
              <w:t>Nacrt Odluke o visini paušalnog poreza po krevetu, smještajnoj jedinici u kampu i smještajnoj jedinici u objektu za robinzonski smještaj</w:t>
            </w:r>
          </w:p>
        </w:tc>
      </w:tr>
      <w:tr w:rsidR="009A6AB7" w:rsidRPr="009A6AB7" w:rsidTr="00136EAE">
        <w:tc>
          <w:tcPr>
            <w:tcW w:w="3288" w:type="dxa"/>
          </w:tcPr>
          <w:p w:rsidR="009A6AB7" w:rsidRPr="009A6AB7" w:rsidRDefault="009A6AB7" w:rsidP="009A6AB7">
            <w:pPr>
              <w:rPr>
                <w:rFonts w:ascii="Arial" w:hAnsi="Arial" w:cs="Arial"/>
              </w:rPr>
            </w:pPr>
            <w:r w:rsidRPr="009A6AB7">
              <w:rPr>
                <w:rFonts w:ascii="Arial" w:hAnsi="Arial" w:cs="Arial"/>
              </w:rPr>
              <w:t>Stvaratelj dokumenta, tijelo koje provodi savjetovanje</w:t>
            </w:r>
          </w:p>
        </w:tc>
        <w:tc>
          <w:tcPr>
            <w:tcW w:w="5774" w:type="dxa"/>
            <w:gridSpan w:val="2"/>
          </w:tcPr>
          <w:p w:rsidR="009A6AB7" w:rsidRPr="009A6AB7" w:rsidRDefault="009A6AB7" w:rsidP="009A6AB7">
            <w:pPr>
              <w:rPr>
                <w:rFonts w:ascii="Arial" w:hAnsi="Arial" w:cs="Arial"/>
              </w:rPr>
            </w:pPr>
            <w:r w:rsidRPr="009A6AB7">
              <w:rPr>
                <w:rFonts w:ascii="Arial" w:hAnsi="Arial" w:cs="Arial"/>
              </w:rPr>
              <w:t>Grad Dubrovnik</w:t>
            </w:r>
          </w:p>
          <w:p w:rsidR="009A6AB7" w:rsidRPr="009A6AB7" w:rsidRDefault="009A6AB7" w:rsidP="009A6AB7">
            <w:pPr>
              <w:rPr>
                <w:rFonts w:ascii="Arial" w:hAnsi="Arial" w:cs="Arial"/>
              </w:rPr>
            </w:pPr>
            <w:r w:rsidRPr="009A6AB7">
              <w:rPr>
                <w:rFonts w:ascii="Arial" w:hAnsi="Arial" w:cs="Arial"/>
              </w:rPr>
              <w:t>Upravni odjel za proračun, financije i naplatu</w:t>
            </w:r>
          </w:p>
        </w:tc>
      </w:tr>
      <w:tr w:rsidR="009A6AB7" w:rsidRPr="009A6AB7" w:rsidTr="00136EAE">
        <w:tc>
          <w:tcPr>
            <w:tcW w:w="3288" w:type="dxa"/>
          </w:tcPr>
          <w:p w:rsidR="009A6AB7" w:rsidRPr="009A6AB7" w:rsidRDefault="009A6AB7" w:rsidP="009A6AB7">
            <w:pPr>
              <w:rPr>
                <w:rFonts w:ascii="Arial" w:hAnsi="Arial" w:cs="Arial"/>
              </w:rPr>
            </w:pPr>
            <w:r w:rsidRPr="009A6AB7">
              <w:rPr>
                <w:rFonts w:ascii="Arial" w:hAnsi="Arial" w:cs="Arial"/>
              </w:rPr>
              <w:t>Cilj i glavne teme savjetovanja</w:t>
            </w:r>
          </w:p>
        </w:tc>
        <w:tc>
          <w:tcPr>
            <w:tcW w:w="5774" w:type="dxa"/>
            <w:gridSpan w:val="2"/>
          </w:tcPr>
          <w:p w:rsidR="009A6AB7" w:rsidRPr="009A6AB7" w:rsidRDefault="009A6AB7" w:rsidP="009A6AB7">
            <w:pPr>
              <w:ind w:right="-20" w:firstLine="709"/>
              <w:jc w:val="both"/>
              <w:rPr>
                <w:rFonts w:ascii="Arial" w:hAnsi="Arial" w:cs="Arial"/>
                <w:color w:val="000000"/>
              </w:rPr>
            </w:pPr>
            <w:r w:rsidRPr="009A6AB7">
              <w:rPr>
                <w:rFonts w:ascii="Arial" w:hAnsi="Arial" w:cs="Arial"/>
                <w:color w:val="000000"/>
              </w:rPr>
              <w:t>Člankom 57. stavak 3. Zakona o porezu na dohodak propisano je da su jedinice lokalne samouprave obvezne donijeti odluku kojom će propisati visine paušalnog poreza po krevetu odnosno po smještajnoj jedinici u kampu, a koje ne mogu biti manje od 150,00 kuna niti veće od 1.500,00 kuna.</w:t>
            </w:r>
          </w:p>
          <w:p w:rsidR="009A6AB7" w:rsidRPr="009A6AB7" w:rsidRDefault="009A6AB7" w:rsidP="009A6AB7">
            <w:pPr>
              <w:ind w:right="-20" w:firstLine="709"/>
              <w:jc w:val="both"/>
              <w:rPr>
                <w:rFonts w:ascii="Arial" w:hAnsi="Arial" w:cs="Arial"/>
                <w:color w:val="000000"/>
              </w:rPr>
            </w:pPr>
            <w:r w:rsidRPr="009A6AB7">
              <w:rPr>
                <w:rFonts w:ascii="Arial" w:hAnsi="Arial" w:cs="Arial"/>
                <w:color w:val="000000"/>
              </w:rPr>
              <w:t>Grad Dubrovnik pripremio je stoga prijedlog Odluke o visini paušalnog poreza</w:t>
            </w:r>
            <w:r w:rsidRPr="009A6AB7">
              <w:rPr>
                <w:rFonts w:ascii="Calibri" w:hAnsi="Calibri" w:cs="Times New Roman"/>
              </w:rPr>
              <w:t xml:space="preserve"> </w:t>
            </w:r>
            <w:r w:rsidRPr="009A6AB7">
              <w:rPr>
                <w:rFonts w:ascii="Arial" w:hAnsi="Arial" w:cs="Arial"/>
                <w:color w:val="000000"/>
              </w:rPr>
              <w:t>po krevetu, smještajnoj jedinici u kampu i smještajnoj jedinici u objektu za robinzonski smještaj, po naseljima na području Grada Dubrovnika, sve sukladno članku 3. Pravilnika o paušalnom oporezivanju djelatnosti iznajmljivanja i organiziranja smještaja u turizmu.</w:t>
            </w:r>
          </w:p>
          <w:p w:rsidR="009A6AB7" w:rsidRPr="009A6AB7" w:rsidRDefault="009A6AB7" w:rsidP="009A6AB7">
            <w:pPr>
              <w:ind w:right="-20" w:firstLine="709"/>
              <w:jc w:val="both"/>
              <w:rPr>
                <w:rFonts w:ascii="Arial" w:hAnsi="Arial" w:cs="Arial"/>
                <w:color w:val="000000"/>
              </w:rPr>
            </w:pPr>
            <w:r w:rsidRPr="009A6AB7">
              <w:rPr>
                <w:rFonts w:ascii="Arial" w:hAnsi="Arial" w:cs="Arial"/>
                <w:color w:val="000000"/>
              </w:rPr>
              <w:t>Prijedlog predstavlja izmjene u odnosu na dosadašnje iznose plaćanja paušalnog poreza te se provedenim savjetovanjem sa zainteresiranom javnošću željelo dobiti i mišljenje javnosti na predložene izmjene.</w:t>
            </w:r>
          </w:p>
          <w:p w:rsidR="009A6AB7" w:rsidRPr="009A6AB7" w:rsidRDefault="009A6AB7" w:rsidP="009A6AB7">
            <w:pPr>
              <w:ind w:right="-20" w:firstLine="709"/>
              <w:jc w:val="both"/>
              <w:rPr>
                <w:rFonts w:ascii="Arial" w:hAnsi="Arial" w:cs="Arial"/>
                <w:color w:val="000000"/>
              </w:rPr>
            </w:pPr>
            <w:r w:rsidRPr="009A6AB7">
              <w:rPr>
                <w:rFonts w:ascii="Arial" w:hAnsi="Arial" w:cs="Arial"/>
                <w:color w:val="000000"/>
              </w:rPr>
              <w:t>O prijedlogu ove Odluke glasovat će se na sjednici Gradskog vijeća Grada Dubrovnika.</w:t>
            </w:r>
          </w:p>
        </w:tc>
      </w:tr>
      <w:tr w:rsidR="009A6AB7" w:rsidRPr="009A6AB7" w:rsidTr="00136EAE">
        <w:tc>
          <w:tcPr>
            <w:tcW w:w="3288" w:type="dxa"/>
          </w:tcPr>
          <w:p w:rsidR="009A6AB7" w:rsidRPr="009A6AB7" w:rsidRDefault="009A6AB7" w:rsidP="009A6AB7">
            <w:pPr>
              <w:rPr>
                <w:rFonts w:ascii="Arial" w:hAnsi="Arial" w:cs="Arial"/>
              </w:rPr>
            </w:pPr>
            <w:r w:rsidRPr="009A6AB7">
              <w:rPr>
                <w:rFonts w:ascii="Arial" w:hAnsi="Arial" w:cs="Arial"/>
              </w:rPr>
              <w:t>Mjesec stvaranja dokumenta</w:t>
            </w:r>
          </w:p>
        </w:tc>
        <w:tc>
          <w:tcPr>
            <w:tcW w:w="5774" w:type="dxa"/>
            <w:gridSpan w:val="2"/>
          </w:tcPr>
          <w:p w:rsidR="009A6AB7" w:rsidRPr="009A6AB7" w:rsidRDefault="009A6AB7" w:rsidP="009A6AB7">
            <w:pPr>
              <w:rPr>
                <w:rFonts w:ascii="Arial" w:hAnsi="Arial" w:cs="Arial"/>
              </w:rPr>
            </w:pPr>
            <w:r w:rsidRPr="009A6AB7">
              <w:rPr>
                <w:rFonts w:ascii="Arial" w:hAnsi="Arial" w:cs="Arial"/>
              </w:rPr>
              <w:t xml:space="preserve">Siječanj 2019. godine </w:t>
            </w:r>
          </w:p>
        </w:tc>
      </w:tr>
      <w:tr w:rsidR="009A6AB7" w:rsidRPr="009A6AB7" w:rsidTr="00136EAE">
        <w:tc>
          <w:tcPr>
            <w:tcW w:w="3288" w:type="dxa"/>
          </w:tcPr>
          <w:p w:rsidR="009A6AB7" w:rsidRPr="009A6AB7" w:rsidRDefault="009A6AB7" w:rsidP="009A6AB7">
            <w:pPr>
              <w:rPr>
                <w:rFonts w:ascii="Arial" w:hAnsi="Arial" w:cs="Arial"/>
              </w:rPr>
            </w:pPr>
            <w:r w:rsidRPr="009A6AB7">
              <w:rPr>
                <w:rFonts w:ascii="Arial" w:hAnsi="Arial" w:cs="Arial"/>
              </w:rPr>
              <w:t>Gdje i kada je nacrt bio objavljen te koliko je trajalo savjetovanje?</w:t>
            </w:r>
          </w:p>
          <w:p w:rsidR="009A6AB7" w:rsidRPr="009A6AB7" w:rsidRDefault="009A6AB7" w:rsidP="009A6AB7">
            <w:pPr>
              <w:rPr>
                <w:rFonts w:ascii="Arial" w:hAnsi="Arial" w:cs="Arial"/>
              </w:rPr>
            </w:pPr>
          </w:p>
          <w:p w:rsidR="009A6AB7" w:rsidRPr="009A6AB7" w:rsidRDefault="009A6AB7" w:rsidP="009A6AB7">
            <w:pPr>
              <w:rPr>
                <w:rFonts w:ascii="Arial" w:hAnsi="Arial" w:cs="Arial"/>
              </w:rPr>
            </w:pPr>
          </w:p>
        </w:tc>
        <w:tc>
          <w:tcPr>
            <w:tcW w:w="5774" w:type="dxa"/>
            <w:gridSpan w:val="2"/>
          </w:tcPr>
          <w:p w:rsidR="009A6AB7" w:rsidRPr="009A6AB7" w:rsidRDefault="009A6AB7" w:rsidP="009A6AB7">
            <w:pPr>
              <w:jc w:val="both"/>
              <w:rPr>
                <w:rFonts w:ascii="Arial" w:hAnsi="Arial" w:cs="Arial"/>
                <w:iCs/>
              </w:rPr>
            </w:pPr>
            <w:r w:rsidRPr="009A6AB7">
              <w:rPr>
                <w:rFonts w:ascii="Arial" w:hAnsi="Arial" w:cs="Arial"/>
                <w:iCs/>
              </w:rPr>
              <w:t>Nacrt Odluke objavljen je na internetskoj stranici Grada Dubrovnika www.dubrovnik.hr</w:t>
            </w:r>
          </w:p>
          <w:p w:rsidR="009A6AB7" w:rsidRPr="009A6AB7" w:rsidRDefault="009A6AB7" w:rsidP="009A6AB7">
            <w:pPr>
              <w:jc w:val="both"/>
              <w:rPr>
                <w:rFonts w:ascii="Arial" w:hAnsi="Arial" w:cs="Arial"/>
                <w:iCs/>
              </w:rPr>
            </w:pPr>
          </w:p>
          <w:p w:rsidR="009A6AB7" w:rsidRPr="009A6AB7" w:rsidRDefault="009A6AB7" w:rsidP="009A6AB7">
            <w:pPr>
              <w:jc w:val="both"/>
              <w:rPr>
                <w:rFonts w:ascii="Arial" w:hAnsi="Arial" w:cs="Arial"/>
                <w:iCs/>
              </w:rPr>
            </w:pPr>
            <w:r w:rsidRPr="009A6AB7">
              <w:rPr>
                <w:rFonts w:ascii="Arial" w:hAnsi="Arial" w:cs="Arial"/>
                <w:iCs/>
              </w:rPr>
              <w:t>Javno savjetovanje bilo je otvoreno od 09. siječnja 2019. do 18. siječnja 2019. godine.</w:t>
            </w:r>
          </w:p>
          <w:p w:rsidR="009A6AB7" w:rsidRPr="009A6AB7" w:rsidRDefault="009A6AB7" w:rsidP="009A6AB7">
            <w:pPr>
              <w:jc w:val="both"/>
              <w:rPr>
                <w:rFonts w:ascii="Arial" w:hAnsi="Arial" w:cs="Arial"/>
                <w:iCs/>
              </w:rPr>
            </w:pPr>
          </w:p>
          <w:p w:rsidR="009A6AB7" w:rsidRPr="009A6AB7" w:rsidRDefault="009A6AB7" w:rsidP="00A75A54">
            <w:pPr>
              <w:jc w:val="both"/>
              <w:rPr>
                <w:rFonts w:ascii="Arial" w:eastAsia="Calibri" w:hAnsi="Arial" w:cs="Arial"/>
              </w:rPr>
            </w:pPr>
            <w:r w:rsidRPr="009A6AB7">
              <w:rPr>
                <w:rFonts w:ascii="Arial" w:eastAsia="Calibri" w:hAnsi="Arial" w:cs="Arial"/>
              </w:rPr>
              <w:t>Trajalo je 10 dana, a skraćeni rok savjetovanja bio je iz razloga što je tek</w:t>
            </w:r>
            <w:r w:rsidRPr="009A6AB7">
              <w:rPr>
                <w:rFonts w:ascii="Calibri" w:eastAsia="Calibri" w:hAnsi="Calibri" w:cs="Calibri"/>
              </w:rPr>
              <w:t xml:space="preserve"> </w:t>
            </w:r>
            <w:r w:rsidRPr="009A6AB7">
              <w:rPr>
                <w:rFonts w:ascii="Arial" w:eastAsia="Calibri" w:hAnsi="Arial" w:cs="Arial"/>
              </w:rPr>
              <w:t>2. siječnja 2019. godine donesen Pravilnik o paušalnom oporezivanju djelatnosti iznajmljivanja i organiziranja smještaja u turizmu kojim se propisuju kriteriji po kojima će predst</w:t>
            </w:r>
            <w:bookmarkStart w:id="1" w:name="_GoBack"/>
            <w:bookmarkEnd w:id="1"/>
            <w:r w:rsidRPr="009A6AB7">
              <w:rPr>
                <w:rFonts w:ascii="Arial" w:eastAsia="Calibri" w:hAnsi="Arial" w:cs="Arial"/>
              </w:rPr>
              <w:t>avničko tijelo jedinice lokalne samouprave svojim odlukama propisati visinu paušalnog poreza na dohodak i djelatnosti iz članka 57. stavka 2. Zakona o porezu na dohodak, dok je rok za donošenje predmetne odluke 31. siječnja 2019. godine. Sjednica Gradskog vijeća Grada Dubrovnika na čijem dnevnom redu će se naći ova točka, zakazana je za 23. siječnja 2019. godine.</w:t>
            </w:r>
          </w:p>
          <w:p w:rsidR="009A6AB7" w:rsidRPr="009A6AB7" w:rsidRDefault="009A6AB7" w:rsidP="009A6AB7">
            <w:pPr>
              <w:rPr>
                <w:rFonts w:ascii="Arial" w:eastAsia="Calibri" w:hAnsi="Arial" w:cs="Arial"/>
              </w:rPr>
            </w:pPr>
          </w:p>
        </w:tc>
      </w:tr>
      <w:tr w:rsidR="009A6AB7" w:rsidRPr="009A6AB7" w:rsidTr="00136EAE">
        <w:tc>
          <w:tcPr>
            <w:tcW w:w="3288" w:type="dxa"/>
          </w:tcPr>
          <w:p w:rsidR="009A6AB7" w:rsidRPr="009A6AB7" w:rsidRDefault="009A6AB7" w:rsidP="009A6AB7">
            <w:pPr>
              <w:rPr>
                <w:rFonts w:ascii="Arial" w:hAnsi="Arial" w:cs="Arial"/>
              </w:rPr>
            </w:pPr>
            <w:r w:rsidRPr="009A6AB7">
              <w:rPr>
                <w:rFonts w:ascii="Arial" w:hAnsi="Arial" w:cs="Arial"/>
              </w:rPr>
              <w:lastRenderedPageBreak/>
              <w:t>Koji su predstavnici zainteresirane javnosti dostavili svoja očitovanja/primjedbe?</w:t>
            </w:r>
          </w:p>
        </w:tc>
        <w:tc>
          <w:tcPr>
            <w:tcW w:w="5774" w:type="dxa"/>
            <w:gridSpan w:val="2"/>
          </w:tcPr>
          <w:p w:rsidR="009A6AB7" w:rsidRPr="009A6AB7" w:rsidRDefault="009A6AB7" w:rsidP="009A6AB7">
            <w:pPr>
              <w:rPr>
                <w:rFonts w:ascii="Arial" w:hAnsi="Arial" w:cs="Arial"/>
              </w:rPr>
            </w:pPr>
            <w:r w:rsidRPr="009A6AB7">
              <w:rPr>
                <w:rFonts w:ascii="Arial" w:hAnsi="Arial" w:cs="Arial"/>
              </w:rPr>
              <w:t xml:space="preserve">Tijekom internetske javne rasprave nije bilo očitovanja odnosno primjedbi predstavnika zainteresirane javnosti. </w:t>
            </w:r>
          </w:p>
        </w:tc>
      </w:tr>
      <w:tr w:rsidR="009A6AB7" w:rsidRPr="009A6AB7" w:rsidTr="00136EAE">
        <w:tc>
          <w:tcPr>
            <w:tcW w:w="3288" w:type="dxa"/>
          </w:tcPr>
          <w:p w:rsidR="009A6AB7" w:rsidRPr="009A6AB7" w:rsidRDefault="009A6AB7" w:rsidP="009A6AB7">
            <w:pPr>
              <w:rPr>
                <w:rFonts w:ascii="Arial" w:hAnsi="Arial" w:cs="Arial"/>
              </w:rPr>
            </w:pPr>
            <w:r w:rsidRPr="009A6AB7">
              <w:rPr>
                <w:rFonts w:ascii="Arial" w:hAnsi="Arial" w:cs="Arial"/>
              </w:rPr>
              <w:t>Troškovi provedenog savjetovanja</w:t>
            </w:r>
          </w:p>
        </w:tc>
        <w:tc>
          <w:tcPr>
            <w:tcW w:w="5774" w:type="dxa"/>
            <w:gridSpan w:val="2"/>
          </w:tcPr>
          <w:p w:rsidR="009A6AB7" w:rsidRPr="009A6AB7" w:rsidRDefault="009A6AB7" w:rsidP="009A6AB7">
            <w:pPr>
              <w:rPr>
                <w:rFonts w:ascii="Arial" w:hAnsi="Arial" w:cs="Arial"/>
              </w:rPr>
            </w:pPr>
            <w:r w:rsidRPr="009A6AB7">
              <w:rPr>
                <w:rFonts w:ascii="Arial" w:hAnsi="Arial" w:cs="Arial"/>
              </w:rPr>
              <w:t>Provedba internetskog  savjetovanja nije iskazivala dodatne financijske troškove.</w:t>
            </w:r>
          </w:p>
        </w:tc>
      </w:tr>
      <w:tr w:rsidR="009A6AB7" w:rsidRPr="009A6AB7" w:rsidTr="00136EAE">
        <w:tc>
          <w:tcPr>
            <w:tcW w:w="3288" w:type="dxa"/>
          </w:tcPr>
          <w:p w:rsidR="009A6AB7" w:rsidRPr="009A6AB7" w:rsidRDefault="009A6AB7" w:rsidP="009A6AB7">
            <w:pPr>
              <w:rPr>
                <w:rFonts w:ascii="Arial" w:hAnsi="Arial" w:cs="Arial"/>
              </w:rPr>
            </w:pPr>
            <w:r w:rsidRPr="009A6AB7">
              <w:rPr>
                <w:rFonts w:ascii="Arial" w:hAnsi="Arial" w:cs="Arial"/>
              </w:rPr>
              <w:t>Tko je i kada izradio izvješće o provedenom savjetovanju?</w:t>
            </w:r>
          </w:p>
        </w:tc>
        <w:tc>
          <w:tcPr>
            <w:tcW w:w="2876" w:type="dxa"/>
          </w:tcPr>
          <w:p w:rsidR="009A6AB7" w:rsidRPr="009A6AB7" w:rsidRDefault="009A6AB7" w:rsidP="009A6AB7">
            <w:pPr>
              <w:rPr>
                <w:rFonts w:ascii="Arial" w:hAnsi="Arial" w:cs="Arial"/>
              </w:rPr>
            </w:pPr>
            <w:r w:rsidRPr="009A6AB7">
              <w:rPr>
                <w:rFonts w:ascii="Arial" w:hAnsi="Arial" w:cs="Arial"/>
              </w:rPr>
              <w:t>Ime i prezime:</w:t>
            </w:r>
          </w:p>
          <w:p w:rsidR="009A6AB7" w:rsidRPr="009A6AB7" w:rsidRDefault="009A6AB7" w:rsidP="009A6AB7">
            <w:pPr>
              <w:rPr>
                <w:rFonts w:ascii="Arial" w:hAnsi="Arial" w:cs="Arial"/>
              </w:rPr>
            </w:pPr>
            <w:r w:rsidRPr="009A6AB7">
              <w:rPr>
                <w:rFonts w:ascii="Arial" w:hAnsi="Arial" w:cs="Arial"/>
              </w:rPr>
              <w:t xml:space="preserve">Marijana </w:t>
            </w:r>
            <w:proofErr w:type="spellStart"/>
            <w:r w:rsidRPr="009A6AB7">
              <w:rPr>
                <w:rFonts w:ascii="Arial" w:hAnsi="Arial" w:cs="Arial"/>
              </w:rPr>
              <w:t>Aksić</w:t>
            </w:r>
            <w:proofErr w:type="spellEnd"/>
            <w:r w:rsidRPr="009A6AB7">
              <w:rPr>
                <w:rFonts w:ascii="Arial" w:hAnsi="Arial" w:cs="Arial"/>
              </w:rPr>
              <w:t xml:space="preserve"> </w:t>
            </w:r>
            <w:proofErr w:type="spellStart"/>
            <w:r w:rsidRPr="009A6AB7">
              <w:rPr>
                <w:rFonts w:ascii="Arial" w:hAnsi="Arial" w:cs="Arial"/>
              </w:rPr>
              <w:t>Vitković</w:t>
            </w:r>
            <w:proofErr w:type="spellEnd"/>
          </w:p>
        </w:tc>
        <w:tc>
          <w:tcPr>
            <w:tcW w:w="2898" w:type="dxa"/>
          </w:tcPr>
          <w:p w:rsidR="009A6AB7" w:rsidRPr="009A6AB7" w:rsidRDefault="009A6AB7" w:rsidP="009A6AB7">
            <w:pPr>
              <w:rPr>
                <w:rFonts w:ascii="Arial" w:hAnsi="Arial" w:cs="Arial"/>
              </w:rPr>
            </w:pPr>
            <w:r w:rsidRPr="009A6AB7">
              <w:rPr>
                <w:rFonts w:ascii="Arial" w:hAnsi="Arial" w:cs="Arial"/>
              </w:rPr>
              <w:t>Datum:</w:t>
            </w:r>
          </w:p>
          <w:p w:rsidR="009A6AB7" w:rsidRPr="009A6AB7" w:rsidRDefault="009A6AB7" w:rsidP="009A6AB7">
            <w:pPr>
              <w:ind w:left="360"/>
              <w:rPr>
                <w:rFonts w:ascii="Arial" w:hAnsi="Arial" w:cs="Arial"/>
              </w:rPr>
            </w:pPr>
            <w:r w:rsidRPr="009A6AB7">
              <w:rPr>
                <w:rFonts w:ascii="Arial" w:hAnsi="Arial" w:cs="Arial"/>
              </w:rPr>
              <w:t>21. siječnja 2019.</w:t>
            </w:r>
          </w:p>
        </w:tc>
      </w:tr>
      <w:bookmarkEnd w:id="0"/>
    </w:tbl>
    <w:p w:rsidR="009A6AB7" w:rsidRPr="009A6AB7" w:rsidRDefault="009A6AB7" w:rsidP="009A6AB7">
      <w:pPr>
        <w:rPr>
          <w:rFonts w:ascii="Arial" w:hAnsi="Arial" w:cs="Arial"/>
        </w:rPr>
      </w:pPr>
    </w:p>
    <w:sectPr w:rsidR="009A6AB7" w:rsidRPr="009A6AB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377" w:rsidRDefault="004F5377" w:rsidP="009A6AB7">
      <w:pPr>
        <w:spacing w:after="0" w:line="240" w:lineRule="auto"/>
      </w:pPr>
      <w:r>
        <w:separator/>
      </w:r>
    </w:p>
  </w:endnote>
  <w:endnote w:type="continuationSeparator" w:id="0">
    <w:p w:rsidR="004F5377" w:rsidRDefault="004F5377" w:rsidP="009A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65191"/>
      <w:docPartObj>
        <w:docPartGallery w:val="Page Numbers (Bottom of Page)"/>
        <w:docPartUnique/>
      </w:docPartObj>
    </w:sdtPr>
    <w:sdtEndPr/>
    <w:sdtContent>
      <w:p w:rsidR="009A6AB7" w:rsidRDefault="009A6AB7">
        <w:pPr>
          <w:pStyle w:val="Footer"/>
          <w:jc w:val="right"/>
        </w:pPr>
        <w:r>
          <w:fldChar w:fldCharType="begin"/>
        </w:r>
        <w:r>
          <w:instrText>PAGE   \* MERGEFORMAT</w:instrText>
        </w:r>
        <w:r>
          <w:fldChar w:fldCharType="separate"/>
        </w:r>
        <w:r>
          <w:t>2</w:t>
        </w:r>
        <w:r>
          <w:fldChar w:fldCharType="end"/>
        </w:r>
      </w:p>
    </w:sdtContent>
  </w:sdt>
  <w:p w:rsidR="009A6AB7" w:rsidRDefault="009A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377" w:rsidRDefault="004F5377" w:rsidP="009A6AB7">
      <w:pPr>
        <w:spacing w:after="0" w:line="240" w:lineRule="auto"/>
      </w:pPr>
      <w:r>
        <w:separator/>
      </w:r>
    </w:p>
  </w:footnote>
  <w:footnote w:type="continuationSeparator" w:id="0">
    <w:p w:rsidR="004F5377" w:rsidRDefault="004F5377" w:rsidP="009A6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B7"/>
    <w:rsid w:val="0001538B"/>
    <w:rsid w:val="003023FE"/>
    <w:rsid w:val="004717B5"/>
    <w:rsid w:val="004F5377"/>
    <w:rsid w:val="005B712B"/>
    <w:rsid w:val="00613244"/>
    <w:rsid w:val="00637498"/>
    <w:rsid w:val="009A6AB7"/>
    <w:rsid w:val="00A75A54"/>
    <w:rsid w:val="00AE670E"/>
    <w:rsid w:val="00EF73E4"/>
    <w:rsid w:val="00FF4D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4B5D0-5947-450A-BDFE-B387C2CC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A6AB7"/>
    <w:pPr>
      <w:spacing w:after="0" w:line="240" w:lineRule="auto"/>
    </w:pPr>
    <w:rPr>
      <w:rFonts w:eastAsia="Times New Roman"/>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A6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A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AB7"/>
  </w:style>
  <w:style w:type="paragraph" w:styleId="Footer">
    <w:name w:val="footer"/>
    <w:basedOn w:val="Normal"/>
    <w:link w:val="FooterChar"/>
    <w:uiPriority w:val="99"/>
    <w:unhideWhenUsed/>
    <w:rsid w:val="009A6A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maksic</dc:creator>
  <cp:keywords/>
  <dc:description/>
  <cp:lastModifiedBy>maksic</cp:lastModifiedBy>
  <cp:revision>2</cp:revision>
  <dcterms:created xsi:type="dcterms:W3CDTF">2019-01-21T10:47:00Z</dcterms:created>
  <dcterms:modified xsi:type="dcterms:W3CDTF">2019-01-21T12:41:00Z</dcterms:modified>
</cp:coreProperties>
</file>