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9B09D" w14:textId="77777777" w:rsidR="00035741" w:rsidRPr="00786DF1" w:rsidRDefault="00035741" w:rsidP="00035741">
      <w:pPr>
        <w:rPr>
          <w:rFonts w:cs="Arial"/>
          <w:b/>
          <w:sz w:val="22"/>
        </w:rPr>
      </w:pPr>
      <w:bookmarkStart w:id="0" w:name="_Hlk1112438"/>
      <w:r w:rsidRPr="00786DF1">
        <w:rPr>
          <w:rFonts w:cs="Arial"/>
          <w:b/>
          <w:sz w:val="22"/>
        </w:rPr>
        <w:t>GRAD DUBROVNIK</w:t>
      </w:r>
    </w:p>
    <w:p w14:paraId="2BB953F3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PRED DVOROM 1</w:t>
      </w:r>
    </w:p>
    <w:p w14:paraId="7FD64DBE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20000 DUBROVNIK</w:t>
      </w:r>
    </w:p>
    <w:p w14:paraId="5B716244" w14:textId="77777777" w:rsidR="00035741" w:rsidRPr="00786DF1" w:rsidRDefault="00035741" w:rsidP="00035741">
      <w:pPr>
        <w:rPr>
          <w:rFonts w:cs="Arial"/>
          <w:b/>
          <w:sz w:val="22"/>
        </w:rPr>
      </w:pPr>
    </w:p>
    <w:p w14:paraId="27D3A871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Žiro račun HR</w:t>
      </w:r>
      <w:r w:rsidR="0067742B" w:rsidRPr="00786DF1">
        <w:rPr>
          <w:rFonts w:cs="Arial"/>
          <w:b/>
          <w:sz w:val="22"/>
        </w:rPr>
        <w:t>35</w:t>
      </w:r>
      <w:r w:rsidRPr="00786DF1">
        <w:rPr>
          <w:rFonts w:cs="Arial"/>
          <w:b/>
          <w:sz w:val="22"/>
        </w:rPr>
        <w:t xml:space="preserve"> </w:t>
      </w:r>
      <w:r w:rsidR="00FA16DE" w:rsidRPr="00786DF1">
        <w:rPr>
          <w:rFonts w:cs="Arial"/>
          <w:b/>
          <w:sz w:val="22"/>
        </w:rPr>
        <w:t>2407000</w:t>
      </w:r>
      <w:r w:rsidRPr="00786DF1">
        <w:rPr>
          <w:rFonts w:cs="Arial"/>
          <w:b/>
          <w:sz w:val="22"/>
        </w:rPr>
        <w:t>1 809800009</w:t>
      </w:r>
    </w:p>
    <w:p w14:paraId="7DF1B371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MB</w:t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  <w:t>02583020</w:t>
      </w:r>
    </w:p>
    <w:p w14:paraId="3C7DDF53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OIB</w:t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  <w:t xml:space="preserve">     21712494719</w:t>
      </w:r>
    </w:p>
    <w:p w14:paraId="43ED54EF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Šifra djelatnosti</w:t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  <w:t xml:space="preserve">         8411</w:t>
      </w:r>
    </w:p>
    <w:p w14:paraId="02E0303E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Šifra grada</w:t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  <w:t xml:space="preserve">  98</w:t>
      </w:r>
    </w:p>
    <w:p w14:paraId="6DA75EB6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Broj RKP</w:t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  <w:t xml:space="preserve">       31858</w:t>
      </w:r>
    </w:p>
    <w:p w14:paraId="48E9620E" w14:textId="77777777" w:rsidR="00035741" w:rsidRPr="00786DF1" w:rsidRDefault="00035741" w:rsidP="00035741">
      <w:pPr>
        <w:rPr>
          <w:rFonts w:cs="Arial"/>
          <w:b/>
          <w:sz w:val="22"/>
        </w:rPr>
      </w:pPr>
    </w:p>
    <w:p w14:paraId="3C63A042" w14:textId="77777777" w:rsidR="00035741" w:rsidRPr="00786DF1" w:rsidRDefault="00035741" w:rsidP="00035741">
      <w:pPr>
        <w:rPr>
          <w:rFonts w:cs="Arial"/>
          <w:b/>
          <w:sz w:val="22"/>
        </w:rPr>
      </w:pPr>
    </w:p>
    <w:p w14:paraId="5507D067" w14:textId="77777777" w:rsidR="00035741" w:rsidRPr="00786DF1" w:rsidRDefault="00035741" w:rsidP="00035741">
      <w:pPr>
        <w:jc w:val="center"/>
        <w:rPr>
          <w:rFonts w:cs="Arial"/>
          <w:b/>
          <w:sz w:val="22"/>
        </w:rPr>
      </w:pPr>
    </w:p>
    <w:p w14:paraId="27D2E3C0" w14:textId="521E3496" w:rsidR="00035741" w:rsidRPr="00786DF1" w:rsidRDefault="00035741" w:rsidP="00035741">
      <w:pPr>
        <w:jc w:val="center"/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BILJEŠKE UZ FINANCIJSKE IZVJEŠTAJE ZA RAZDOBLJE OD 1. SIJEČNJA DO 31. PROSINCA 20</w:t>
      </w:r>
      <w:r w:rsidR="009D083B" w:rsidRPr="00786DF1">
        <w:rPr>
          <w:rFonts w:cs="Arial"/>
          <w:b/>
          <w:sz w:val="22"/>
        </w:rPr>
        <w:t>20</w:t>
      </w:r>
      <w:r w:rsidRPr="00786DF1">
        <w:rPr>
          <w:rFonts w:cs="Arial"/>
          <w:b/>
          <w:sz w:val="22"/>
        </w:rPr>
        <w:t>. GODINE</w:t>
      </w:r>
    </w:p>
    <w:bookmarkEnd w:id="0"/>
    <w:p w14:paraId="6077F88B" w14:textId="77777777" w:rsidR="00035741" w:rsidRPr="00786DF1" w:rsidRDefault="00035741" w:rsidP="00035741">
      <w:pPr>
        <w:jc w:val="center"/>
        <w:rPr>
          <w:rFonts w:cs="Arial"/>
          <w:b/>
          <w:sz w:val="22"/>
        </w:rPr>
      </w:pPr>
    </w:p>
    <w:p w14:paraId="7586C462" w14:textId="77777777" w:rsidR="00035741" w:rsidRPr="00786DF1" w:rsidRDefault="00035741" w:rsidP="00035741">
      <w:pPr>
        <w:jc w:val="center"/>
        <w:rPr>
          <w:rFonts w:cs="Arial"/>
          <w:b/>
          <w:sz w:val="22"/>
        </w:rPr>
      </w:pPr>
    </w:p>
    <w:p w14:paraId="4E28E647" w14:textId="77777777" w:rsidR="00035741" w:rsidRPr="00786DF1" w:rsidRDefault="00035741" w:rsidP="00035741">
      <w:pPr>
        <w:pStyle w:val="ListParagraph"/>
        <w:numPr>
          <w:ilvl w:val="0"/>
          <w:numId w:val="1"/>
        </w:numPr>
        <w:jc w:val="both"/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BILANCA</w:t>
      </w:r>
    </w:p>
    <w:p w14:paraId="1217033E" w14:textId="77777777" w:rsidR="00561DCD" w:rsidRPr="00786DF1" w:rsidRDefault="00561DCD" w:rsidP="00561DCD">
      <w:pPr>
        <w:jc w:val="both"/>
        <w:rPr>
          <w:rFonts w:cs="Arial"/>
          <w:b/>
          <w:sz w:val="22"/>
        </w:rPr>
      </w:pPr>
    </w:p>
    <w:p w14:paraId="17E42603" w14:textId="77777777" w:rsidR="000B6C98" w:rsidRPr="00786DF1" w:rsidRDefault="000B6C98" w:rsidP="00561DCD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IMOVINA</w:t>
      </w:r>
    </w:p>
    <w:p w14:paraId="2692F551" w14:textId="77777777" w:rsidR="0043043D" w:rsidRPr="00786DF1" w:rsidRDefault="0043043D" w:rsidP="00561DCD">
      <w:pPr>
        <w:jc w:val="both"/>
        <w:rPr>
          <w:rFonts w:cs="Arial"/>
          <w:sz w:val="22"/>
        </w:rPr>
      </w:pPr>
    </w:p>
    <w:p w14:paraId="6ED9EF0D" w14:textId="1C0D2EB8" w:rsidR="00561DCD" w:rsidRPr="00786DF1" w:rsidRDefault="00561DCD" w:rsidP="00561DCD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Stanje imovine na koncu 20</w:t>
      </w:r>
      <w:r w:rsidR="004B0A64" w:rsidRPr="00786DF1">
        <w:rPr>
          <w:rFonts w:cs="Arial"/>
          <w:sz w:val="22"/>
        </w:rPr>
        <w:t>20</w:t>
      </w:r>
      <w:r w:rsidRPr="00786DF1">
        <w:rPr>
          <w:rFonts w:cs="Arial"/>
          <w:sz w:val="22"/>
        </w:rPr>
        <w:t xml:space="preserve">. </w:t>
      </w:r>
      <w:r w:rsidR="003C34F5" w:rsidRPr="00786DF1">
        <w:rPr>
          <w:rFonts w:cs="Arial"/>
          <w:sz w:val="22"/>
        </w:rPr>
        <w:t>b</w:t>
      </w:r>
      <w:r w:rsidRPr="00786DF1">
        <w:rPr>
          <w:rFonts w:cs="Arial"/>
          <w:sz w:val="22"/>
        </w:rPr>
        <w:t xml:space="preserve">ilježi </w:t>
      </w:r>
      <w:r w:rsidR="005576A8" w:rsidRPr="00786DF1">
        <w:rPr>
          <w:rFonts w:cs="Arial"/>
          <w:sz w:val="22"/>
        </w:rPr>
        <w:t>povećanje</w:t>
      </w:r>
      <w:r w:rsidRPr="00786DF1">
        <w:rPr>
          <w:rFonts w:cs="Arial"/>
          <w:sz w:val="22"/>
        </w:rPr>
        <w:t xml:space="preserve"> u odnosu na prošlu godinu sa indeksom </w:t>
      </w:r>
      <w:r w:rsidR="00622627" w:rsidRPr="00786DF1">
        <w:rPr>
          <w:rFonts w:cs="Arial"/>
          <w:sz w:val="22"/>
        </w:rPr>
        <w:t>99,4</w:t>
      </w:r>
      <w:r w:rsidR="005576A8" w:rsidRPr="00786DF1">
        <w:rPr>
          <w:rFonts w:cs="Arial"/>
          <w:sz w:val="22"/>
        </w:rPr>
        <w:t xml:space="preserve"> </w:t>
      </w:r>
      <w:r w:rsidRPr="00786DF1">
        <w:rPr>
          <w:rFonts w:cs="Arial"/>
          <w:sz w:val="22"/>
        </w:rPr>
        <w:t xml:space="preserve"> na AOP-u</w:t>
      </w:r>
      <w:r w:rsidR="005576A8" w:rsidRPr="00786DF1">
        <w:rPr>
          <w:rFonts w:cs="Arial"/>
          <w:sz w:val="22"/>
        </w:rPr>
        <w:t xml:space="preserve"> </w:t>
      </w:r>
      <w:r w:rsidRPr="00786DF1">
        <w:rPr>
          <w:rFonts w:cs="Arial"/>
          <w:sz w:val="22"/>
        </w:rPr>
        <w:t xml:space="preserve">001. </w:t>
      </w:r>
    </w:p>
    <w:p w14:paraId="39B4C2A1" w14:textId="1A33FAEB" w:rsidR="000B6C98" w:rsidRPr="00786DF1" w:rsidRDefault="000B6C98" w:rsidP="00561DCD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Ukupna dugotrajna nefinancijska imovina bilježi neznatno </w:t>
      </w:r>
      <w:r w:rsidR="00622627" w:rsidRPr="00786DF1">
        <w:rPr>
          <w:rFonts w:cs="Arial"/>
          <w:sz w:val="22"/>
        </w:rPr>
        <w:t>smanjenje</w:t>
      </w:r>
      <w:r w:rsidR="005576A8" w:rsidRPr="00786DF1">
        <w:rPr>
          <w:rFonts w:cs="Arial"/>
          <w:sz w:val="22"/>
        </w:rPr>
        <w:t xml:space="preserve"> </w:t>
      </w:r>
      <w:r w:rsidRPr="00786DF1">
        <w:rPr>
          <w:rFonts w:cs="Arial"/>
          <w:sz w:val="22"/>
        </w:rPr>
        <w:t xml:space="preserve">sa indeksom </w:t>
      </w:r>
      <w:r w:rsidR="00622627" w:rsidRPr="00786DF1">
        <w:rPr>
          <w:rFonts w:cs="Arial"/>
          <w:sz w:val="22"/>
        </w:rPr>
        <w:t>99.9</w:t>
      </w:r>
      <w:r w:rsidR="005576A8" w:rsidRPr="00786DF1">
        <w:rPr>
          <w:rFonts w:cs="Arial"/>
          <w:sz w:val="22"/>
        </w:rPr>
        <w:t xml:space="preserve"> </w:t>
      </w:r>
      <w:r w:rsidRPr="00786DF1">
        <w:rPr>
          <w:rFonts w:cs="Arial"/>
          <w:sz w:val="22"/>
        </w:rPr>
        <w:t xml:space="preserve"> te nema značajnijih odstupanja u odnosu na prošlu godinu</w:t>
      </w:r>
      <w:r w:rsidR="0068367E" w:rsidRPr="00786DF1">
        <w:rPr>
          <w:rFonts w:cs="Arial"/>
          <w:sz w:val="22"/>
        </w:rPr>
        <w:t xml:space="preserve"> </w:t>
      </w:r>
      <w:r w:rsidR="00622627" w:rsidRPr="00786DF1">
        <w:rPr>
          <w:rFonts w:cs="Arial"/>
          <w:sz w:val="22"/>
        </w:rPr>
        <w:t>a jedino smanjenje se odnosi na prijenos imovine Osnovnoj školi Montovjerni po završetku projekta.</w:t>
      </w:r>
    </w:p>
    <w:p w14:paraId="4CD5E233" w14:textId="67E993A7" w:rsidR="005952B0" w:rsidRPr="00786DF1" w:rsidRDefault="00561DCD" w:rsidP="0068367E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Financijska imovina bilježi </w:t>
      </w:r>
      <w:r w:rsidR="00622627" w:rsidRPr="00786DF1">
        <w:rPr>
          <w:rFonts w:cs="Arial"/>
          <w:sz w:val="22"/>
        </w:rPr>
        <w:t>smanjenje</w:t>
      </w:r>
      <w:r w:rsidRPr="00786DF1">
        <w:rPr>
          <w:rFonts w:cs="Arial"/>
          <w:sz w:val="22"/>
        </w:rPr>
        <w:t xml:space="preserve"> sa indeksom </w:t>
      </w:r>
      <w:r w:rsidR="00622627" w:rsidRPr="00786DF1">
        <w:rPr>
          <w:rFonts w:cs="Arial"/>
          <w:sz w:val="22"/>
        </w:rPr>
        <w:t>94,8</w:t>
      </w:r>
      <w:r w:rsidRPr="00786DF1">
        <w:rPr>
          <w:rFonts w:cs="Arial"/>
          <w:sz w:val="22"/>
        </w:rPr>
        <w:t xml:space="preserve"> na AOP-u 063</w:t>
      </w:r>
      <w:r w:rsidR="005576A8" w:rsidRPr="00786DF1">
        <w:rPr>
          <w:rFonts w:cs="Arial"/>
          <w:sz w:val="22"/>
        </w:rPr>
        <w:t xml:space="preserve"> </w:t>
      </w:r>
      <w:r w:rsidRPr="00786DF1">
        <w:rPr>
          <w:rFonts w:cs="Arial"/>
          <w:sz w:val="22"/>
        </w:rPr>
        <w:t xml:space="preserve">što je evidentirano na </w:t>
      </w:r>
      <w:r w:rsidR="00622627" w:rsidRPr="00786DF1">
        <w:rPr>
          <w:rFonts w:cs="Arial"/>
          <w:sz w:val="22"/>
        </w:rPr>
        <w:t>manjem stanju novčanih sredstava na računu Grada uslijed krize uzrokovane korona virusom.</w:t>
      </w:r>
      <w:r w:rsidR="005576A8" w:rsidRPr="00786DF1">
        <w:rPr>
          <w:rFonts w:cs="Arial"/>
          <w:sz w:val="22"/>
        </w:rPr>
        <w:t xml:space="preserve"> </w:t>
      </w:r>
      <w:r w:rsidR="0068367E" w:rsidRPr="00786DF1">
        <w:rPr>
          <w:rFonts w:cs="Arial"/>
          <w:sz w:val="22"/>
        </w:rPr>
        <w:t xml:space="preserve">Potraživanja od prodaje nefinancijske imovine bilježe smanjenje te se odnosi </w:t>
      </w:r>
      <w:r w:rsidR="00622627" w:rsidRPr="00786DF1">
        <w:rPr>
          <w:rFonts w:cs="Arial"/>
          <w:sz w:val="22"/>
        </w:rPr>
        <w:t>na otkup stanova koje vodi Domouprava, kao i za povrate</w:t>
      </w:r>
      <w:r w:rsidR="008D1D24">
        <w:rPr>
          <w:rFonts w:cs="Arial"/>
          <w:sz w:val="22"/>
        </w:rPr>
        <w:t xml:space="preserve"> sredstva građana za</w:t>
      </w:r>
      <w:r w:rsidR="00622627" w:rsidRPr="00786DF1">
        <w:rPr>
          <w:rFonts w:cs="Arial"/>
          <w:sz w:val="22"/>
        </w:rPr>
        <w:t xml:space="preserve"> stanov</w:t>
      </w:r>
      <w:r w:rsidR="008D1D24">
        <w:rPr>
          <w:rFonts w:cs="Arial"/>
          <w:sz w:val="22"/>
        </w:rPr>
        <w:t>e</w:t>
      </w:r>
      <w:r w:rsidR="00622627" w:rsidRPr="00786DF1">
        <w:rPr>
          <w:rFonts w:cs="Arial"/>
          <w:sz w:val="22"/>
        </w:rPr>
        <w:t xml:space="preserve"> koje za nas vodi Agencija Za POS i APN.</w:t>
      </w:r>
    </w:p>
    <w:p w14:paraId="25A8AE38" w14:textId="070C6C25" w:rsidR="0068367E" w:rsidRPr="00786DF1" w:rsidRDefault="0068367E" w:rsidP="0068367E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U 20</w:t>
      </w:r>
      <w:r w:rsidR="00622627" w:rsidRPr="00786DF1">
        <w:rPr>
          <w:rFonts w:cs="Arial"/>
          <w:sz w:val="22"/>
        </w:rPr>
        <w:t>20</w:t>
      </w:r>
      <w:r w:rsidRPr="00786DF1">
        <w:rPr>
          <w:rFonts w:cs="Arial"/>
          <w:sz w:val="22"/>
        </w:rPr>
        <w:t>. godini je sukladno pravilniku o proračunskom računovodstvu proveden ispravak vrijednosti za potraživanja starija od 3 godine u 100%</w:t>
      </w:r>
      <w:r w:rsidR="00901AFA" w:rsidRPr="00786DF1">
        <w:rPr>
          <w:rFonts w:cs="Arial"/>
          <w:sz w:val="22"/>
        </w:rPr>
        <w:t>-</w:t>
      </w:r>
      <w:r w:rsidRPr="00786DF1">
        <w:rPr>
          <w:rFonts w:cs="Arial"/>
          <w:sz w:val="22"/>
        </w:rPr>
        <w:t>tnom iznosu za potraživanja za prihode od poslovanja, potraživanja od prodaje nefinancijske imovine te za potraživanja z</w:t>
      </w:r>
      <w:r w:rsidR="00901AFA" w:rsidRPr="00786DF1">
        <w:rPr>
          <w:rFonts w:cs="Arial"/>
          <w:sz w:val="22"/>
        </w:rPr>
        <w:t>a</w:t>
      </w:r>
      <w:r w:rsidRPr="00786DF1">
        <w:rPr>
          <w:rFonts w:cs="Arial"/>
          <w:sz w:val="22"/>
        </w:rPr>
        <w:t xml:space="preserve"> dane zajmove</w:t>
      </w:r>
    </w:p>
    <w:p w14:paraId="2588A436" w14:textId="77777777" w:rsidR="0068367E" w:rsidRPr="00786DF1" w:rsidRDefault="0068367E" w:rsidP="0068367E">
      <w:pPr>
        <w:jc w:val="both"/>
        <w:rPr>
          <w:rFonts w:cs="Arial"/>
          <w:sz w:val="22"/>
          <w:highlight w:val="yellow"/>
        </w:rPr>
      </w:pPr>
    </w:p>
    <w:p w14:paraId="44538C3A" w14:textId="77777777" w:rsidR="000B6C98" w:rsidRPr="00786DF1" w:rsidRDefault="000B6C98" w:rsidP="00561DCD">
      <w:pPr>
        <w:jc w:val="both"/>
        <w:rPr>
          <w:rFonts w:cs="Arial"/>
          <w:sz w:val="22"/>
          <w:u w:val="single"/>
        </w:rPr>
      </w:pPr>
      <w:r w:rsidRPr="00786DF1">
        <w:rPr>
          <w:rFonts w:cs="Arial"/>
          <w:sz w:val="22"/>
          <w:u w:val="single"/>
        </w:rPr>
        <w:t>OBVEZE</w:t>
      </w:r>
    </w:p>
    <w:p w14:paraId="543774C5" w14:textId="77777777" w:rsidR="0043043D" w:rsidRPr="00786DF1" w:rsidRDefault="0043043D" w:rsidP="00561DCD">
      <w:pPr>
        <w:jc w:val="both"/>
        <w:rPr>
          <w:rFonts w:cs="Arial"/>
          <w:sz w:val="22"/>
        </w:rPr>
      </w:pPr>
    </w:p>
    <w:p w14:paraId="6E879263" w14:textId="520E3133" w:rsidR="000B6C98" w:rsidRPr="00786DF1" w:rsidRDefault="000B6C98" w:rsidP="00561DCD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Ukupne obveze Grada Dubrovnika na AOP-u 16</w:t>
      </w:r>
      <w:r w:rsidR="00622627" w:rsidRPr="00786DF1">
        <w:rPr>
          <w:rFonts w:cs="Arial"/>
          <w:sz w:val="22"/>
        </w:rPr>
        <w:t>9</w:t>
      </w:r>
      <w:r w:rsidRPr="00786DF1">
        <w:rPr>
          <w:rFonts w:cs="Arial"/>
          <w:sz w:val="22"/>
        </w:rPr>
        <w:t xml:space="preserve"> bilježe </w:t>
      </w:r>
      <w:r w:rsidR="005576A8" w:rsidRPr="00786DF1">
        <w:rPr>
          <w:rFonts w:cs="Arial"/>
          <w:sz w:val="22"/>
        </w:rPr>
        <w:t>povećanje</w:t>
      </w:r>
      <w:r w:rsidRPr="00786DF1">
        <w:rPr>
          <w:rFonts w:cs="Arial"/>
          <w:sz w:val="22"/>
        </w:rPr>
        <w:t xml:space="preserve"> u odnosu na prošlu godinu sa indeksom </w:t>
      </w:r>
      <w:r w:rsidR="00C93AAE" w:rsidRPr="00786DF1">
        <w:rPr>
          <w:rFonts w:cs="Arial"/>
          <w:sz w:val="22"/>
        </w:rPr>
        <w:t>1</w:t>
      </w:r>
      <w:r w:rsidR="00622627" w:rsidRPr="00786DF1">
        <w:rPr>
          <w:rFonts w:cs="Arial"/>
          <w:sz w:val="22"/>
        </w:rPr>
        <w:t>66,4</w:t>
      </w:r>
      <w:r w:rsidRPr="00786DF1">
        <w:rPr>
          <w:rFonts w:cs="Arial"/>
          <w:sz w:val="22"/>
        </w:rPr>
        <w:t>.</w:t>
      </w:r>
    </w:p>
    <w:p w14:paraId="6207E496" w14:textId="094A6B7E" w:rsidR="000B6C98" w:rsidRPr="00786DF1" w:rsidRDefault="000B6C98" w:rsidP="00561DCD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Obveze za rashode poslovanja bilježe </w:t>
      </w:r>
      <w:r w:rsidR="00C93AAE" w:rsidRPr="00786DF1">
        <w:rPr>
          <w:rFonts w:cs="Arial"/>
          <w:sz w:val="22"/>
        </w:rPr>
        <w:t xml:space="preserve">smanjenje </w:t>
      </w:r>
      <w:r w:rsidRPr="00786DF1">
        <w:rPr>
          <w:rFonts w:cs="Arial"/>
          <w:sz w:val="22"/>
        </w:rPr>
        <w:t xml:space="preserve"> sa indeksom </w:t>
      </w:r>
      <w:r w:rsidR="00651DCD" w:rsidRPr="00786DF1">
        <w:rPr>
          <w:rFonts w:cs="Arial"/>
          <w:sz w:val="22"/>
        </w:rPr>
        <w:t>69,3</w:t>
      </w:r>
      <w:r w:rsidRPr="00786DF1">
        <w:rPr>
          <w:rFonts w:cs="Arial"/>
          <w:sz w:val="22"/>
        </w:rPr>
        <w:t xml:space="preserve"> na AOP-u 1</w:t>
      </w:r>
      <w:r w:rsidR="00651DCD" w:rsidRPr="00786DF1">
        <w:rPr>
          <w:rFonts w:cs="Arial"/>
          <w:sz w:val="22"/>
        </w:rPr>
        <w:t>70</w:t>
      </w:r>
      <w:r w:rsidR="00901AFA" w:rsidRPr="00786DF1">
        <w:rPr>
          <w:rFonts w:cs="Arial"/>
          <w:sz w:val="22"/>
        </w:rPr>
        <w:t>,</w:t>
      </w:r>
      <w:r w:rsidRPr="00786DF1">
        <w:rPr>
          <w:rFonts w:cs="Arial"/>
          <w:sz w:val="22"/>
        </w:rPr>
        <w:t xml:space="preserve"> a odnose se na </w:t>
      </w:r>
      <w:r w:rsidR="00651DCD" w:rsidRPr="00786DF1">
        <w:rPr>
          <w:rFonts w:cs="Arial"/>
          <w:sz w:val="22"/>
        </w:rPr>
        <w:t xml:space="preserve">smanjenje </w:t>
      </w:r>
      <w:r w:rsidR="008D1D24">
        <w:rPr>
          <w:rFonts w:cs="Arial"/>
          <w:sz w:val="22"/>
        </w:rPr>
        <w:t xml:space="preserve">preuzetih </w:t>
      </w:r>
      <w:r w:rsidR="00651DCD" w:rsidRPr="00786DF1">
        <w:rPr>
          <w:rFonts w:cs="Arial"/>
          <w:sz w:val="22"/>
        </w:rPr>
        <w:t>obveza poslovanja uslijed krize.</w:t>
      </w:r>
    </w:p>
    <w:p w14:paraId="2B371B76" w14:textId="210E5080" w:rsidR="004B0A64" w:rsidRPr="00786DF1" w:rsidRDefault="000B6C98" w:rsidP="00561DCD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Obveze za nabavu nefinancijske imovine su evidentirane sa </w:t>
      </w:r>
      <w:r w:rsidR="00786DF1" w:rsidRPr="00786DF1">
        <w:rPr>
          <w:rFonts w:cs="Arial"/>
          <w:sz w:val="22"/>
        </w:rPr>
        <w:t>smanjenim</w:t>
      </w:r>
      <w:r w:rsidRPr="00786DF1">
        <w:rPr>
          <w:rFonts w:cs="Arial"/>
          <w:sz w:val="22"/>
        </w:rPr>
        <w:t xml:space="preserve"> indeksom  na AOP-u</w:t>
      </w:r>
      <w:r w:rsidR="00786DF1" w:rsidRPr="00786DF1">
        <w:rPr>
          <w:rFonts w:cs="Arial"/>
          <w:sz w:val="22"/>
        </w:rPr>
        <w:t xml:space="preserve"> 181 sa indeksom 17,7</w:t>
      </w:r>
      <w:r w:rsidR="00C93AAE" w:rsidRPr="00786DF1">
        <w:rPr>
          <w:rFonts w:cs="Arial"/>
          <w:sz w:val="22"/>
        </w:rPr>
        <w:t xml:space="preserve"> zbog </w:t>
      </w:r>
      <w:r w:rsidR="00786DF1" w:rsidRPr="00786DF1">
        <w:rPr>
          <w:rFonts w:cs="Arial"/>
          <w:sz w:val="22"/>
        </w:rPr>
        <w:t>smanjenih investicija</w:t>
      </w:r>
      <w:r w:rsidR="005576A8" w:rsidRPr="00786DF1">
        <w:rPr>
          <w:rFonts w:cs="Arial"/>
          <w:sz w:val="22"/>
        </w:rPr>
        <w:t xml:space="preserve"> (</w:t>
      </w:r>
      <w:r w:rsidR="00786DF1" w:rsidRPr="00786DF1">
        <w:rPr>
          <w:rFonts w:cs="Arial"/>
          <w:sz w:val="22"/>
        </w:rPr>
        <w:t>nisu se</w:t>
      </w:r>
      <w:r w:rsidR="008D1D24">
        <w:rPr>
          <w:rFonts w:cs="Arial"/>
          <w:sz w:val="22"/>
        </w:rPr>
        <w:t>,</w:t>
      </w:r>
      <w:r w:rsidR="00786DF1" w:rsidRPr="00786DF1">
        <w:rPr>
          <w:rFonts w:cs="Arial"/>
          <w:sz w:val="22"/>
        </w:rPr>
        <w:t xml:space="preserve"> uslijed krize započinjale nove investicije već su samo završavane već započete</w:t>
      </w:r>
      <w:r w:rsidR="005576A8" w:rsidRPr="00786DF1">
        <w:rPr>
          <w:rFonts w:cs="Arial"/>
          <w:sz w:val="22"/>
        </w:rPr>
        <w:t>)</w:t>
      </w:r>
      <w:r w:rsidR="00786DF1" w:rsidRPr="00786DF1">
        <w:rPr>
          <w:rFonts w:cs="Arial"/>
          <w:sz w:val="22"/>
        </w:rPr>
        <w:t>.</w:t>
      </w:r>
      <w:r w:rsidRPr="00786DF1">
        <w:rPr>
          <w:rFonts w:cs="Arial"/>
          <w:sz w:val="22"/>
        </w:rPr>
        <w:t xml:space="preserve"> </w:t>
      </w:r>
      <w:r w:rsidR="00786DF1" w:rsidRPr="00786DF1">
        <w:rPr>
          <w:rFonts w:cs="Arial"/>
          <w:sz w:val="22"/>
        </w:rPr>
        <w:t>O</w:t>
      </w:r>
      <w:r w:rsidRPr="00786DF1">
        <w:rPr>
          <w:rFonts w:cs="Arial"/>
          <w:sz w:val="22"/>
        </w:rPr>
        <w:t>bveze za kredite i zajmove na AOP-u 19</w:t>
      </w:r>
      <w:r w:rsidR="00786DF1" w:rsidRPr="00786DF1">
        <w:rPr>
          <w:rFonts w:cs="Arial"/>
          <w:sz w:val="22"/>
        </w:rPr>
        <w:t>8</w:t>
      </w:r>
      <w:r w:rsidR="005576A8" w:rsidRPr="00786DF1">
        <w:rPr>
          <w:rFonts w:cs="Arial"/>
          <w:sz w:val="22"/>
        </w:rPr>
        <w:t xml:space="preserve"> </w:t>
      </w:r>
      <w:r w:rsidR="00786DF1" w:rsidRPr="00786DF1">
        <w:rPr>
          <w:rFonts w:cs="Arial"/>
          <w:sz w:val="22"/>
        </w:rPr>
        <w:t>su povećane zbog novih zaduženja Grada u 2020. godini</w:t>
      </w:r>
      <w:r w:rsidR="004B0A64" w:rsidRPr="00786DF1">
        <w:rPr>
          <w:rFonts w:cs="Arial"/>
          <w:sz w:val="22"/>
        </w:rPr>
        <w:t>. U 2020. godini grad se dugoročno zadužio za investicije u infrastrukturu kod Zagrebačke banke</w:t>
      </w:r>
      <w:r w:rsidR="00786DF1" w:rsidRPr="00786DF1">
        <w:rPr>
          <w:rFonts w:cs="Arial"/>
          <w:sz w:val="22"/>
        </w:rPr>
        <w:t>. T</w:t>
      </w:r>
      <w:r w:rsidR="004B0A64" w:rsidRPr="00786DF1">
        <w:rPr>
          <w:rFonts w:cs="Arial"/>
          <w:sz w:val="22"/>
        </w:rPr>
        <w:t xml:space="preserve">akođer su u tijeku </w:t>
      </w:r>
      <w:r w:rsidR="004B0A64" w:rsidRPr="00786DF1">
        <w:rPr>
          <w:rFonts w:cs="Arial"/>
          <w:sz w:val="22"/>
        </w:rPr>
        <w:lastRenderedPageBreak/>
        <w:t>godine povećane obveze za kratkoročne kredite dobivene od Državnog proračuna, kao i za be</w:t>
      </w:r>
      <w:r w:rsidR="00786DF1" w:rsidRPr="00786DF1">
        <w:rPr>
          <w:rFonts w:cs="Arial"/>
          <w:sz w:val="22"/>
        </w:rPr>
        <w:t>s</w:t>
      </w:r>
      <w:r w:rsidR="004B0A64" w:rsidRPr="00786DF1">
        <w:rPr>
          <w:rFonts w:cs="Arial"/>
          <w:sz w:val="22"/>
        </w:rPr>
        <w:t>kamatni dugoročni kredit zbog pada prihoda.</w:t>
      </w:r>
    </w:p>
    <w:p w14:paraId="1FD874EE" w14:textId="2B005C0B" w:rsidR="000B6C98" w:rsidRPr="00786DF1" w:rsidRDefault="000B6C98" w:rsidP="00561DCD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Vlastiti izvori na AOP-u 22</w:t>
      </w:r>
      <w:r w:rsidR="00786DF1" w:rsidRPr="00786DF1">
        <w:rPr>
          <w:rFonts w:cs="Arial"/>
          <w:sz w:val="22"/>
        </w:rPr>
        <w:t>9</w:t>
      </w:r>
      <w:r w:rsidRPr="00786DF1">
        <w:rPr>
          <w:rFonts w:cs="Arial"/>
          <w:sz w:val="22"/>
        </w:rPr>
        <w:t xml:space="preserve"> bilježe </w:t>
      </w:r>
      <w:r w:rsidR="00786DF1" w:rsidRPr="00786DF1">
        <w:rPr>
          <w:rFonts w:cs="Arial"/>
          <w:sz w:val="22"/>
        </w:rPr>
        <w:t>nešto manju</w:t>
      </w:r>
      <w:r w:rsidRPr="00786DF1">
        <w:rPr>
          <w:rFonts w:cs="Arial"/>
          <w:sz w:val="22"/>
        </w:rPr>
        <w:t xml:space="preserve"> vrijednost </w:t>
      </w:r>
      <w:r w:rsidR="00786DF1" w:rsidRPr="00786DF1">
        <w:rPr>
          <w:rFonts w:cs="Arial"/>
          <w:sz w:val="22"/>
        </w:rPr>
        <w:t>u odnosu na prošlu godinu sa indeksom od 97,1</w:t>
      </w:r>
    </w:p>
    <w:p w14:paraId="232DFBB5" w14:textId="361E19AF" w:rsidR="00963AFE" w:rsidRPr="00786DF1" w:rsidRDefault="00963AFE" w:rsidP="00561DCD">
      <w:pPr>
        <w:jc w:val="both"/>
        <w:rPr>
          <w:rFonts w:cs="Arial"/>
          <w:sz w:val="22"/>
          <w:u w:val="single"/>
        </w:rPr>
      </w:pPr>
    </w:p>
    <w:p w14:paraId="7C1E7FE0" w14:textId="77777777" w:rsidR="005952B0" w:rsidRPr="00786DF1" w:rsidRDefault="005952B0" w:rsidP="000E15C5">
      <w:pPr>
        <w:jc w:val="both"/>
        <w:rPr>
          <w:rFonts w:cs="Arial"/>
          <w:sz w:val="22"/>
        </w:rPr>
      </w:pPr>
    </w:p>
    <w:p w14:paraId="489A1FCC" w14:textId="77777777" w:rsidR="00FE5C16" w:rsidRPr="00786DF1" w:rsidRDefault="00FE5C16" w:rsidP="00035741">
      <w:pPr>
        <w:pStyle w:val="ListParagraph"/>
        <w:numPr>
          <w:ilvl w:val="0"/>
          <w:numId w:val="1"/>
        </w:numPr>
        <w:jc w:val="both"/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IZVJEŠTAJ O PRIHODIMA I RASHODIMA, PRIMICIMA I IZDACIMA</w:t>
      </w:r>
    </w:p>
    <w:p w14:paraId="5BC2A1AF" w14:textId="77777777" w:rsidR="00AD59D7" w:rsidRPr="00786DF1" w:rsidRDefault="00AD59D7" w:rsidP="00FE5C16">
      <w:pPr>
        <w:jc w:val="both"/>
        <w:rPr>
          <w:rFonts w:cs="Arial"/>
          <w:b/>
          <w:sz w:val="22"/>
        </w:rPr>
      </w:pPr>
    </w:p>
    <w:p w14:paraId="54C1A8D7" w14:textId="653D737D" w:rsidR="0043043D" w:rsidRPr="00786DF1" w:rsidRDefault="0043043D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PRIHODI</w:t>
      </w:r>
      <w:r w:rsidR="00A50E06" w:rsidRPr="00786DF1">
        <w:rPr>
          <w:rFonts w:cs="Arial"/>
          <w:sz w:val="22"/>
        </w:rPr>
        <w:t xml:space="preserve"> I PRIMICI</w:t>
      </w:r>
    </w:p>
    <w:p w14:paraId="24771A05" w14:textId="77777777" w:rsidR="0043043D" w:rsidRPr="00786DF1" w:rsidRDefault="0043043D" w:rsidP="00FE5C16">
      <w:pPr>
        <w:jc w:val="both"/>
        <w:rPr>
          <w:rFonts w:cs="Arial"/>
          <w:b/>
          <w:sz w:val="22"/>
        </w:rPr>
      </w:pPr>
    </w:p>
    <w:p w14:paraId="1C404D03" w14:textId="0868CD53" w:rsidR="00FE1341" w:rsidRPr="00786DF1" w:rsidRDefault="00237208" w:rsidP="00FE1341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Prihodi poslovanja Grada Dubrovnika su u 2020. godini zabilježili smanjenje sa indeksom 51,3 na AOP-u 001. Navedeno s</w:t>
      </w:r>
      <w:r w:rsidR="00FE1341" w:rsidRPr="00786DF1">
        <w:rPr>
          <w:rFonts w:cs="Arial"/>
          <w:sz w:val="22"/>
        </w:rPr>
        <w:t>manjenje je direktno povezano sa pandemijom bolesti COVID-19 uzrokovane virusom SARS-CoV-2 (korona virusa) na cjelokupno  gospodarstvo ne samo Grada Dubrovnika i Republike Hrvatske, već cijelog svijeta. Prihodi Gr</w:t>
      </w:r>
      <w:r w:rsidR="007C5B27" w:rsidRPr="00786DF1">
        <w:rPr>
          <w:rFonts w:cs="Arial"/>
          <w:sz w:val="22"/>
        </w:rPr>
        <w:t>a</w:t>
      </w:r>
      <w:r w:rsidR="00FE1341" w:rsidRPr="00786DF1">
        <w:rPr>
          <w:rFonts w:cs="Arial"/>
          <w:sz w:val="22"/>
        </w:rPr>
        <w:t>da Dubrovnika su u najvećoj mjeri povezani uz turizam te je zbog toga Grad i pretrpio najveće smanjenje prihoda poslovanja. Jedini prihodi poslovanja koji su zadržali razinu prethodne godine su:</w:t>
      </w:r>
    </w:p>
    <w:p w14:paraId="7D63D2F6" w14:textId="6AD9DE47" w:rsidR="00FE1341" w:rsidRPr="00786DF1" w:rsidRDefault="00FE1341" w:rsidP="00FE1341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AOP-018 porez na imovinu, koji se odnosi na prodaju stanova na području Grada i evidntira kroz prihod od poreza na nekretnine</w:t>
      </w:r>
    </w:p>
    <w:p w14:paraId="43313192" w14:textId="07FD74FD" w:rsidR="00FE1341" w:rsidRPr="00786DF1" w:rsidRDefault="00FE1341" w:rsidP="00FE1341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AOP-055 </w:t>
      </w:r>
      <w:r w:rsidR="001E27CD" w:rsidRPr="00786DF1">
        <w:rPr>
          <w:rFonts w:cs="Arial"/>
          <w:sz w:val="22"/>
        </w:rPr>
        <w:t>Tekuće pomoći proračunu iz drugih proračuna, koji se odnosi na kompenzacijske mjere državnog proračuna</w:t>
      </w:r>
    </w:p>
    <w:p w14:paraId="217DD28C" w14:textId="758DE59A" w:rsidR="001E27CD" w:rsidRPr="00786DF1" w:rsidRDefault="001E27CD" w:rsidP="00FE1341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AOP-080 prihod od dividendi, odnosi se na isplatu cjelokupne dividende Luke Dubrovnik</w:t>
      </w:r>
    </w:p>
    <w:p w14:paraId="5FAE3350" w14:textId="06E86DEF" w:rsidR="001E27CD" w:rsidRPr="00786DF1" w:rsidRDefault="001E27CD" w:rsidP="00FE1341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AOP-120 komunalni doprinosi, koji se odnosi na povećanu izgradnju stambenih objekata</w:t>
      </w:r>
    </w:p>
    <w:p w14:paraId="2CDCB14B" w14:textId="23DD04CA" w:rsidR="00B714A5" w:rsidRPr="00786DF1" w:rsidRDefault="001E27CD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Prihodi od prodaje nefinancijske imovine također bilježe snatno smanjenje na AOP-u 289 uslijed izostanka prodaje i prihoda nefinancijske imovine.</w:t>
      </w:r>
    </w:p>
    <w:p w14:paraId="710D8FC6" w14:textId="2290473C" w:rsidR="001E27CD" w:rsidRPr="00786DF1" w:rsidRDefault="001E27CD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Primici od financijske imovine i zaduživanja bilježe značajno povećanje zbog zaduživanja Grada uslijed pandemije bolesti COVID-19 uzrokovane virusom SARS-CoV-2 (korona virusa), kada je za održavanje likvidnosti od države podigao dva kratkoročna kredita te be</w:t>
      </w:r>
      <w:r w:rsidR="007C5B27" w:rsidRPr="00786DF1">
        <w:rPr>
          <w:rFonts w:cs="Arial"/>
          <w:sz w:val="22"/>
        </w:rPr>
        <w:t>s</w:t>
      </w:r>
      <w:r w:rsidRPr="00786DF1">
        <w:rPr>
          <w:rFonts w:cs="Arial"/>
          <w:sz w:val="22"/>
        </w:rPr>
        <w:t>kamatni k</w:t>
      </w:r>
      <w:r w:rsidR="007C5B27" w:rsidRPr="00786DF1">
        <w:rPr>
          <w:rFonts w:cs="Arial"/>
          <w:sz w:val="22"/>
        </w:rPr>
        <w:t>r</w:t>
      </w:r>
      <w:r w:rsidRPr="00786DF1">
        <w:rPr>
          <w:rFonts w:cs="Arial"/>
          <w:sz w:val="22"/>
        </w:rPr>
        <w:t>edit uslijed pada prihoda.</w:t>
      </w:r>
    </w:p>
    <w:p w14:paraId="27404E10" w14:textId="6BD43AF4" w:rsidR="001E27CD" w:rsidRPr="00786DF1" w:rsidRDefault="001E27CD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Grad se također u 2020. godini zadužio kod Zagrebačke banke za investicije.</w:t>
      </w:r>
    </w:p>
    <w:p w14:paraId="47E68206" w14:textId="77777777" w:rsidR="009D083B" w:rsidRPr="00786DF1" w:rsidRDefault="009D083B" w:rsidP="00FE5C16">
      <w:pPr>
        <w:jc w:val="both"/>
        <w:rPr>
          <w:rFonts w:cs="Arial"/>
          <w:sz w:val="22"/>
        </w:rPr>
      </w:pPr>
    </w:p>
    <w:p w14:paraId="0608EB73" w14:textId="4EF4656F" w:rsidR="009B425E" w:rsidRPr="00786DF1" w:rsidRDefault="009B425E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RASHODI</w:t>
      </w:r>
      <w:r w:rsidR="00A50E06" w:rsidRPr="00786DF1">
        <w:rPr>
          <w:rFonts w:cs="Arial"/>
          <w:sz w:val="22"/>
        </w:rPr>
        <w:t xml:space="preserve"> I IZDACI</w:t>
      </w:r>
    </w:p>
    <w:p w14:paraId="1F3D3BE6" w14:textId="142AF7D3" w:rsidR="009B425E" w:rsidRPr="00786DF1" w:rsidRDefault="001E27CD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Uslijed pada prihoda </w:t>
      </w:r>
      <w:r w:rsidR="00EE47E2" w:rsidRPr="00786DF1">
        <w:rPr>
          <w:rFonts w:cs="Arial"/>
          <w:sz w:val="22"/>
        </w:rPr>
        <w:t>Grad Dubrovnik je donio odluku o znatnom smanjenju rashoda te su se financirali samo nužni izdaci. Tijekom pandemije su donesene odluke o pomoći gospodarstvenicima u poslovanju te su isplačivane subvencije za poslovanja. Uslijed toga rashodi na AOP-ima 218 i 219 bilježe povećanje.</w:t>
      </w:r>
    </w:p>
    <w:p w14:paraId="4F722089" w14:textId="0B2012B2" w:rsidR="00EE47E2" w:rsidRPr="00786DF1" w:rsidRDefault="00EE47E2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AOP-230 također bilježi povećanje uslijed nastavka financiranja izgradnje groblja Dubac.</w:t>
      </w:r>
    </w:p>
    <w:p w14:paraId="6879ED6F" w14:textId="6F97B1EC" w:rsidR="00EE47E2" w:rsidRPr="00786DF1" w:rsidRDefault="00EE47E2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AOP-254 je također na jednakoj razini kao i prošle godine a odnosi se na pomoći građanima u novcu</w:t>
      </w:r>
    </w:p>
    <w:p w14:paraId="2991B0DC" w14:textId="0F4B639E" w:rsidR="00EE47E2" w:rsidRPr="00786DF1" w:rsidRDefault="00EE47E2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AOP</w:t>
      </w:r>
      <w:r w:rsidR="00815B0E" w:rsidRPr="00786DF1">
        <w:rPr>
          <w:rFonts w:cs="Arial"/>
          <w:sz w:val="22"/>
        </w:rPr>
        <w:t>-</w:t>
      </w:r>
      <w:r w:rsidRPr="00786DF1">
        <w:rPr>
          <w:rFonts w:cs="Arial"/>
          <w:sz w:val="22"/>
        </w:rPr>
        <w:t>267 također bilježi pobećanje uslijed izgubljenih sudskih sporova, koji su plaćeni</w:t>
      </w:r>
    </w:p>
    <w:p w14:paraId="39953756" w14:textId="7BF1B551" w:rsidR="00EE47E2" w:rsidRPr="00786DF1" w:rsidRDefault="00EE47E2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Rashodi za nabavu nefinancijske imovine bilježe smanjenje uslijed odustajanja od pojedinih novih projekata zbog pada prihoda. Investicije su nastavljene na projektima koji su bili u tijeku te su isti u završnim fazama.</w:t>
      </w:r>
      <w:r w:rsidR="00440E94" w:rsidRPr="00786DF1">
        <w:rPr>
          <w:rFonts w:cs="Arial"/>
          <w:sz w:val="22"/>
        </w:rPr>
        <w:t xml:space="preserve"> Najveće povećanje se odnosi na izgradnju ceste Most-Osojnik na rashodima za ceste</w:t>
      </w:r>
      <w:r w:rsidR="009D083B" w:rsidRPr="00786DF1">
        <w:rPr>
          <w:rFonts w:cs="Arial"/>
          <w:sz w:val="22"/>
        </w:rPr>
        <w:t>,</w:t>
      </w:r>
      <w:r w:rsidR="00440E94" w:rsidRPr="00786DF1">
        <w:rPr>
          <w:rFonts w:cs="Arial"/>
          <w:sz w:val="22"/>
        </w:rPr>
        <w:t xml:space="preserve"> AOP</w:t>
      </w:r>
      <w:r w:rsidR="009D083B" w:rsidRPr="00786DF1">
        <w:rPr>
          <w:rFonts w:cs="Arial"/>
          <w:sz w:val="22"/>
        </w:rPr>
        <w:t xml:space="preserve"> </w:t>
      </w:r>
      <w:r w:rsidR="00440E94" w:rsidRPr="00786DF1">
        <w:rPr>
          <w:rFonts w:cs="Arial"/>
          <w:sz w:val="22"/>
        </w:rPr>
        <w:t>358.</w:t>
      </w:r>
    </w:p>
    <w:p w14:paraId="60B7B4FA" w14:textId="2F2D7374" w:rsidR="00440E94" w:rsidRPr="00786DF1" w:rsidRDefault="00440E94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Izdaci za financijsku imovinu i otplate zajmova također bilježi smanjenje na AOP-u 518.</w:t>
      </w:r>
      <w:r w:rsidR="009D083B" w:rsidRPr="00786DF1">
        <w:rPr>
          <w:rFonts w:cs="Arial"/>
          <w:sz w:val="22"/>
        </w:rPr>
        <w:t xml:space="preserve"> </w:t>
      </w:r>
      <w:r w:rsidRPr="00786DF1">
        <w:rPr>
          <w:rFonts w:cs="Arial"/>
          <w:sz w:val="22"/>
        </w:rPr>
        <w:t>Navedeno smanjenje se evidentira uslijed zatraženog moratorija na kredit HBOR-a koji se kroz cijelu 2020 godinu nije otplačivao.</w:t>
      </w:r>
      <w:r w:rsidR="007C5B27" w:rsidRPr="00786DF1">
        <w:rPr>
          <w:rFonts w:cs="Arial"/>
          <w:sz w:val="22"/>
        </w:rPr>
        <w:t xml:space="preserve"> </w:t>
      </w:r>
    </w:p>
    <w:p w14:paraId="72D3D5A9" w14:textId="77777777" w:rsidR="0085040B" w:rsidRPr="00786DF1" w:rsidRDefault="0085040B" w:rsidP="00FE5C16">
      <w:pPr>
        <w:jc w:val="both"/>
        <w:rPr>
          <w:rFonts w:cs="Arial"/>
          <w:sz w:val="22"/>
        </w:rPr>
      </w:pPr>
    </w:p>
    <w:p w14:paraId="43B8A2C4" w14:textId="77777777" w:rsidR="0085040B" w:rsidRPr="00786DF1" w:rsidRDefault="0085040B" w:rsidP="00FE5C16">
      <w:pPr>
        <w:pStyle w:val="ListParagraph"/>
        <w:numPr>
          <w:ilvl w:val="0"/>
          <w:numId w:val="1"/>
        </w:numPr>
        <w:jc w:val="both"/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lastRenderedPageBreak/>
        <w:t>OBVEZE</w:t>
      </w:r>
    </w:p>
    <w:p w14:paraId="1D49021C" w14:textId="77777777" w:rsidR="0043043D" w:rsidRPr="00786DF1" w:rsidRDefault="0043043D" w:rsidP="0043043D">
      <w:pPr>
        <w:pStyle w:val="ListParagraph"/>
        <w:jc w:val="both"/>
        <w:rPr>
          <w:rFonts w:cs="Arial"/>
          <w:b/>
          <w:sz w:val="22"/>
        </w:rPr>
      </w:pPr>
    </w:p>
    <w:p w14:paraId="14E2BBE6" w14:textId="4D7BD042" w:rsidR="0085040B" w:rsidRPr="00786DF1" w:rsidRDefault="0085040B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Stanje obveza na početku izvještajnog razdoblja je iznosila </w:t>
      </w:r>
      <w:r w:rsidR="001130CD" w:rsidRPr="00786DF1">
        <w:rPr>
          <w:rFonts w:cs="Arial"/>
          <w:sz w:val="22"/>
        </w:rPr>
        <w:t>207</w:t>
      </w:r>
      <w:r w:rsidRPr="00786DF1">
        <w:rPr>
          <w:rFonts w:cs="Arial"/>
          <w:sz w:val="22"/>
        </w:rPr>
        <w:t>.</w:t>
      </w:r>
      <w:r w:rsidR="001130CD" w:rsidRPr="00786DF1">
        <w:rPr>
          <w:rFonts w:cs="Arial"/>
          <w:sz w:val="22"/>
        </w:rPr>
        <w:t>554</w:t>
      </w:r>
      <w:r w:rsidRPr="00786DF1">
        <w:rPr>
          <w:rFonts w:cs="Arial"/>
          <w:sz w:val="22"/>
        </w:rPr>
        <w:t>.</w:t>
      </w:r>
      <w:r w:rsidR="001130CD" w:rsidRPr="00786DF1">
        <w:rPr>
          <w:rFonts w:cs="Arial"/>
          <w:sz w:val="22"/>
        </w:rPr>
        <w:t>538</w:t>
      </w:r>
      <w:r w:rsidRPr="00786DF1">
        <w:rPr>
          <w:rFonts w:cs="Arial"/>
          <w:sz w:val="22"/>
        </w:rPr>
        <w:t xml:space="preserve"> kuna. U izvještajnom razdoblju je povećan iznos ukupnih obveza za </w:t>
      </w:r>
      <w:r w:rsidR="001130CD" w:rsidRPr="00786DF1">
        <w:rPr>
          <w:rFonts w:cs="Arial"/>
          <w:sz w:val="22"/>
        </w:rPr>
        <w:t>558</w:t>
      </w:r>
      <w:r w:rsidRPr="00786DF1">
        <w:rPr>
          <w:rFonts w:cs="Arial"/>
          <w:sz w:val="22"/>
        </w:rPr>
        <w:t>.</w:t>
      </w:r>
      <w:r w:rsidR="001130CD" w:rsidRPr="00786DF1">
        <w:rPr>
          <w:rFonts w:cs="Arial"/>
          <w:sz w:val="22"/>
        </w:rPr>
        <w:t>166</w:t>
      </w:r>
      <w:r w:rsidRPr="00786DF1">
        <w:rPr>
          <w:rFonts w:cs="Arial"/>
          <w:sz w:val="22"/>
        </w:rPr>
        <w:t>.</w:t>
      </w:r>
      <w:r w:rsidR="001130CD" w:rsidRPr="00786DF1">
        <w:rPr>
          <w:rFonts w:cs="Arial"/>
          <w:sz w:val="22"/>
        </w:rPr>
        <w:t>007</w:t>
      </w:r>
      <w:r w:rsidRPr="00786DF1">
        <w:rPr>
          <w:rFonts w:cs="Arial"/>
          <w:sz w:val="22"/>
        </w:rPr>
        <w:t xml:space="preserve"> kuna, dok je u istom razdoblju podmireno </w:t>
      </w:r>
      <w:r w:rsidR="001130CD" w:rsidRPr="00786DF1">
        <w:rPr>
          <w:rFonts w:cs="Arial"/>
          <w:sz w:val="22"/>
        </w:rPr>
        <w:t xml:space="preserve">419..402.962 </w:t>
      </w:r>
      <w:r w:rsidRPr="00786DF1">
        <w:rPr>
          <w:rFonts w:cs="Arial"/>
          <w:sz w:val="22"/>
        </w:rPr>
        <w:t>kuna dospjelih obveza.</w:t>
      </w:r>
    </w:p>
    <w:p w14:paraId="594F2438" w14:textId="0EEAC266" w:rsidR="0085040B" w:rsidRPr="00786DF1" w:rsidRDefault="0085040B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Stanje obveza na kraju izvještajnog razdoblja</w:t>
      </w:r>
      <w:r w:rsidR="00E17B4F" w:rsidRPr="00786DF1">
        <w:rPr>
          <w:rFonts w:cs="Arial"/>
          <w:sz w:val="22"/>
        </w:rPr>
        <w:t xml:space="preserve"> iznosi</w:t>
      </w:r>
      <w:r w:rsidRPr="00786DF1">
        <w:rPr>
          <w:rFonts w:cs="Arial"/>
          <w:sz w:val="22"/>
        </w:rPr>
        <w:t xml:space="preserve"> </w:t>
      </w:r>
      <w:r w:rsidR="001130CD" w:rsidRPr="00786DF1">
        <w:rPr>
          <w:rFonts w:cs="Arial"/>
          <w:sz w:val="22"/>
        </w:rPr>
        <w:t>346</w:t>
      </w:r>
      <w:r w:rsidRPr="00786DF1">
        <w:rPr>
          <w:rFonts w:cs="Arial"/>
          <w:sz w:val="22"/>
        </w:rPr>
        <w:t>.</w:t>
      </w:r>
      <w:r w:rsidR="001130CD" w:rsidRPr="00786DF1">
        <w:rPr>
          <w:rFonts w:cs="Arial"/>
          <w:sz w:val="22"/>
        </w:rPr>
        <w:t>317</w:t>
      </w:r>
      <w:r w:rsidRPr="00786DF1">
        <w:rPr>
          <w:rFonts w:cs="Arial"/>
          <w:sz w:val="22"/>
        </w:rPr>
        <w:t>.</w:t>
      </w:r>
      <w:r w:rsidR="001130CD" w:rsidRPr="00786DF1">
        <w:rPr>
          <w:rFonts w:cs="Arial"/>
          <w:sz w:val="22"/>
        </w:rPr>
        <w:t>603</w:t>
      </w:r>
      <w:r w:rsidRPr="00786DF1">
        <w:rPr>
          <w:rFonts w:cs="Arial"/>
          <w:sz w:val="22"/>
        </w:rPr>
        <w:t xml:space="preserve"> kuna a raspoređeno je na Obveze za rashode poslovanja </w:t>
      </w:r>
      <w:r w:rsidR="00E238DE" w:rsidRPr="00786DF1">
        <w:rPr>
          <w:rFonts w:cs="Arial"/>
          <w:sz w:val="22"/>
        </w:rPr>
        <w:t>2</w:t>
      </w:r>
      <w:r w:rsidR="001130CD" w:rsidRPr="00786DF1">
        <w:rPr>
          <w:rFonts w:cs="Arial"/>
          <w:sz w:val="22"/>
        </w:rPr>
        <w:t>0</w:t>
      </w:r>
      <w:r w:rsidRPr="00786DF1">
        <w:rPr>
          <w:rFonts w:cs="Arial"/>
          <w:sz w:val="22"/>
        </w:rPr>
        <w:t>.</w:t>
      </w:r>
      <w:r w:rsidR="001130CD" w:rsidRPr="00786DF1">
        <w:rPr>
          <w:rFonts w:cs="Arial"/>
          <w:sz w:val="22"/>
        </w:rPr>
        <w:t>619</w:t>
      </w:r>
      <w:r w:rsidRPr="00786DF1">
        <w:rPr>
          <w:rFonts w:cs="Arial"/>
          <w:sz w:val="22"/>
        </w:rPr>
        <w:t>.</w:t>
      </w:r>
      <w:r w:rsidR="001130CD" w:rsidRPr="00786DF1">
        <w:rPr>
          <w:rFonts w:cs="Arial"/>
          <w:sz w:val="22"/>
        </w:rPr>
        <w:t>403</w:t>
      </w:r>
      <w:r w:rsidRPr="00786DF1">
        <w:rPr>
          <w:rFonts w:cs="Arial"/>
          <w:sz w:val="22"/>
        </w:rPr>
        <w:t xml:space="preserve"> kuna, Obveze za nabavu nefinancijske imovine </w:t>
      </w:r>
      <w:r w:rsidR="001130CD" w:rsidRPr="00786DF1">
        <w:rPr>
          <w:rFonts w:cs="Arial"/>
          <w:sz w:val="22"/>
        </w:rPr>
        <w:t>3.741</w:t>
      </w:r>
      <w:r w:rsidR="00815B0E" w:rsidRPr="00786DF1">
        <w:rPr>
          <w:rFonts w:cs="Arial"/>
          <w:sz w:val="22"/>
        </w:rPr>
        <w:t>.</w:t>
      </w:r>
      <w:r w:rsidR="001130CD" w:rsidRPr="00786DF1">
        <w:rPr>
          <w:rFonts w:cs="Arial"/>
          <w:sz w:val="22"/>
        </w:rPr>
        <w:t xml:space="preserve">550 </w:t>
      </w:r>
      <w:r w:rsidRPr="00786DF1">
        <w:rPr>
          <w:rFonts w:cs="Arial"/>
          <w:sz w:val="22"/>
        </w:rPr>
        <w:t>kuna te obveze za financijsku imovinu</w:t>
      </w:r>
      <w:r w:rsidR="00374225" w:rsidRPr="00786DF1">
        <w:rPr>
          <w:rFonts w:cs="Arial"/>
          <w:sz w:val="22"/>
        </w:rPr>
        <w:t xml:space="preserve"> </w:t>
      </w:r>
      <w:r w:rsidR="001130CD" w:rsidRPr="00786DF1">
        <w:rPr>
          <w:rFonts w:cs="Arial"/>
          <w:sz w:val="22"/>
        </w:rPr>
        <w:t>321</w:t>
      </w:r>
      <w:r w:rsidR="00374225" w:rsidRPr="00786DF1">
        <w:rPr>
          <w:rFonts w:cs="Arial"/>
          <w:sz w:val="22"/>
        </w:rPr>
        <w:t>.</w:t>
      </w:r>
      <w:r w:rsidR="001130CD" w:rsidRPr="00786DF1">
        <w:rPr>
          <w:rFonts w:cs="Arial"/>
          <w:sz w:val="22"/>
        </w:rPr>
        <w:t>956</w:t>
      </w:r>
      <w:r w:rsidR="00374225" w:rsidRPr="00786DF1">
        <w:rPr>
          <w:rFonts w:cs="Arial"/>
          <w:sz w:val="22"/>
        </w:rPr>
        <w:t>.</w:t>
      </w:r>
      <w:r w:rsidR="001130CD" w:rsidRPr="00786DF1">
        <w:rPr>
          <w:rFonts w:cs="Arial"/>
          <w:sz w:val="22"/>
        </w:rPr>
        <w:t>650</w:t>
      </w:r>
      <w:r w:rsidR="00374225" w:rsidRPr="00786DF1">
        <w:rPr>
          <w:rFonts w:cs="Arial"/>
          <w:sz w:val="22"/>
        </w:rPr>
        <w:t xml:space="preserve"> kuna.</w:t>
      </w:r>
    </w:p>
    <w:p w14:paraId="0E9CB2DC" w14:textId="4BFC9366" w:rsidR="00E238DE" w:rsidRPr="00786DF1" w:rsidRDefault="00E238DE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Navedeno povećanje obveza se u najvećem dijelu odnosi na kredit HBOR-a</w:t>
      </w:r>
      <w:r w:rsidR="001130CD" w:rsidRPr="00786DF1">
        <w:rPr>
          <w:rFonts w:cs="Arial"/>
          <w:sz w:val="22"/>
        </w:rPr>
        <w:t>, te novog kredita Zagrebačke banke</w:t>
      </w:r>
      <w:r w:rsidRPr="00786DF1">
        <w:rPr>
          <w:rFonts w:cs="Arial"/>
          <w:sz w:val="22"/>
        </w:rPr>
        <w:t xml:space="preserve"> koji se realizira</w:t>
      </w:r>
      <w:r w:rsidR="001130CD" w:rsidRPr="00786DF1">
        <w:rPr>
          <w:rFonts w:cs="Arial"/>
          <w:sz w:val="22"/>
        </w:rPr>
        <w:t>ju</w:t>
      </w:r>
      <w:r w:rsidRPr="00786DF1">
        <w:rPr>
          <w:rFonts w:cs="Arial"/>
          <w:sz w:val="22"/>
        </w:rPr>
        <w:t xml:space="preserve"> sukladno građevinskim situacijama koje se odrad</w:t>
      </w:r>
      <w:r w:rsidR="001130CD" w:rsidRPr="00786DF1">
        <w:rPr>
          <w:rFonts w:cs="Arial"/>
          <w:sz w:val="22"/>
        </w:rPr>
        <w:t>e.</w:t>
      </w:r>
      <w:r w:rsidRPr="00786DF1">
        <w:rPr>
          <w:rFonts w:cs="Arial"/>
          <w:sz w:val="22"/>
        </w:rPr>
        <w:t xml:space="preserve"> </w:t>
      </w:r>
    </w:p>
    <w:p w14:paraId="4C2D64FD" w14:textId="41753AF4" w:rsidR="00374225" w:rsidRPr="00786DF1" w:rsidRDefault="00374225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Grad Dubrovnik nema dospjelih nepodmirenih obveza.</w:t>
      </w:r>
    </w:p>
    <w:p w14:paraId="49637C1B" w14:textId="77777777" w:rsidR="007F2366" w:rsidRPr="00786DF1" w:rsidRDefault="007F2366" w:rsidP="00FE5C16">
      <w:pPr>
        <w:jc w:val="both"/>
        <w:rPr>
          <w:rFonts w:cs="Arial"/>
          <w:sz w:val="22"/>
        </w:rPr>
      </w:pPr>
    </w:p>
    <w:p w14:paraId="0488264A" w14:textId="77777777" w:rsidR="00374225" w:rsidRPr="00786DF1" w:rsidRDefault="00374225" w:rsidP="00FE5C16">
      <w:pPr>
        <w:jc w:val="both"/>
        <w:rPr>
          <w:rFonts w:cs="Arial"/>
          <w:sz w:val="22"/>
        </w:rPr>
      </w:pPr>
    </w:p>
    <w:p w14:paraId="76319954" w14:textId="77777777" w:rsidR="00357CE0" w:rsidRPr="00786DF1" w:rsidRDefault="002E16AA" w:rsidP="002E16AA">
      <w:pPr>
        <w:pStyle w:val="ListParagraph"/>
        <w:numPr>
          <w:ilvl w:val="0"/>
          <w:numId w:val="1"/>
        </w:numPr>
        <w:jc w:val="both"/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PROMJENE U VRIJEDNOSTI I OBUJMU IMOVINE</w:t>
      </w:r>
    </w:p>
    <w:p w14:paraId="67D43169" w14:textId="77777777" w:rsidR="005952B0" w:rsidRPr="00786DF1" w:rsidRDefault="005952B0" w:rsidP="005952B0">
      <w:pPr>
        <w:jc w:val="both"/>
        <w:rPr>
          <w:rFonts w:cs="Arial"/>
          <w:b/>
          <w:sz w:val="22"/>
        </w:rPr>
      </w:pPr>
    </w:p>
    <w:p w14:paraId="527879C3" w14:textId="7DB2F8DC" w:rsidR="005952B0" w:rsidRPr="00786DF1" w:rsidRDefault="005952B0" w:rsidP="005952B0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Iznos povećanja se odnosi na povećanju vrijednosti obujma </w:t>
      </w:r>
      <w:r w:rsidR="006263E8" w:rsidRPr="00786DF1">
        <w:rPr>
          <w:rFonts w:cs="Arial"/>
          <w:sz w:val="22"/>
        </w:rPr>
        <w:t>ne</w:t>
      </w:r>
      <w:r w:rsidR="00353954" w:rsidRPr="00786DF1">
        <w:rPr>
          <w:rFonts w:cs="Arial"/>
          <w:sz w:val="22"/>
        </w:rPr>
        <w:t xml:space="preserve">proizvedene </w:t>
      </w:r>
      <w:r w:rsidR="006263E8" w:rsidRPr="00786DF1">
        <w:rPr>
          <w:rFonts w:cs="Arial"/>
          <w:sz w:val="22"/>
        </w:rPr>
        <w:t xml:space="preserve">dugotrajne imovine  u vidu prodaje dijelova zemlje fizičkim osobama. Povećanje proizvedene dugotrajne imovine se odnosi </w:t>
      </w:r>
      <w:r w:rsidR="0043043D" w:rsidRPr="00786DF1">
        <w:rPr>
          <w:rFonts w:cs="Arial"/>
          <w:sz w:val="22"/>
        </w:rPr>
        <w:t>na</w:t>
      </w:r>
      <w:r w:rsidR="006263E8" w:rsidRPr="00786DF1">
        <w:rPr>
          <w:rFonts w:cs="Arial"/>
          <w:sz w:val="22"/>
        </w:rPr>
        <w:t xml:space="preserve"> </w:t>
      </w:r>
      <w:r w:rsidR="00E565D7" w:rsidRPr="00786DF1">
        <w:rPr>
          <w:rFonts w:cs="Arial"/>
          <w:sz w:val="22"/>
        </w:rPr>
        <w:t>ukn</w:t>
      </w:r>
      <w:r w:rsidR="007C5B27" w:rsidRPr="00786DF1">
        <w:rPr>
          <w:rFonts w:cs="Arial"/>
          <w:sz w:val="22"/>
        </w:rPr>
        <w:t>j</w:t>
      </w:r>
      <w:r w:rsidR="00E565D7" w:rsidRPr="00786DF1">
        <w:rPr>
          <w:rFonts w:cs="Arial"/>
          <w:sz w:val="22"/>
        </w:rPr>
        <w:t>iženje spremnika za odvojeno prikupljanje otpada bez naknade, sukladno obavijestima Fonda za zaštitu okoliša i energetsku učinkovitost</w:t>
      </w:r>
      <w:r w:rsidR="006263E8" w:rsidRPr="00786DF1">
        <w:rPr>
          <w:rFonts w:cs="Arial"/>
          <w:sz w:val="22"/>
        </w:rPr>
        <w:t>. Promjene u obujmu dionica</w:t>
      </w:r>
      <w:r w:rsidR="00E565D7" w:rsidRPr="00786DF1">
        <w:rPr>
          <w:rFonts w:cs="Arial"/>
          <w:sz w:val="22"/>
        </w:rPr>
        <w:t xml:space="preserve"> i udjela u glavnici</w:t>
      </w:r>
      <w:r w:rsidR="006263E8" w:rsidRPr="00786DF1">
        <w:rPr>
          <w:rFonts w:cs="Arial"/>
          <w:sz w:val="22"/>
        </w:rPr>
        <w:t xml:space="preserve"> se odnosi na usklađenje sa SKDD-om i povećanje </w:t>
      </w:r>
      <w:r w:rsidR="00E565D7" w:rsidRPr="00786DF1">
        <w:rPr>
          <w:rFonts w:cs="Arial"/>
          <w:sz w:val="22"/>
        </w:rPr>
        <w:t>vrijednosti</w:t>
      </w:r>
      <w:r w:rsidR="00A62F48" w:rsidRPr="00786DF1">
        <w:rPr>
          <w:rFonts w:cs="Arial"/>
          <w:sz w:val="22"/>
        </w:rPr>
        <w:t xml:space="preserve"> </w:t>
      </w:r>
      <w:r w:rsidR="006263E8" w:rsidRPr="00786DF1">
        <w:rPr>
          <w:rFonts w:cs="Arial"/>
          <w:sz w:val="22"/>
        </w:rPr>
        <w:t>dionica. Povećanje obujma obveza su negativne tečajne razlike po kreditu u eurima</w:t>
      </w:r>
      <w:r w:rsidR="00A62F48" w:rsidRPr="00786DF1">
        <w:rPr>
          <w:rFonts w:cs="Arial"/>
          <w:sz w:val="22"/>
        </w:rPr>
        <w:t xml:space="preserve"> (ZABA)</w:t>
      </w:r>
      <w:r w:rsidR="006263E8" w:rsidRPr="00786DF1">
        <w:rPr>
          <w:rFonts w:cs="Arial"/>
          <w:sz w:val="22"/>
        </w:rPr>
        <w:t xml:space="preserve">. </w:t>
      </w:r>
      <w:r w:rsidR="00E565D7" w:rsidRPr="00786DF1">
        <w:rPr>
          <w:rFonts w:cs="Arial"/>
          <w:sz w:val="22"/>
        </w:rPr>
        <w:t xml:space="preserve">Smanjenje proizvedene dugotrajne imovine se odnosi na prijenos vlasništva nad radovima i opremi koju je Grad vodio za Osnovnu školu Montovjerna. Nakon okončane situacije cjelokupna investicija je predana u vlasništvo Osnovne škole Montovjerna. Također se smanjenje odnosi i na dio opreme donirane Dječjim vrtićima Dubrovnik a sve u sklopu projekta Grad za Djecu. Ostatak smanjenja se odnosi na povrate stanova prijašnjim vlasnicimate isknjiženja istih iz poslovnih knjiga. </w:t>
      </w:r>
      <w:r w:rsidR="0043043D" w:rsidRPr="00786DF1">
        <w:rPr>
          <w:rFonts w:cs="Arial"/>
          <w:sz w:val="22"/>
        </w:rPr>
        <w:t>S</w:t>
      </w:r>
      <w:r w:rsidRPr="00786DF1">
        <w:rPr>
          <w:rFonts w:cs="Arial"/>
          <w:sz w:val="22"/>
        </w:rPr>
        <w:t>manjenje</w:t>
      </w:r>
      <w:r w:rsidR="006263E8" w:rsidRPr="00786DF1">
        <w:rPr>
          <w:rFonts w:cs="Arial"/>
          <w:sz w:val="22"/>
        </w:rPr>
        <w:t xml:space="preserve"> obujma </w:t>
      </w:r>
      <w:r w:rsidR="00E565D7" w:rsidRPr="00786DF1">
        <w:rPr>
          <w:rFonts w:cs="Arial"/>
          <w:sz w:val="22"/>
        </w:rPr>
        <w:t>obveza</w:t>
      </w:r>
      <w:r w:rsidRPr="00786DF1">
        <w:rPr>
          <w:rFonts w:cs="Arial"/>
          <w:sz w:val="22"/>
        </w:rPr>
        <w:t xml:space="preserve"> se odnosi na </w:t>
      </w:r>
      <w:r w:rsidR="00E565D7" w:rsidRPr="00786DF1">
        <w:rPr>
          <w:rFonts w:cs="Arial"/>
          <w:sz w:val="22"/>
        </w:rPr>
        <w:t xml:space="preserve">pozitivne tečajne razlike po kreditu Zagrebačke banke  podignutom u 2020. godini. </w:t>
      </w:r>
    </w:p>
    <w:p w14:paraId="5EA4E338" w14:textId="77777777" w:rsidR="00D14470" w:rsidRPr="00786DF1" w:rsidRDefault="00D14470" w:rsidP="005952B0">
      <w:pPr>
        <w:jc w:val="both"/>
        <w:rPr>
          <w:rFonts w:cs="Arial"/>
          <w:sz w:val="22"/>
        </w:rPr>
      </w:pPr>
    </w:p>
    <w:p w14:paraId="1DF4AF87" w14:textId="76ADD52D" w:rsidR="00D14470" w:rsidRPr="00786DF1" w:rsidRDefault="00D14470" w:rsidP="00D14470">
      <w:pPr>
        <w:pStyle w:val="ListParagraph"/>
        <w:numPr>
          <w:ilvl w:val="0"/>
          <w:numId w:val="1"/>
        </w:numPr>
        <w:jc w:val="both"/>
        <w:rPr>
          <w:rFonts w:cs="Arial"/>
          <w:b/>
          <w:bCs/>
          <w:sz w:val="22"/>
        </w:rPr>
      </w:pPr>
      <w:r w:rsidRPr="00786DF1">
        <w:rPr>
          <w:rFonts w:cs="Arial"/>
          <w:b/>
          <w:bCs/>
          <w:sz w:val="22"/>
        </w:rPr>
        <w:t>IZVJEŠTAJ O RASHODIMA PREMA FUNKCIJSKOJ KLASIFIKACIJI</w:t>
      </w:r>
    </w:p>
    <w:p w14:paraId="6E886ACF" w14:textId="0276708D" w:rsidR="00D14470" w:rsidRPr="00786DF1" w:rsidRDefault="00D14470" w:rsidP="00D14470">
      <w:pPr>
        <w:jc w:val="both"/>
        <w:rPr>
          <w:rFonts w:cs="Arial"/>
          <w:b/>
          <w:bCs/>
          <w:sz w:val="22"/>
        </w:rPr>
      </w:pPr>
    </w:p>
    <w:p w14:paraId="14C893B0" w14:textId="7D22912F" w:rsidR="00D14470" w:rsidRPr="00786DF1" w:rsidRDefault="00D14470" w:rsidP="00D14470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Ukupni rashodi prema funkcijskoj klasifikaciji bilježe </w:t>
      </w:r>
      <w:r w:rsidR="00675A54" w:rsidRPr="00786DF1">
        <w:rPr>
          <w:rFonts w:cs="Arial"/>
          <w:sz w:val="22"/>
        </w:rPr>
        <w:t>smanjenje</w:t>
      </w:r>
      <w:r w:rsidRPr="00786DF1">
        <w:rPr>
          <w:rFonts w:cs="Arial"/>
          <w:sz w:val="22"/>
        </w:rPr>
        <w:t xml:space="preserve"> u odnosu na prethodnu godinu sa indeksom </w:t>
      </w:r>
      <w:r w:rsidR="00675A54" w:rsidRPr="00786DF1">
        <w:rPr>
          <w:rFonts w:cs="Arial"/>
          <w:sz w:val="22"/>
        </w:rPr>
        <w:t xml:space="preserve">69,8 </w:t>
      </w:r>
      <w:r w:rsidRPr="00786DF1">
        <w:rPr>
          <w:rFonts w:cs="Arial"/>
          <w:sz w:val="22"/>
        </w:rPr>
        <w:t xml:space="preserve"> na AOP-u 137.</w:t>
      </w:r>
      <w:r w:rsidR="00691678" w:rsidRPr="00786DF1">
        <w:rPr>
          <w:rFonts w:cs="Arial"/>
          <w:sz w:val="22"/>
        </w:rPr>
        <w:t xml:space="preserve"> Navedeno smanjenj</w:t>
      </w:r>
      <w:r w:rsidR="00033659" w:rsidRPr="00786DF1">
        <w:rPr>
          <w:rFonts w:cs="Arial"/>
          <w:sz w:val="22"/>
        </w:rPr>
        <w:t>e</w:t>
      </w:r>
      <w:r w:rsidR="00691678" w:rsidRPr="00786DF1">
        <w:rPr>
          <w:rFonts w:cs="Arial"/>
          <w:sz w:val="22"/>
        </w:rPr>
        <w:t xml:space="preserve"> je direktno vezano za pandemiju koronavirusa te je iz tog razloga znatno smanjeno ulaganje u sve segmente.</w:t>
      </w:r>
      <w:r w:rsidRPr="00786DF1">
        <w:rPr>
          <w:rFonts w:cs="Arial"/>
          <w:sz w:val="22"/>
        </w:rPr>
        <w:t xml:space="preserve"> U nastavku dajemo pregled  po skupinama:</w:t>
      </w:r>
    </w:p>
    <w:p w14:paraId="247335BD" w14:textId="1DDE4E75" w:rsidR="00D14470" w:rsidRPr="00786DF1" w:rsidRDefault="00D14470" w:rsidP="00D14470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AOP-001 </w:t>
      </w:r>
      <w:r w:rsidR="001A2292" w:rsidRPr="00786DF1">
        <w:rPr>
          <w:rFonts w:cs="Arial"/>
          <w:sz w:val="22"/>
        </w:rPr>
        <w:t>bilježi smanjenje sa indeksom 86.2, a najvećim dijelom se odnosi na smanjenje plaća zaposlenicima uslijed pandemije</w:t>
      </w:r>
    </w:p>
    <w:p w14:paraId="390B1401" w14:textId="1EB40E30" w:rsidR="00EA0B22" w:rsidRPr="00786DF1" w:rsidRDefault="00EA0B22" w:rsidP="00D14470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AOP-024 </w:t>
      </w:r>
      <w:r w:rsidR="001A2292" w:rsidRPr="00786DF1">
        <w:rPr>
          <w:rFonts w:cs="Arial"/>
          <w:sz w:val="22"/>
        </w:rPr>
        <w:t>bilježi smanjenje sa indeksom 78,8 pošto je u prošlog godini nabavljeno vvatrogasno vozilo a u 2020. godini tog ulaganja nije bilo</w:t>
      </w:r>
    </w:p>
    <w:p w14:paraId="1CB42236" w14:textId="5F7B1116" w:rsidR="00EA0B22" w:rsidRPr="00786DF1" w:rsidRDefault="00EA0B22" w:rsidP="00D14470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Aop-031 bilježi povećanje sa indeksom </w:t>
      </w:r>
      <w:r w:rsidR="001A2292" w:rsidRPr="00786DF1">
        <w:rPr>
          <w:rFonts w:cs="Arial"/>
          <w:sz w:val="22"/>
        </w:rPr>
        <w:t xml:space="preserve">155,6 </w:t>
      </w:r>
      <w:r w:rsidRPr="00786DF1">
        <w:rPr>
          <w:rFonts w:cs="Arial"/>
          <w:sz w:val="22"/>
        </w:rPr>
        <w:t xml:space="preserve"> a odnosi se na  ulaganjima u cestovni promet izgradnjom parkirališta</w:t>
      </w:r>
      <w:r w:rsidR="001A2292" w:rsidRPr="00786DF1">
        <w:rPr>
          <w:rFonts w:cs="Arial"/>
          <w:sz w:val="22"/>
        </w:rPr>
        <w:t>,</w:t>
      </w:r>
      <w:r w:rsidRPr="00786DF1">
        <w:rPr>
          <w:rFonts w:cs="Arial"/>
          <w:sz w:val="22"/>
        </w:rPr>
        <w:t xml:space="preserve"> </w:t>
      </w:r>
      <w:r w:rsidR="001A2292" w:rsidRPr="00786DF1">
        <w:rPr>
          <w:rFonts w:cs="Arial"/>
          <w:sz w:val="22"/>
        </w:rPr>
        <w:t>nastavkom</w:t>
      </w:r>
      <w:r w:rsidRPr="00786DF1">
        <w:rPr>
          <w:rFonts w:cs="Arial"/>
          <w:sz w:val="22"/>
        </w:rPr>
        <w:t xml:space="preserve"> izgradnje ceste Most Dr. Franja Tuđmana -Osojnik</w:t>
      </w:r>
      <w:r w:rsidR="001A2292" w:rsidRPr="00786DF1">
        <w:rPr>
          <w:rFonts w:cs="Arial"/>
          <w:sz w:val="22"/>
        </w:rPr>
        <w:t>, Kardinala Stepinca i</w:t>
      </w:r>
      <w:r w:rsidR="00815B0E" w:rsidRPr="00786DF1">
        <w:rPr>
          <w:rFonts w:cs="Arial"/>
          <w:sz w:val="22"/>
        </w:rPr>
        <w:t xml:space="preserve"> </w:t>
      </w:r>
      <w:r w:rsidR="001A2292" w:rsidRPr="00786DF1">
        <w:rPr>
          <w:rFonts w:cs="Arial"/>
          <w:sz w:val="22"/>
        </w:rPr>
        <w:t>dr...</w:t>
      </w:r>
    </w:p>
    <w:p w14:paraId="22C17B2A" w14:textId="739EB7D9" w:rsidR="00691678" w:rsidRPr="00786DF1" w:rsidRDefault="00EA0B22" w:rsidP="00D14470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AOP-071 bilježi </w:t>
      </w:r>
      <w:r w:rsidR="00691678" w:rsidRPr="00786DF1">
        <w:rPr>
          <w:rFonts w:cs="Arial"/>
          <w:sz w:val="22"/>
        </w:rPr>
        <w:t>smanjenje uslijed smanjene potrebe za čišćenjem i održavanjem Grada uslijed krize</w:t>
      </w:r>
    </w:p>
    <w:p w14:paraId="2AFFE583" w14:textId="726739BA" w:rsidR="00691678" w:rsidRPr="00786DF1" w:rsidRDefault="00691678" w:rsidP="00D14470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AOP 078 bilježi smanjenje zbog investicije u stanove u 2019. godini </w:t>
      </w:r>
    </w:p>
    <w:p w14:paraId="09C41BE3" w14:textId="51C21062" w:rsidR="00E91A31" w:rsidRPr="00786DF1" w:rsidRDefault="00E91A31" w:rsidP="00D14470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AOP-103 bilježi </w:t>
      </w:r>
      <w:r w:rsidR="00691678" w:rsidRPr="00786DF1">
        <w:rPr>
          <w:rFonts w:cs="Arial"/>
          <w:sz w:val="22"/>
        </w:rPr>
        <w:t>smanjenje uslijed skoro potpunog smanjenja financiranja kulturnih događanja kao i znatna smanjenja davanja športskim klubovima</w:t>
      </w:r>
    </w:p>
    <w:p w14:paraId="6935B56C" w14:textId="43BCCD23" w:rsidR="00E91A31" w:rsidRPr="00786DF1" w:rsidRDefault="00E91A31" w:rsidP="00D14470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lastRenderedPageBreak/>
        <w:t>AOP-110 se odnosi na ulaganja u predškolske i osnovno školske objekte</w:t>
      </w:r>
      <w:r w:rsidR="006E4F86" w:rsidRPr="00786DF1">
        <w:rPr>
          <w:rFonts w:cs="Arial"/>
          <w:sz w:val="22"/>
        </w:rPr>
        <w:t>, koji su najvećim dijelom odrađeni u 2019. godini, dok se završetak istih evidentirao u 2020. godini</w:t>
      </w:r>
    </w:p>
    <w:p w14:paraId="4EB04937" w14:textId="39B80245" w:rsidR="00EA0B22" w:rsidRPr="00786DF1" w:rsidRDefault="00E91A31" w:rsidP="00D14470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AOP-125 sa indeksom </w:t>
      </w:r>
      <w:r w:rsidR="006E4F86" w:rsidRPr="00786DF1">
        <w:rPr>
          <w:rFonts w:cs="Arial"/>
          <w:sz w:val="22"/>
        </w:rPr>
        <w:t>92,0</w:t>
      </w:r>
      <w:r w:rsidRPr="00786DF1">
        <w:rPr>
          <w:rFonts w:cs="Arial"/>
          <w:sz w:val="22"/>
        </w:rPr>
        <w:t xml:space="preserve"> što pokazuje da je razina socijalne zaštite  socijalno ugroženih</w:t>
      </w:r>
      <w:r w:rsidR="006E4F86" w:rsidRPr="00786DF1">
        <w:rPr>
          <w:rFonts w:cs="Arial"/>
          <w:sz w:val="22"/>
        </w:rPr>
        <w:t xml:space="preserve"> zabilježila i najmanje smanjenje uzrokovano svjetskom krizom</w:t>
      </w:r>
      <w:r w:rsidRPr="00786DF1">
        <w:rPr>
          <w:rFonts w:cs="Arial"/>
          <w:sz w:val="22"/>
        </w:rPr>
        <w:t>.</w:t>
      </w:r>
    </w:p>
    <w:p w14:paraId="01E58EC7" w14:textId="5EA316AC" w:rsidR="007F2366" w:rsidRPr="00786DF1" w:rsidRDefault="007F2366" w:rsidP="00D14470">
      <w:pPr>
        <w:jc w:val="both"/>
        <w:rPr>
          <w:rFonts w:cs="Arial"/>
          <w:sz w:val="22"/>
        </w:rPr>
      </w:pPr>
    </w:p>
    <w:p w14:paraId="55ACC1FD" w14:textId="0569BAEF" w:rsidR="007F2366" w:rsidRPr="00786DF1" w:rsidRDefault="007F2366" w:rsidP="007F2366">
      <w:pPr>
        <w:jc w:val="both"/>
        <w:rPr>
          <w:rFonts w:cs="Arial"/>
          <w:b/>
          <w:bCs/>
          <w:sz w:val="22"/>
        </w:rPr>
      </w:pPr>
      <w:r w:rsidRPr="00786DF1">
        <w:rPr>
          <w:rFonts w:cs="Arial"/>
          <w:b/>
          <w:bCs/>
          <w:sz w:val="22"/>
        </w:rPr>
        <w:t>PRIMLJENI KREDITI</w:t>
      </w:r>
    </w:p>
    <w:p w14:paraId="5F9AD8F4" w14:textId="77777777" w:rsidR="007F2366" w:rsidRPr="00786DF1" w:rsidRDefault="007F2366" w:rsidP="007F2366">
      <w:pPr>
        <w:jc w:val="both"/>
        <w:rPr>
          <w:rFonts w:cs="Arial"/>
          <w:sz w:val="22"/>
        </w:rPr>
      </w:pPr>
    </w:p>
    <w:p w14:paraId="528204DF" w14:textId="0D4D872B" w:rsidR="007F2366" w:rsidRPr="00786DF1" w:rsidRDefault="007F2366" w:rsidP="007F236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Grad Dubrovnik je prijašnjim razdobljima zadužen u dvije poslovne banke. U Zagrebačkoj banci za projekt Stanogradnja, te u Hrvatskoj banci za obnovu i razvitak za infrastrukturne projekte (groblje Dubac i Lazareti). </w:t>
      </w:r>
    </w:p>
    <w:p w14:paraId="6101BEFE" w14:textId="3EF7A3F8" w:rsidR="007F2366" w:rsidRPr="00786DF1" w:rsidRDefault="007F2366" w:rsidP="007F236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Tijekom 2018. godine Grad se dodatno zadužio za kredit HBOR-a u ukupnom iznosu od 132.510.000 kuna. Kredit se realizira u fazama kako se izvode radovi na projektima koji se financiraju iz njega, te još nije došao na naplatu</w:t>
      </w:r>
      <w:r w:rsidR="008259C6" w:rsidRPr="00786DF1">
        <w:rPr>
          <w:rFonts w:cs="Arial"/>
          <w:sz w:val="22"/>
        </w:rPr>
        <w:t>, ali je</w:t>
      </w:r>
      <w:r w:rsidR="007C5B27" w:rsidRPr="00786DF1">
        <w:rPr>
          <w:rFonts w:cs="Arial"/>
          <w:sz w:val="22"/>
        </w:rPr>
        <w:t xml:space="preserve"> u 2020. godini</w:t>
      </w:r>
      <w:r w:rsidR="008259C6" w:rsidRPr="00786DF1">
        <w:rPr>
          <w:rFonts w:cs="Arial"/>
          <w:sz w:val="22"/>
        </w:rPr>
        <w:t xml:space="preserve"> realiziran do kraja.</w:t>
      </w:r>
      <w:r w:rsidRPr="00786DF1">
        <w:rPr>
          <w:rFonts w:cs="Arial"/>
          <w:sz w:val="22"/>
        </w:rPr>
        <w:t xml:space="preserve"> </w:t>
      </w:r>
    </w:p>
    <w:p w14:paraId="13211C91" w14:textId="0E22C7DF" w:rsidR="00C85FF6" w:rsidRPr="00786DF1" w:rsidRDefault="007F2366" w:rsidP="007F236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U 2019. godini Grad se zadužio kod OTP Banke Split za realizaciju projekta izgradnje stanova u Mokošici. Kredit je u fazi počeka te još nije došao na naplatu</w:t>
      </w:r>
      <w:r w:rsidR="008259C6" w:rsidRPr="00786DF1">
        <w:rPr>
          <w:rFonts w:cs="Arial"/>
          <w:sz w:val="22"/>
        </w:rPr>
        <w:t xml:space="preserve"> a također je potpisan i aneks ugovora za ostatak kredita koji je trebao biti realiziran u 2020. godini</w:t>
      </w:r>
      <w:r w:rsidRPr="00786DF1">
        <w:rPr>
          <w:rFonts w:cs="Arial"/>
          <w:sz w:val="22"/>
        </w:rPr>
        <w:t>.</w:t>
      </w:r>
      <w:r w:rsidR="008259C6" w:rsidRPr="00786DF1">
        <w:rPr>
          <w:rFonts w:cs="Arial"/>
          <w:sz w:val="22"/>
        </w:rPr>
        <w:t xml:space="preserve"> Aneksom je realizacija ostatka ugovora produljena za 6 mjeseci.</w:t>
      </w:r>
    </w:p>
    <w:p w14:paraId="44DB8D13" w14:textId="6D738B04" w:rsidR="007F2366" w:rsidRPr="00786DF1" w:rsidRDefault="008259C6" w:rsidP="007F236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U 2020. godini uslijed pandemije </w:t>
      </w:r>
      <w:r w:rsidR="003A0FFE" w:rsidRPr="00786DF1">
        <w:rPr>
          <w:rFonts w:cs="Arial"/>
          <w:sz w:val="22"/>
        </w:rPr>
        <w:t>koronavirusa koje je zahvatilo cijelo gospodarstvo Grad Dubrovnik je od HBOR-a zatražio i dobio moratorij na otplatu anuiteta kao i za interkalarne kamate po kreditu koji je još bio u realizaciji.</w:t>
      </w:r>
    </w:p>
    <w:p w14:paraId="04A90960" w14:textId="5054BDCE" w:rsidR="009E4D86" w:rsidRPr="00786DF1" w:rsidRDefault="009E4D86" w:rsidP="007F236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U 2020. godini grad se zadužio kod Zagrebačke banke za dugoročni kredit za ulaganje u infrastrukturne projekte.</w:t>
      </w:r>
    </w:p>
    <w:p w14:paraId="5E026FAF" w14:textId="1DF78729" w:rsidR="006F1A34" w:rsidRPr="00786DF1" w:rsidRDefault="006F1A34" w:rsidP="007F236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Grad Dubrovnik je u 2020 godini također podigao dva kratkoročna kredita od Državnog proračuna zbog odgode plaćanja poreza na dohodak koje je Vlada omogućila poduzetnicima i drugi na ime povrata poreza na dohodak.</w:t>
      </w:r>
    </w:p>
    <w:p w14:paraId="3C08F128" w14:textId="70BDC092" w:rsidR="006F1A34" w:rsidRPr="00786DF1" w:rsidRDefault="006F1A34" w:rsidP="007F236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Također je krajem godine realiziran dugoročni kredit </w:t>
      </w:r>
      <w:r w:rsidR="00C66B9B" w:rsidRPr="00786DF1">
        <w:rPr>
          <w:rFonts w:cs="Arial"/>
          <w:sz w:val="22"/>
        </w:rPr>
        <w:t>Ministarstva financija uslijed pada prihoda u ukupnom iznosu propisanom Uredbom.</w:t>
      </w:r>
    </w:p>
    <w:p w14:paraId="35BFD87C" w14:textId="7FC3F782" w:rsidR="007F2366" w:rsidRPr="00786DF1" w:rsidRDefault="007F2366" w:rsidP="007F2366">
      <w:pPr>
        <w:jc w:val="both"/>
        <w:rPr>
          <w:rFonts w:cs="Arial"/>
          <w:sz w:val="22"/>
        </w:rPr>
      </w:pPr>
    </w:p>
    <w:p w14:paraId="1BFB26D9" w14:textId="77777777" w:rsidR="007F2366" w:rsidRPr="00786DF1" w:rsidRDefault="007F2366" w:rsidP="007F2366">
      <w:pPr>
        <w:jc w:val="both"/>
        <w:rPr>
          <w:rFonts w:cs="Arial"/>
          <w:sz w:val="22"/>
        </w:rPr>
      </w:pPr>
    </w:p>
    <w:p w14:paraId="1BE0EAEF" w14:textId="4435110E" w:rsidR="007F2366" w:rsidRPr="00786DF1" w:rsidRDefault="007F2366" w:rsidP="007F2366">
      <w:pPr>
        <w:jc w:val="both"/>
        <w:rPr>
          <w:rFonts w:cs="Arial"/>
          <w:b/>
          <w:bCs/>
          <w:sz w:val="22"/>
        </w:rPr>
      </w:pPr>
      <w:r w:rsidRPr="00786DF1">
        <w:rPr>
          <w:rFonts w:cs="Arial"/>
          <w:b/>
          <w:bCs/>
          <w:sz w:val="22"/>
        </w:rPr>
        <w:t>DANI ZAJMOVI</w:t>
      </w:r>
    </w:p>
    <w:p w14:paraId="1EA19D28" w14:textId="77777777" w:rsidR="007F2366" w:rsidRPr="00786DF1" w:rsidRDefault="007F2366" w:rsidP="007F2366">
      <w:pPr>
        <w:jc w:val="both"/>
        <w:rPr>
          <w:rFonts w:cs="Arial"/>
          <w:sz w:val="22"/>
        </w:rPr>
      </w:pPr>
    </w:p>
    <w:p w14:paraId="3916C233" w14:textId="61357708" w:rsidR="007F2366" w:rsidRPr="00786DF1" w:rsidRDefault="007F2366" w:rsidP="007F236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Grad Dubrovnik u svome knjigovodstv</w:t>
      </w:r>
      <w:r w:rsidR="00901AFA" w:rsidRPr="00786DF1">
        <w:rPr>
          <w:rFonts w:cs="Arial"/>
          <w:sz w:val="22"/>
        </w:rPr>
        <w:t>u</w:t>
      </w:r>
      <w:r w:rsidRPr="00786DF1">
        <w:rPr>
          <w:rFonts w:cs="Arial"/>
          <w:sz w:val="22"/>
        </w:rPr>
        <w:t xml:space="preserve"> ima evidentirane zajmove dane, obrtnicima i studentima u prijašnjim godinama koji se uredno vraćaju ili su pokrenute mjere za naplatu istih.</w:t>
      </w:r>
    </w:p>
    <w:p w14:paraId="392500FC" w14:textId="77777777" w:rsidR="007F2366" w:rsidRPr="00786DF1" w:rsidRDefault="007F2366" w:rsidP="007F2366">
      <w:pPr>
        <w:jc w:val="both"/>
        <w:rPr>
          <w:rFonts w:cs="Arial"/>
          <w:sz w:val="22"/>
        </w:rPr>
      </w:pPr>
    </w:p>
    <w:p w14:paraId="5BA390F2" w14:textId="288B45A9" w:rsidR="007F2366" w:rsidRPr="00786DF1" w:rsidRDefault="007F2366" w:rsidP="007F2366">
      <w:pPr>
        <w:jc w:val="both"/>
        <w:rPr>
          <w:rFonts w:cs="Arial"/>
          <w:b/>
          <w:bCs/>
          <w:sz w:val="22"/>
        </w:rPr>
      </w:pPr>
      <w:r w:rsidRPr="00786DF1">
        <w:rPr>
          <w:rFonts w:cs="Arial"/>
          <w:b/>
          <w:bCs/>
          <w:sz w:val="22"/>
        </w:rPr>
        <w:t xml:space="preserve">UDJELI </w:t>
      </w:r>
      <w:r w:rsidR="008900AF" w:rsidRPr="00786DF1">
        <w:rPr>
          <w:rFonts w:cs="Arial"/>
          <w:b/>
          <w:bCs/>
          <w:sz w:val="22"/>
        </w:rPr>
        <w:t xml:space="preserve">U </w:t>
      </w:r>
      <w:r w:rsidRPr="00786DF1">
        <w:rPr>
          <w:rFonts w:cs="Arial"/>
          <w:b/>
          <w:bCs/>
          <w:sz w:val="22"/>
        </w:rPr>
        <w:t>TRGOVAČKIM DRUŠTVIMA</w:t>
      </w:r>
    </w:p>
    <w:p w14:paraId="2CFC861B" w14:textId="77777777" w:rsidR="007F2366" w:rsidRPr="00786DF1" w:rsidRDefault="007F2366" w:rsidP="007F2366">
      <w:pPr>
        <w:jc w:val="both"/>
        <w:rPr>
          <w:rFonts w:cs="Arial"/>
          <w:sz w:val="22"/>
        </w:rPr>
      </w:pPr>
    </w:p>
    <w:p w14:paraId="6EB18CC0" w14:textId="283518DA" w:rsidR="007F2366" w:rsidRPr="00786DF1" w:rsidRDefault="007F2366" w:rsidP="007F236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Udjeli u glavnici trgovačkih društava u javnom sektoru upisanih kod Trgovačkog suda na koncu 20</w:t>
      </w:r>
      <w:r w:rsidR="008259C6" w:rsidRPr="00786DF1">
        <w:rPr>
          <w:rFonts w:cs="Arial"/>
          <w:sz w:val="22"/>
        </w:rPr>
        <w:t>20</w:t>
      </w:r>
      <w:r w:rsidRPr="00786DF1">
        <w:rPr>
          <w:rFonts w:cs="Arial"/>
          <w:sz w:val="22"/>
        </w:rPr>
        <w:t>. Iznose 341.987.272,32 te nije bilo povećanja udjela</w:t>
      </w:r>
      <w:r w:rsidR="008259C6" w:rsidRPr="00786DF1">
        <w:rPr>
          <w:rFonts w:cs="Arial"/>
          <w:sz w:val="22"/>
        </w:rPr>
        <w:t>.</w:t>
      </w:r>
    </w:p>
    <w:p w14:paraId="613AA338" w14:textId="4C876835" w:rsidR="00187D85" w:rsidRPr="00786DF1" w:rsidRDefault="007F2366" w:rsidP="00187D85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Udjeli u trgovačkim društvima izvan javnog sektora iznose 84.</w:t>
      </w:r>
      <w:r w:rsidR="008259C6" w:rsidRPr="00786DF1">
        <w:rPr>
          <w:rFonts w:cs="Arial"/>
          <w:sz w:val="22"/>
        </w:rPr>
        <w:t>787</w:t>
      </w:r>
      <w:r w:rsidRPr="00786DF1">
        <w:rPr>
          <w:rFonts w:cs="Arial"/>
          <w:sz w:val="22"/>
        </w:rPr>
        <w:t>.</w:t>
      </w:r>
      <w:r w:rsidR="008259C6" w:rsidRPr="00786DF1">
        <w:rPr>
          <w:rFonts w:cs="Arial"/>
          <w:sz w:val="22"/>
        </w:rPr>
        <w:t>830</w:t>
      </w:r>
      <w:r w:rsidRPr="00786DF1">
        <w:rPr>
          <w:rFonts w:cs="Arial"/>
          <w:sz w:val="22"/>
        </w:rPr>
        <w:t>,</w:t>
      </w:r>
      <w:r w:rsidR="008259C6" w:rsidRPr="00786DF1">
        <w:rPr>
          <w:rFonts w:cs="Arial"/>
          <w:sz w:val="22"/>
        </w:rPr>
        <w:t>83</w:t>
      </w:r>
      <w:r w:rsidRPr="00786DF1">
        <w:rPr>
          <w:rFonts w:cs="Arial"/>
          <w:sz w:val="22"/>
        </w:rPr>
        <w:t xml:space="preserve"> </w:t>
      </w:r>
      <w:r w:rsidR="008259C6" w:rsidRPr="00786DF1">
        <w:rPr>
          <w:rFonts w:cs="Arial"/>
          <w:sz w:val="22"/>
        </w:rPr>
        <w:t xml:space="preserve">a povećani su za </w:t>
      </w:r>
      <w:r w:rsidRPr="00786DF1">
        <w:rPr>
          <w:rFonts w:cs="Arial"/>
          <w:sz w:val="22"/>
        </w:rPr>
        <w:t>usklađenj</w:t>
      </w:r>
      <w:r w:rsidR="008259C6" w:rsidRPr="00786DF1">
        <w:rPr>
          <w:rFonts w:cs="Arial"/>
          <w:sz w:val="22"/>
        </w:rPr>
        <w:t>a</w:t>
      </w:r>
      <w:r w:rsidRPr="00786DF1">
        <w:rPr>
          <w:rFonts w:cs="Arial"/>
          <w:sz w:val="22"/>
        </w:rPr>
        <w:t xml:space="preserve"> stanja sukladno </w:t>
      </w:r>
      <w:r w:rsidR="008259C6" w:rsidRPr="00786DF1">
        <w:rPr>
          <w:rFonts w:cs="Arial"/>
          <w:sz w:val="22"/>
        </w:rPr>
        <w:t xml:space="preserve">obavijesti </w:t>
      </w:r>
      <w:r w:rsidRPr="00786DF1">
        <w:rPr>
          <w:rFonts w:cs="Arial"/>
          <w:sz w:val="22"/>
        </w:rPr>
        <w:t>SKDD-</w:t>
      </w:r>
      <w:r w:rsidR="008259C6" w:rsidRPr="00786DF1">
        <w:rPr>
          <w:rFonts w:cs="Arial"/>
          <w:sz w:val="22"/>
        </w:rPr>
        <w:t>a.</w:t>
      </w:r>
    </w:p>
    <w:p w14:paraId="2194934E" w14:textId="77777777" w:rsidR="00187D85" w:rsidRPr="00786DF1" w:rsidRDefault="00187D85" w:rsidP="00187D85">
      <w:pPr>
        <w:jc w:val="both"/>
        <w:rPr>
          <w:rFonts w:cs="Arial"/>
          <w:sz w:val="22"/>
        </w:rPr>
      </w:pPr>
    </w:p>
    <w:p w14:paraId="5BE3E9C1" w14:textId="77777777" w:rsidR="00187D85" w:rsidRPr="00786DF1" w:rsidRDefault="00187D85" w:rsidP="00187D85">
      <w:pPr>
        <w:jc w:val="both"/>
        <w:rPr>
          <w:rFonts w:cs="Arial"/>
          <w:b/>
          <w:bCs/>
          <w:sz w:val="22"/>
        </w:rPr>
      </w:pPr>
      <w:r w:rsidRPr="00786DF1">
        <w:rPr>
          <w:rFonts w:cs="Arial"/>
          <w:b/>
          <w:bCs/>
          <w:sz w:val="22"/>
        </w:rPr>
        <w:t>DANA JAMSTVA</w:t>
      </w:r>
    </w:p>
    <w:p w14:paraId="518B89D2" w14:textId="77777777" w:rsidR="00187D85" w:rsidRPr="00786DF1" w:rsidRDefault="00187D85" w:rsidP="00187D85">
      <w:pPr>
        <w:jc w:val="both"/>
        <w:rPr>
          <w:rFonts w:cs="Arial"/>
          <w:sz w:val="22"/>
        </w:rPr>
      </w:pPr>
    </w:p>
    <w:p w14:paraId="71332F07" w14:textId="2A16F90E" w:rsidR="00187D85" w:rsidRPr="00786DF1" w:rsidRDefault="00187D85" w:rsidP="00187D85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Grad Dubrovnik je u 2019. godini dao jamstvo za  zaduženje tvrtki Vodovod za</w:t>
      </w:r>
      <w:r w:rsidR="00556BD4" w:rsidRPr="00786DF1">
        <w:rPr>
          <w:rFonts w:cs="Arial"/>
          <w:sz w:val="22"/>
        </w:rPr>
        <w:t xml:space="preserve"> ulaganje u </w:t>
      </w:r>
      <w:r w:rsidRPr="00786DF1">
        <w:rPr>
          <w:rFonts w:cs="Arial"/>
          <w:sz w:val="22"/>
        </w:rPr>
        <w:t xml:space="preserve"> infrastrukturu </w:t>
      </w:r>
      <w:r w:rsidR="00556BD4" w:rsidRPr="00786DF1">
        <w:rPr>
          <w:rFonts w:cs="Arial"/>
          <w:sz w:val="22"/>
        </w:rPr>
        <w:t>koje se u 2020. godini počelo realizirati</w:t>
      </w:r>
      <w:r w:rsidRPr="00786DF1">
        <w:rPr>
          <w:rFonts w:cs="Arial"/>
          <w:sz w:val="22"/>
        </w:rPr>
        <w:t>.</w:t>
      </w:r>
    </w:p>
    <w:p w14:paraId="53A01568" w14:textId="77777777" w:rsidR="00187D85" w:rsidRPr="00786DF1" w:rsidRDefault="00187D85" w:rsidP="00187D85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Sva društva uredno izvršavaju svoje obveze po kreditima te nije bilo aktivirano niti jedno jamstvo. </w:t>
      </w:r>
    </w:p>
    <w:p w14:paraId="3F6205FB" w14:textId="3D5A36F6" w:rsidR="00187D85" w:rsidRPr="00786DF1" w:rsidRDefault="00187D85" w:rsidP="00187D85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lastRenderedPageBreak/>
        <w:t>U 2017. godini tvrtka Vododvod Dubrovnik je započela povlačiti sredstva po jamstu za pročistać na Ombli, što je nastavljeno i kroz 20</w:t>
      </w:r>
      <w:r w:rsidR="005C6F1C" w:rsidRPr="00786DF1">
        <w:rPr>
          <w:rFonts w:cs="Arial"/>
          <w:sz w:val="22"/>
        </w:rPr>
        <w:t>19</w:t>
      </w:r>
      <w:r w:rsidRPr="00786DF1">
        <w:rPr>
          <w:rFonts w:cs="Arial"/>
          <w:sz w:val="22"/>
        </w:rPr>
        <w:t>.</w:t>
      </w:r>
      <w:r w:rsidR="007C5B27" w:rsidRPr="00786DF1">
        <w:rPr>
          <w:rFonts w:cs="Arial"/>
          <w:sz w:val="22"/>
        </w:rPr>
        <w:t>,</w:t>
      </w:r>
      <w:r w:rsidRPr="00786DF1">
        <w:rPr>
          <w:rFonts w:cs="Arial"/>
          <w:sz w:val="22"/>
        </w:rPr>
        <w:t xml:space="preserve"> te </w:t>
      </w:r>
      <w:r w:rsidR="005C6F1C" w:rsidRPr="00786DF1">
        <w:rPr>
          <w:rFonts w:cs="Arial"/>
          <w:sz w:val="22"/>
        </w:rPr>
        <w:t xml:space="preserve">je u 2020. godini </w:t>
      </w:r>
      <w:r w:rsidRPr="00786DF1">
        <w:rPr>
          <w:rFonts w:cs="Arial"/>
          <w:sz w:val="22"/>
        </w:rPr>
        <w:t xml:space="preserve"> započela otplata kredita.</w:t>
      </w:r>
      <w:r w:rsidR="005C6F1C" w:rsidRPr="00786DF1">
        <w:rPr>
          <w:rFonts w:cs="Arial"/>
          <w:sz w:val="22"/>
        </w:rPr>
        <w:t xml:space="preserve"> Također je tvrtka Vodovod otplatila jedan kredit za koje je Grad dao jamstvo a odnosio se na rekonstrukciju visoke zone Osojnika.</w:t>
      </w:r>
    </w:p>
    <w:p w14:paraId="2E8C47CD" w14:textId="3A91970D" w:rsidR="00187D85" w:rsidRPr="00786DF1" w:rsidRDefault="00187D85" w:rsidP="00187D85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Stanje danih jamstava na dan 31.12.2018. godine je </w:t>
      </w:r>
      <w:r w:rsidR="005C6F1C" w:rsidRPr="00786DF1">
        <w:rPr>
          <w:rFonts w:cs="Arial"/>
          <w:sz w:val="22"/>
        </w:rPr>
        <w:t>69</w:t>
      </w:r>
      <w:r w:rsidRPr="00786DF1">
        <w:rPr>
          <w:rFonts w:cs="Arial"/>
          <w:sz w:val="22"/>
        </w:rPr>
        <w:t>.</w:t>
      </w:r>
      <w:r w:rsidR="005C6F1C" w:rsidRPr="00786DF1">
        <w:rPr>
          <w:rFonts w:cs="Arial"/>
          <w:sz w:val="22"/>
        </w:rPr>
        <w:t>610</w:t>
      </w:r>
      <w:r w:rsidRPr="00786DF1">
        <w:rPr>
          <w:rFonts w:cs="Arial"/>
          <w:sz w:val="22"/>
        </w:rPr>
        <w:t>.</w:t>
      </w:r>
      <w:r w:rsidR="005C6F1C" w:rsidRPr="00786DF1">
        <w:rPr>
          <w:rFonts w:cs="Arial"/>
          <w:sz w:val="22"/>
        </w:rPr>
        <w:t>603</w:t>
      </w:r>
      <w:r w:rsidRPr="00786DF1">
        <w:rPr>
          <w:rFonts w:cs="Arial"/>
          <w:sz w:val="22"/>
        </w:rPr>
        <w:t>,</w:t>
      </w:r>
      <w:r w:rsidR="005C6F1C" w:rsidRPr="00786DF1">
        <w:rPr>
          <w:rFonts w:cs="Arial"/>
          <w:sz w:val="22"/>
        </w:rPr>
        <w:t>67</w:t>
      </w:r>
      <w:r w:rsidRPr="00786DF1">
        <w:rPr>
          <w:rFonts w:cs="Arial"/>
          <w:sz w:val="22"/>
        </w:rPr>
        <w:t xml:space="preserve"> kune.</w:t>
      </w:r>
    </w:p>
    <w:p w14:paraId="7E5CAADB" w14:textId="44138B4B" w:rsidR="00C66B9B" w:rsidRPr="00786DF1" w:rsidRDefault="00C66B9B" w:rsidP="00187D85">
      <w:pPr>
        <w:jc w:val="both"/>
        <w:rPr>
          <w:rFonts w:cs="Arial"/>
          <w:sz w:val="22"/>
        </w:rPr>
      </w:pPr>
    </w:p>
    <w:p w14:paraId="02CC49EB" w14:textId="77777777" w:rsidR="00187D85" w:rsidRPr="00786DF1" w:rsidRDefault="00187D85" w:rsidP="00187D85">
      <w:pPr>
        <w:jc w:val="both"/>
        <w:rPr>
          <w:rFonts w:cs="Arial"/>
          <w:sz w:val="22"/>
        </w:rPr>
      </w:pPr>
    </w:p>
    <w:p w14:paraId="723C631B" w14:textId="77777777" w:rsidR="00187D85" w:rsidRPr="00786DF1" w:rsidRDefault="00187D85" w:rsidP="00187D85">
      <w:pPr>
        <w:jc w:val="both"/>
        <w:rPr>
          <w:rFonts w:cs="Arial"/>
          <w:b/>
          <w:bCs/>
          <w:sz w:val="22"/>
        </w:rPr>
      </w:pPr>
      <w:r w:rsidRPr="00786DF1">
        <w:rPr>
          <w:rFonts w:cs="Arial"/>
          <w:b/>
          <w:bCs/>
          <w:sz w:val="22"/>
        </w:rPr>
        <w:t>DANE SUGLASNOSTI</w:t>
      </w:r>
    </w:p>
    <w:p w14:paraId="11B2FF7F" w14:textId="77777777" w:rsidR="00187D85" w:rsidRPr="00786DF1" w:rsidRDefault="00187D85" w:rsidP="00187D85">
      <w:pPr>
        <w:jc w:val="both"/>
        <w:rPr>
          <w:rFonts w:cs="Arial"/>
          <w:sz w:val="22"/>
        </w:rPr>
      </w:pPr>
    </w:p>
    <w:p w14:paraId="1B0058EC" w14:textId="7BDB2425" w:rsidR="00187D85" w:rsidRPr="00786DF1" w:rsidRDefault="00187D85" w:rsidP="00187D85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Grad Dubrovnik je u 20</w:t>
      </w:r>
      <w:r w:rsidR="005C6F1C" w:rsidRPr="00786DF1">
        <w:rPr>
          <w:rFonts w:cs="Arial"/>
          <w:sz w:val="22"/>
        </w:rPr>
        <w:t>20</w:t>
      </w:r>
      <w:r w:rsidRPr="00786DF1">
        <w:rPr>
          <w:rFonts w:cs="Arial"/>
          <w:sz w:val="22"/>
        </w:rPr>
        <w:t xml:space="preserve">. godini </w:t>
      </w:r>
      <w:r w:rsidR="005C6F1C" w:rsidRPr="00786DF1">
        <w:rPr>
          <w:rFonts w:cs="Arial"/>
          <w:sz w:val="22"/>
        </w:rPr>
        <w:t>dao suglasnost za zaduženje tvrtki Libertas Dubrovnik koja se počela realizirati također kroz 2020. godinu</w:t>
      </w:r>
    </w:p>
    <w:p w14:paraId="77600888" w14:textId="77777777" w:rsidR="00187D85" w:rsidRPr="00786DF1" w:rsidRDefault="00187D85" w:rsidP="00187D85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Sve otplate po kreditima za koje su dane suglasnosti u prošlim godinama se uredno otplaćuju.</w:t>
      </w:r>
    </w:p>
    <w:p w14:paraId="7A78D2D7" w14:textId="223809D1" w:rsidR="008900AF" w:rsidRPr="00786DF1" w:rsidRDefault="00187D85" w:rsidP="00187D85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U izvanbilančnoj evidenciji Grada Dubrovnika, stanje danih suglasnosti iznosi 1</w:t>
      </w:r>
      <w:r w:rsidR="005C6F1C" w:rsidRPr="00786DF1">
        <w:rPr>
          <w:rFonts w:cs="Arial"/>
          <w:sz w:val="22"/>
        </w:rPr>
        <w:t>7</w:t>
      </w:r>
      <w:r w:rsidRPr="00786DF1">
        <w:rPr>
          <w:rFonts w:cs="Arial"/>
          <w:sz w:val="22"/>
        </w:rPr>
        <w:t>.</w:t>
      </w:r>
      <w:r w:rsidR="005C6F1C" w:rsidRPr="00786DF1">
        <w:rPr>
          <w:rFonts w:cs="Arial"/>
          <w:sz w:val="22"/>
        </w:rPr>
        <w:t>151</w:t>
      </w:r>
      <w:r w:rsidRPr="00786DF1">
        <w:rPr>
          <w:rFonts w:cs="Arial"/>
          <w:sz w:val="22"/>
        </w:rPr>
        <w:t>.</w:t>
      </w:r>
      <w:r w:rsidR="005C6F1C" w:rsidRPr="00786DF1">
        <w:rPr>
          <w:rFonts w:cs="Arial"/>
          <w:sz w:val="22"/>
        </w:rPr>
        <w:t>679</w:t>
      </w:r>
      <w:r w:rsidRPr="00786DF1">
        <w:rPr>
          <w:rFonts w:cs="Arial"/>
          <w:sz w:val="22"/>
        </w:rPr>
        <w:t>,</w:t>
      </w:r>
      <w:r w:rsidR="005C6F1C" w:rsidRPr="00786DF1">
        <w:rPr>
          <w:rFonts w:cs="Arial"/>
          <w:sz w:val="22"/>
        </w:rPr>
        <w:t>86</w:t>
      </w:r>
      <w:r w:rsidRPr="00786DF1">
        <w:rPr>
          <w:rFonts w:cs="Arial"/>
          <w:sz w:val="22"/>
        </w:rPr>
        <w:t xml:space="preserve"> kuna.</w:t>
      </w:r>
    </w:p>
    <w:p w14:paraId="6F811F69" w14:textId="03C99ABC" w:rsidR="00187D85" w:rsidRPr="00786DF1" w:rsidRDefault="00187D85" w:rsidP="00FE5C16">
      <w:pPr>
        <w:jc w:val="both"/>
        <w:rPr>
          <w:rFonts w:cs="Arial"/>
          <w:sz w:val="22"/>
        </w:rPr>
      </w:pPr>
    </w:p>
    <w:p w14:paraId="6841DAD6" w14:textId="77777777" w:rsidR="007F2366" w:rsidRPr="00786DF1" w:rsidRDefault="007F2366" w:rsidP="00FE5C16">
      <w:pPr>
        <w:jc w:val="both"/>
        <w:rPr>
          <w:rFonts w:cs="Arial"/>
          <w:sz w:val="22"/>
        </w:rPr>
      </w:pPr>
    </w:p>
    <w:p w14:paraId="40F3227A" w14:textId="77777777" w:rsidR="00AD59D7" w:rsidRPr="00786DF1" w:rsidRDefault="00AD59D7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 </w:t>
      </w:r>
      <w:r w:rsidR="005952B0" w:rsidRPr="00786DF1">
        <w:rPr>
          <w:rFonts w:cs="Arial"/>
          <w:sz w:val="22"/>
        </w:rPr>
        <w:tab/>
      </w:r>
      <w:r w:rsidR="005952B0" w:rsidRPr="00786DF1">
        <w:rPr>
          <w:rFonts w:cs="Arial"/>
          <w:sz w:val="22"/>
        </w:rPr>
        <w:tab/>
      </w:r>
      <w:r w:rsidR="005952B0" w:rsidRPr="00786DF1">
        <w:rPr>
          <w:rFonts w:cs="Arial"/>
          <w:sz w:val="22"/>
        </w:rPr>
        <w:tab/>
      </w:r>
      <w:r w:rsidR="005952B0" w:rsidRPr="00786DF1">
        <w:rPr>
          <w:rFonts w:cs="Arial"/>
          <w:sz w:val="22"/>
        </w:rPr>
        <w:tab/>
      </w:r>
      <w:r w:rsidR="005952B0" w:rsidRPr="00786DF1">
        <w:rPr>
          <w:rFonts w:cs="Arial"/>
          <w:sz w:val="22"/>
        </w:rPr>
        <w:tab/>
      </w:r>
      <w:r w:rsidR="005952B0" w:rsidRPr="00786DF1">
        <w:rPr>
          <w:rFonts w:cs="Arial"/>
          <w:sz w:val="22"/>
        </w:rPr>
        <w:tab/>
      </w:r>
      <w:r w:rsidR="0043043D" w:rsidRPr="00786DF1">
        <w:rPr>
          <w:rFonts w:cs="Arial"/>
          <w:sz w:val="22"/>
        </w:rPr>
        <w:t xml:space="preserve">           Gradonačelnik</w:t>
      </w:r>
    </w:p>
    <w:p w14:paraId="4A7E85C0" w14:textId="77777777" w:rsidR="005952B0" w:rsidRPr="00786DF1" w:rsidRDefault="005952B0" w:rsidP="00FE5C16">
      <w:pPr>
        <w:jc w:val="both"/>
        <w:rPr>
          <w:rFonts w:cs="Arial"/>
          <w:sz w:val="22"/>
        </w:rPr>
      </w:pPr>
    </w:p>
    <w:p w14:paraId="72DDF203" w14:textId="77777777" w:rsidR="005952B0" w:rsidRPr="00786DF1" w:rsidRDefault="005952B0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ab/>
      </w:r>
      <w:r w:rsidRPr="00786DF1">
        <w:rPr>
          <w:rFonts w:cs="Arial"/>
          <w:sz w:val="22"/>
        </w:rPr>
        <w:tab/>
      </w:r>
      <w:r w:rsidRPr="00786DF1">
        <w:rPr>
          <w:rFonts w:cs="Arial"/>
          <w:sz w:val="22"/>
        </w:rPr>
        <w:tab/>
      </w:r>
      <w:r w:rsidRPr="00786DF1">
        <w:rPr>
          <w:rFonts w:cs="Arial"/>
          <w:sz w:val="22"/>
        </w:rPr>
        <w:tab/>
      </w:r>
      <w:r w:rsidRPr="00786DF1">
        <w:rPr>
          <w:rFonts w:cs="Arial"/>
          <w:sz w:val="22"/>
        </w:rPr>
        <w:tab/>
      </w:r>
      <w:r w:rsidRPr="00786DF1">
        <w:rPr>
          <w:rFonts w:cs="Arial"/>
          <w:sz w:val="22"/>
        </w:rPr>
        <w:tab/>
      </w:r>
      <w:r w:rsidRPr="00786DF1">
        <w:rPr>
          <w:rFonts w:cs="Arial"/>
          <w:sz w:val="22"/>
        </w:rPr>
        <w:tab/>
        <w:t>Mato Franković</w:t>
      </w:r>
    </w:p>
    <w:p w14:paraId="479A4012" w14:textId="77777777" w:rsidR="008C2020" w:rsidRPr="00786DF1" w:rsidRDefault="008C2020" w:rsidP="00FE5C16">
      <w:pPr>
        <w:rPr>
          <w:rFonts w:cs="Arial"/>
          <w:sz w:val="22"/>
        </w:rPr>
      </w:pPr>
    </w:p>
    <w:sectPr w:rsidR="008C2020" w:rsidRPr="00786DF1" w:rsidSect="008C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B3644A"/>
    <w:multiLevelType w:val="hybridMultilevel"/>
    <w:tmpl w:val="F0E410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741"/>
    <w:rsid w:val="000276D9"/>
    <w:rsid w:val="00033659"/>
    <w:rsid w:val="00035741"/>
    <w:rsid w:val="0006467D"/>
    <w:rsid w:val="000B6C98"/>
    <w:rsid w:val="000E15C5"/>
    <w:rsid w:val="001130CD"/>
    <w:rsid w:val="0011452D"/>
    <w:rsid w:val="001335FB"/>
    <w:rsid w:val="001636AA"/>
    <w:rsid w:val="00173257"/>
    <w:rsid w:val="00187D85"/>
    <w:rsid w:val="001A2292"/>
    <w:rsid w:val="001E27CD"/>
    <w:rsid w:val="00237208"/>
    <w:rsid w:val="00241186"/>
    <w:rsid w:val="0024785D"/>
    <w:rsid w:val="00253EAC"/>
    <w:rsid w:val="00255FFF"/>
    <w:rsid w:val="002D38CD"/>
    <w:rsid w:val="002E16AA"/>
    <w:rsid w:val="002E29B8"/>
    <w:rsid w:val="00302517"/>
    <w:rsid w:val="00310667"/>
    <w:rsid w:val="00353954"/>
    <w:rsid w:val="00357CE0"/>
    <w:rsid w:val="00374225"/>
    <w:rsid w:val="003A0FFE"/>
    <w:rsid w:val="003B026B"/>
    <w:rsid w:val="003C34F5"/>
    <w:rsid w:val="0043043D"/>
    <w:rsid w:val="00440E94"/>
    <w:rsid w:val="004A4E52"/>
    <w:rsid w:val="004B0A64"/>
    <w:rsid w:val="004D6FAD"/>
    <w:rsid w:val="00556BD4"/>
    <w:rsid w:val="005576A8"/>
    <w:rsid w:val="00561DCD"/>
    <w:rsid w:val="005952B0"/>
    <w:rsid w:val="0059532E"/>
    <w:rsid w:val="005C6F1C"/>
    <w:rsid w:val="005D1B2A"/>
    <w:rsid w:val="00622627"/>
    <w:rsid w:val="006263E8"/>
    <w:rsid w:val="0063743F"/>
    <w:rsid w:val="00651DCD"/>
    <w:rsid w:val="00675A54"/>
    <w:rsid w:val="0067742B"/>
    <w:rsid w:val="0068367E"/>
    <w:rsid w:val="00687945"/>
    <w:rsid w:val="00691678"/>
    <w:rsid w:val="006C6FA6"/>
    <w:rsid w:val="006E4F86"/>
    <w:rsid w:val="006F1A34"/>
    <w:rsid w:val="007137FF"/>
    <w:rsid w:val="00786DF1"/>
    <w:rsid w:val="007A0C4C"/>
    <w:rsid w:val="007B608E"/>
    <w:rsid w:val="007C5B27"/>
    <w:rsid w:val="007F2366"/>
    <w:rsid w:val="00815B0E"/>
    <w:rsid w:val="00815CB3"/>
    <w:rsid w:val="008259C6"/>
    <w:rsid w:val="0085040B"/>
    <w:rsid w:val="008900AF"/>
    <w:rsid w:val="0089444C"/>
    <w:rsid w:val="008C2020"/>
    <w:rsid w:val="008D1D24"/>
    <w:rsid w:val="008F4E2E"/>
    <w:rsid w:val="008F639A"/>
    <w:rsid w:val="008F7A16"/>
    <w:rsid w:val="00901AFA"/>
    <w:rsid w:val="00963AFE"/>
    <w:rsid w:val="00983CE1"/>
    <w:rsid w:val="009B425E"/>
    <w:rsid w:val="009D083B"/>
    <w:rsid w:val="009E34D9"/>
    <w:rsid w:val="009E4D86"/>
    <w:rsid w:val="00A50E06"/>
    <w:rsid w:val="00A62F48"/>
    <w:rsid w:val="00AD59D7"/>
    <w:rsid w:val="00B2627B"/>
    <w:rsid w:val="00B47AE0"/>
    <w:rsid w:val="00B714A5"/>
    <w:rsid w:val="00BD6AE1"/>
    <w:rsid w:val="00C06BB9"/>
    <w:rsid w:val="00C66B9B"/>
    <w:rsid w:val="00C85FF6"/>
    <w:rsid w:val="00C93AAE"/>
    <w:rsid w:val="00CF1135"/>
    <w:rsid w:val="00CF601B"/>
    <w:rsid w:val="00D14470"/>
    <w:rsid w:val="00D84CE3"/>
    <w:rsid w:val="00DB0EDE"/>
    <w:rsid w:val="00E17B4F"/>
    <w:rsid w:val="00E238DE"/>
    <w:rsid w:val="00E36025"/>
    <w:rsid w:val="00E43C04"/>
    <w:rsid w:val="00E565D7"/>
    <w:rsid w:val="00E64D42"/>
    <w:rsid w:val="00E76D83"/>
    <w:rsid w:val="00E91A31"/>
    <w:rsid w:val="00EA0B22"/>
    <w:rsid w:val="00EE4547"/>
    <w:rsid w:val="00EE47E2"/>
    <w:rsid w:val="00EF69C0"/>
    <w:rsid w:val="00F04B74"/>
    <w:rsid w:val="00FA16DE"/>
    <w:rsid w:val="00FB5246"/>
    <w:rsid w:val="00FC6EB3"/>
    <w:rsid w:val="00FD1EE6"/>
    <w:rsid w:val="00FE1341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BA46"/>
  <w15:docId w15:val="{C9AFF836-9487-4C99-A4F7-714FC3A3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741"/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C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C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41"/>
    <w:pPr>
      <w:ind w:left="720"/>
      <w:contextualSpacing/>
    </w:pPr>
  </w:style>
  <w:style w:type="paragraph" w:styleId="NoSpacing">
    <w:name w:val="No Spacing"/>
    <w:uiPriority w:val="1"/>
    <w:qFormat/>
    <w:rsid w:val="00FE5C16"/>
    <w:pPr>
      <w:spacing w:line="240" w:lineRule="auto"/>
    </w:pPr>
    <w:rPr>
      <w:rFonts w:ascii="Arial" w:eastAsia="Calibri" w:hAnsi="Arial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5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5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5C1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5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5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finpror</dc:creator>
  <cp:keywords/>
  <dc:description/>
  <cp:lastModifiedBy>Maro Bajo</cp:lastModifiedBy>
  <cp:revision>51</cp:revision>
  <cp:lastPrinted>2020-02-17T09:44:00Z</cp:lastPrinted>
  <dcterms:created xsi:type="dcterms:W3CDTF">2018-02-14T09:45:00Z</dcterms:created>
  <dcterms:modified xsi:type="dcterms:W3CDTF">2021-02-15T11:18:00Z</dcterms:modified>
</cp:coreProperties>
</file>