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Pr="00A943E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054E1C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621281" w:rsidRPr="00054E1C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KLASA:</w:t>
      </w:r>
      <w:r w:rsidR="00054E1C">
        <w:rPr>
          <w:rFonts w:ascii="Arial" w:hAnsi="Arial" w:cs="Arial"/>
          <w:sz w:val="22"/>
          <w:szCs w:val="22"/>
        </w:rPr>
        <w:t xml:space="preserve"> 400-06/20-02/01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URBROJ:</w:t>
      </w:r>
      <w:r w:rsidR="00054E1C">
        <w:rPr>
          <w:rFonts w:ascii="Arial" w:hAnsi="Arial" w:cs="Arial"/>
          <w:sz w:val="22"/>
          <w:szCs w:val="22"/>
        </w:rPr>
        <w:t xml:space="preserve"> 2117/01-09-20-15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Dubrovnik,</w:t>
      </w:r>
      <w:r w:rsidR="00054E1C">
        <w:rPr>
          <w:rFonts w:ascii="Arial" w:hAnsi="Arial" w:cs="Arial"/>
          <w:sz w:val="22"/>
          <w:szCs w:val="22"/>
        </w:rPr>
        <w:t xml:space="preserve"> 16. studenog </w:t>
      </w:r>
      <w:r w:rsidRPr="00A943EC">
        <w:rPr>
          <w:rFonts w:ascii="Arial" w:hAnsi="Arial" w:cs="Arial"/>
          <w:sz w:val="22"/>
          <w:szCs w:val="22"/>
        </w:rPr>
        <w:t>20</w:t>
      </w:r>
      <w:r w:rsidR="007235FA">
        <w:rPr>
          <w:rFonts w:ascii="Arial" w:hAnsi="Arial" w:cs="Arial"/>
          <w:sz w:val="22"/>
          <w:szCs w:val="22"/>
        </w:rPr>
        <w:t>20</w:t>
      </w:r>
      <w:r w:rsidRPr="00A943EC">
        <w:rPr>
          <w:rFonts w:ascii="Arial" w:hAnsi="Arial" w:cs="Arial"/>
          <w:sz w:val="22"/>
          <w:szCs w:val="22"/>
        </w:rPr>
        <w:t xml:space="preserve">. 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54E1C" w:rsidRPr="00A943EC" w:rsidRDefault="00054E1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Na temelju članka 14. Zakona o proračunu (</w:t>
      </w:r>
      <w:r w:rsidR="00054E1C" w:rsidRPr="00054E1C">
        <w:rPr>
          <w:rFonts w:ascii="Arial" w:hAnsi="Arial" w:cs="Arial"/>
          <w:sz w:val="22"/>
          <w:szCs w:val="22"/>
        </w:rPr>
        <w:t>„</w:t>
      </w:r>
      <w:r w:rsidRPr="00054E1C">
        <w:rPr>
          <w:rFonts w:ascii="Arial" w:hAnsi="Arial" w:cs="Arial"/>
          <w:sz w:val="22"/>
          <w:szCs w:val="22"/>
        </w:rPr>
        <w:t>Narodne novine</w:t>
      </w:r>
      <w:r w:rsidR="00054E1C" w:rsidRPr="00054E1C">
        <w:rPr>
          <w:rFonts w:ascii="Arial" w:hAnsi="Arial" w:cs="Arial"/>
          <w:sz w:val="22"/>
          <w:szCs w:val="22"/>
        </w:rPr>
        <w:t>“,</w:t>
      </w:r>
      <w:r w:rsidRPr="00054E1C">
        <w:rPr>
          <w:rFonts w:ascii="Arial" w:hAnsi="Arial" w:cs="Arial"/>
          <w:sz w:val="22"/>
          <w:szCs w:val="22"/>
        </w:rPr>
        <w:t xml:space="preserve"> broj 87/08., 136/12 i 15/15) i članka 32. Statuta Grada Dubrovnika (</w:t>
      </w:r>
      <w:r w:rsidR="00054E1C" w:rsidRPr="00054E1C">
        <w:rPr>
          <w:rFonts w:ascii="Arial" w:hAnsi="Arial" w:cs="Arial"/>
          <w:sz w:val="22"/>
          <w:szCs w:val="22"/>
        </w:rPr>
        <w:t>„</w:t>
      </w:r>
      <w:r w:rsidRPr="00054E1C">
        <w:rPr>
          <w:rFonts w:ascii="Arial" w:hAnsi="Arial" w:cs="Arial"/>
          <w:sz w:val="22"/>
          <w:szCs w:val="22"/>
        </w:rPr>
        <w:t>Službeni glasnik Grada Dubrovnika</w:t>
      </w:r>
      <w:r w:rsidR="00054E1C" w:rsidRPr="00054E1C">
        <w:rPr>
          <w:rFonts w:ascii="Arial" w:hAnsi="Arial" w:cs="Arial"/>
          <w:sz w:val="22"/>
          <w:szCs w:val="22"/>
        </w:rPr>
        <w:t>“</w:t>
      </w:r>
      <w:r w:rsidRPr="00054E1C">
        <w:rPr>
          <w:rFonts w:ascii="Arial" w:hAnsi="Arial" w:cs="Arial"/>
          <w:sz w:val="22"/>
          <w:szCs w:val="22"/>
        </w:rPr>
        <w:t>, broj 4/09., 6/10., 3/11., 14/12., 5/13.</w:t>
      </w:r>
      <w:r w:rsidR="00054E1C" w:rsidRPr="00054E1C">
        <w:rPr>
          <w:rFonts w:ascii="Arial" w:hAnsi="Arial" w:cs="Arial"/>
          <w:sz w:val="22"/>
          <w:szCs w:val="22"/>
        </w:rPr>
        <w:t>,</w:t>
      </w:r>
      <w:r w:rsidRPr="00054E1C">
        <w:rPr>
          <w:rFonts w:ascii="Arial" w:hAnsi="Arial" w:cs="Arial"/>
          <w:sz w:val="22"/>
          <w:szCs w:val="22"/>
        </w:rPr>
        <w:t xml:space="preserve"> 6/13 – pročišćeni tekst</w:t>
      </w:r>
      <w:r w:rsidR="00754A18" w:rsidRPr="00054E1C">
        <w:rPr>
          <w:rFonts w:ascii="Arial" w:hAnsi="Arial" w:cs="Arial"/>
          <w:sz w:val="22"/>
          <w:szCs w:val="22"/>
        </w:rPr>
        <w:t xml:space="preserve">, </w:t>
      </w:r>
      <w:r w:rsidRPr="00054E1C">
        <w:rPr>
          <w:rFonts w:ascii="Arial" w:hAnsi="Arial" w:cs="Arial"/>
          <w:sz w:val="22"/>
          <w:szCs w:val="22"/>
        </w:rPr>
        <w:t xml:space="preserve"> 9/15</w:t>
      </w:r>
      <w:r w:rsidR="00754A18" w:rsidRPr="00054E1C">
        <w:rPr>
          <w:rFonts w:ascii="Arial" w:hAnsi="Arial" w:cs="Arial"/>
          <w:sz w:val="22"/>
          <w:szCs w:val="22"/>
        </w:rPr>
        <w:t xml:space="preserve"> i 5/18</w:t>
      </w:r>
      <w:r w:rsidRPr="00054E1C">
        <w:rPr>
          <w:rFonts w:ascii="Arial" w:hAnsi="Arial" w:cs="Arial"/>
          <w:sz w:val="22"/>
          <w:szCs w:val="22"/>
        </w:rPr>
        <w:t xml:space="preserve">), Gradsko vijeće Grada Dubrovnika na </w:t>
      </w:r>
      <w:r w:rsidR="00054E1C" w:rsidRPr="00054E1C">
        <w:rPr>
          <w:rFonts w:ascii="Arial" w:hAnsi="Arial" w:cs="Arial"/>
          <w:sz w:val="22"/>
          <w:szCs w:val="22"/>
        </w:rPr>
        <w:t>34.</w:t>
      </w:r>
      <w:r w:rsidRPr="00054E1C">
        <w:rPr>
          <w:rFonts w:ascii="Arial" w:hAnsi="Arial" w:cs="Arial"/>
          <w:sz w:val="22"/>
          <w:szCs w:val="22"/>
        </w:rPr>
        <w:t xml:space="preserve"> sjednici, održanoj</w:t>
      </w:r>
      <w:r w:rsidR="00054E1C" w:rsidRPr="00054E1C">
        <w:rPr>
          <w:rFonts w:ascii="Arial" w:hAnsi="Arial" w:cs="Arial"/>
          <w:sz w:val="22"/>
          <w:szCs w:val="22"/>
        </w:rPr>
        <w:t xml:space="preserve"> 16. studenog</w:t>
      </w:r>
      <w:r w:rsidRPr="00054E1C">
        <w:rPr>
          <w:rFonts w:ascii="Arial" w:hAnsi="Arial" w:cs="Arial"/>
          <w:sz w:val="22"/>
          <w:szCs w:val="22"/>
        </w:rPr>
        <w:t xml:space="preserve"> 20</w:t>
      </w:r>
      <w:r w:rsidR="00F22EC9" w:rsidRPr="00054E1C">
        <w:rPr>
          <w:rFonts w:ascii="Arial" w:hAnsi="Arial" w:cs="Arial"/>
          <w:sz w:val="22"/>
          <w:szCs w:val="22"/>
        </w:rPr>
        <w:t>20</w:t>
      </w:r>
      <w:r w:rsidRPr="00054E1C">
        <w:rPr>
          <w:rFonts w:ascii="Arial" w:hAnsi="Arial" w:cs="Arial"/>
          <w:sz w:val="22"/>
          <w:szCs w:val="22"/>
        </w:rPr>
        <w:t>., donijelo je</w:t>
      </w:r>
    </w:p>
    <w:p w:rsidR="00674303" w:rsidRPr="00054E1C" w:rsidRDefault="00674303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b/>
          <w:sz w:val="22"/>
          <w:szCs w:val="22"/>
        </w:rPr>
      </w:pPr>
      <w:r w:rsidRPr="00054E1C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054E1C" w:rsidRDefault="00621281" w:rsidP="00054E1C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054E1C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054E1C" w:rsidRDefault="00621281" w:rsidP="00054E1C">
      <w:pPr>
        <w:jc w:val="center"/>
        <w:rPr>
          <w:rFonts w:ascii="Arial" w:hAnsi="Arial" w:cs="Arial"/>
          <w:b/>
          <w:sz w:val="22"/>
          <w:szCs w:val="22"/>
        </w:rPr>
      </w:pPr>
      <w:r w:rsidRPr="00054E1C">
        <w:rPr>
          <w:rFonts w:ascii="Arial" w:hAnsi="Arial" w:cs="Arial"/>
          <w:b/>
          <w:sz w:val="22"/>
          <w:szCs w:val="22"/>
        </w:rPr>
        <w:t>GRADA DUBROVNIKA ZA 20</w:t>
      </w:r>
      <w:r w:rsidR="00D937EB" w:rsidRPr="00054E1C">
        <w:rPr>
          <w:rFonts w:ascii="Arial" w:hAnsi="Arial" w:cs="Arial"/>
          <w:b/>
          <w:sz w:val="22"/>
          <w:szCs w:val="22"/>
        </w:rPr>
        <w:t>2</w:t>
      </w:r>
      <w:r w:rsidR="00FE4D0A" w:rsidRPr="00054E1C">
        <w:rPr>
          <w:rFonts w:ascii="Arial" w:hAnsi="Arial" w:cs="Arial"/>
          <w:b/>
          <w:sz w:val="22"/>
          <w:szCs w:val="22"/>
        </w:rPr>
        <w:t>1</w:t>
      </w:r>
      <w:r w:rsidR="00D937EB" w:rsidRPr="00054E1C">
        <w:rPr>
          <w:rFonts w:ascii="Arial" w:hAnsi="Arial" w:cs="Arial"/>
          <w:b/>
          <w:sz w:val="22"/>
          <w:szCs w:val="22"/>
        </w:rPr>
        <w:t xml:space="preserve">. </w:t>
      </w:r>
      <w:r w:rsidRPr="00054E1C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077BF6" w:rsidRPr="00054E1C" w:rsidRDefault="00077BF6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rPr>
          <w:rFonts w:ascii="Arial" w:hAnsi="Arial" w:cs="Arial"/>
          <w:b/>
          <w:sz w:val="22"/>
          <w:szCs w:val="22"/>
        </w:rPr>
      </w:pPr>
      <w:r w:rsidRPr="00054E1C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054E1C">
        <w:rPr>
          <w:rFonts w:ascii="Arial" w:hAnsi="Arial" w:cs="Arial"/>
          <w:sz w:val="22"/>
          <w:szCs w:val="22"/>
        </w:rPr>
        <w:t xml:space="preserve"> za 202</w:t>
      </w:r>
      <w:r w:rsidR="00246712" w:rsidRPr="00054E1C">
        <w:rPr>
          <w:rFonts w:ascii="Arial" w:hAnsi="Arial" w:cs="Arial"/>
          <w:sz w:val="22"/>
          <w:szCs w:val="22"/>
        </w:rPr>
        <w:t>1</w:t>
      </w:r>
      <w:r w:rsidR="00833AB5" w:rsidRPr="00054E1C">
        <w:rPr>
          <w:rFonts w:ascii="Arial" w:hAnsi="Arial" w:cs="Arial"/>
          <w:sz w:val="22"/>
          <w:szCs w:val="22"/>
        </w:rPr>
        <w:t>. godinu</w:t>
      </w:r>
      <w:r w:rsidRPr="00054E1C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dugom te gradskom financijskom i nefinancijskom imovinom,  prava i obveze korisnika proračunskih sredstva, te ovlasti Gradonačelnika  u izvršavanju proračuna</w:t>
      </w:r>
      <w:r w:rsidR="00833AB5"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054E1C">
        <w:rPr>
          <w:rFonts w:ascii="Arial" w:hAnsi="Arial" w:cs="Arial"/>
          <w:sz w:val="22"/>
          <w:szCs w:val="22"/>
        </w:rPr>
        <w:t>2</w:t>
      </w:r>
      <w:r w:rsidR="0037037B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 xml:space="preserve">. godinu ne smiju biti veći od </w:t>
      </w:r>
      <w:r w:rsidR="00B253F5" w:rsidRPr="00054E1C">
        <w:rPr>
          <w:rFonts w:ascii="Arial" w:hAnsi="Arial" w:cs="Arial"/>
          <w:sz w:val="22"/>
          <w:szCs w:val="22"/>
        </w:rPr>
        <w:t>579.335.780</w:t>
      </w:r>
      <w:r w:rsidRPr="00054E1C">
        <w:rPr>
          <w:rFonts w:ascii="Arial" w:hAnsi="Arial" w:cs="Arial"/>
          <w:sz w:val="22"/>
          <w:szCs w:val="22"/>
        </w:rPr>
        <w:t xml:space="preserve"> kuna.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077BF6" w:rsidRPr="00054E1C" w:rsidRDefault="00077BF6" w:rsidP="00054E1C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054E1C" w:rsidRDefault="00621281" w:rsidP="00054E1C">
      <w:pPr>
        <w:rPr>
          <w:rFonts w:ascii="Arial" w:hAnsi="Arial" w:cs="Arial"/>
          <w:b/>
          <w:sz w:val="22"/>
          <w:szCs w:val="22"/>
        </w:rPr>
      </w:pPr>
      <w:r w:rsidRPr="00054E1C">
        <w:rPr>
          <w:rFonts w:ascii="Arial" w:hAnsi="Arial" w:cs="Arial"/>
          <w:b/>
          <w:sz w:val="22"/>
          <w:szCs w:val="22"/>
          <w:lang w:val="de-DE"/>
        </w:rPr>
        <w:t>II</w:t>
      </w:r>
      <w:r w:rsidRPr="00054E1C">
        <w:rPr>
          <w:rFonts w:ascii="Arial" w:hAnsi="Arial" w:cs="Arial"/>
          <w:b/>
          <w:sz w:val="22"/>
          <w:szCs w:val="22"/>
        </w:rPr>
        <w:t xml:space="preserve">.  </w:t>
      </w:r>
      <w:r w:rsidRPr="00054E1C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054E1C">
        <w:rPr>
          <w:rFonts w:ascii="Arial" w:hAnsi="Arial" w:cs="Arial"/>
          <w:b/>
          <w:sz w:val="22"/>
          <w:szCs w:val="22"/>
        </w:rPr>
        <w:t>Č</w:t>
      </w:r>
      <w:r w:rsidRPr="00054E1C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3.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-  Opći dio Proračuna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-  Posebni dio Proračuna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-  Plan razvojnih programa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Opći dio Proračuna </w:t>
      </w:r>
      <w:r w:rsidR="00846752" w:rsidRPr="00054E1C">
        <w:rPr>
          <w:rFonts w:ascii="Arial" w:hAnsi="Arial" w:cs="Arial"/>
          <w:sz w:val="22"/>
          <w:szCs w:val="22"/>
        </w:rPr>
        <w:t xml:space="preserve">sadrži: </w:t>
      </w:r>
      <w:r w:rsidRPr="00054E1C">
        <w:rPr>
          <w:rFonts w:ascii="Arial" w:hAnsi="Arial" w:cs="Arial"/>
          <w:sz w:val="22"/>
          <w:szCs w:val="22"/>
        </w:rPr>
        <w:t xml:space="preserve"> Račun prihoda i rashoda, Račun financiranja</w:t>
      </w:r>
      <w:r w:rsidR="00846752"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U Računu prihoda i rashoda iskazani su </w:t>
      </w:r>
      <w:r w:rsidR="00846752" w:rsidRPr="00054E1C">
        <w:rPr>
          <w:rFonts w:ascii="Arial" w:hAnsi="Arial" w:cs="Arial"/>
          <w:sz w:val="22"/>
          <w:szCs w:val="22"/>
        </w:rPr>
        <w:t xml:space="preserve">prihodi poslovanja i prihodi od prodaje nefinancijske imovine te rashodi poslovanja i rashodi za nabavku </w:t>
      </w:r>
      <w:r w:rsidR="000C29C1" w:rsidRPr="00054E1C">
        <w:rPr>
          <w:rFonts w:ascii="Arial" w:hAnsi="Arial" w:cs="Arial"/>
          <w:sz w:val="22"/>
          <w:szCs w:val="22"/>
        </w:rPr>
        <w:t>nefinancijske imovine.</w:t>
      </w:r>
    </w:p>
    <w:p w:rsidR="00AF01E8" w:rsidRPr="00054E1C" w:rsidRDefault="00AF01E8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 xml:space="preserve">U Računu financiranja iskazani su primici od financijske imovine i zaduživanja </w:t>
      </w:r>
      <w:r w:rsidR="000C29C1" w:rsidRPr="00054E1C">
        <w:rPr>
          <w:rFonts w:ascii="Arial" w:hAnsi="Arial" w:cs="Arial"/>
          <w:sz w:val="22"/>
          <w:szCs w:val="22"/>
        </w:rPr>
        <w:t xml:space="preserve">te </w:t>
      </w:r>
      <w:r w:rsidRPr="00054E1C">
        <w:rPr>
          <w:rFonts w:ascii="Arial" w:hAnsi="Arial" w:cs="Arial"/>
          <w:sz w:val="22"/>
          <w:szCs w:val="22"/>
        </w:rPr>
        <w:t xml:space="preserve">izdaci za financijsku imovinu i otplate zajmova.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organizacijskoj, programskoj, funkcijskoj, ekonomskoj klasifikaciji i izvorima financiranja raspoređenih u programe koji se sastoje od aktivnosti i projekata.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Planom razvojnih programa provode se opći i posebni ciljevi iskazani u strateškom dokumentu, a odražavaju  prioritete razvoja povezane s programskom i organizacijskom klasifikacijom proračuna.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rPr>
          <w:rFonts w:ascii="Arial" w:hAnsi="Arial" w:cs="Arial"/>
          <w:b/>
          <w:sz w:val="22"/>
          <w:szCs w:val="22"/>
        </w:rPr>
      </w:pPr>
      <w:r w:rsidRPr="00054E1C">
        <w:rPr>
          <w:rFonts w:ascii="Arial" w:hAnsi="Arial" w:cs="Arial"/>
          <w:b/>
          <w:sz w:val="22"/>
          <w:szCs w:val="22"/>
          <w:lang w:val="de-DE"/>
        </w:rPr>
        <w:t>III</w:t>
      </w:r>
      <w:r w:rsidRPr="00054E1C">
        <w:rPr>
          <w:rFonts w:ascii="Arial" w:hAnsi="Arial" w:cs="Arial"/>
          <w:b/>
          <w:sz w:val="22"/>
          <w:szCs w:val="22"/>
        </w:rPr>
        <w:t xml:space="preserve">.  </w:t>
      </w:r>
      <w:r w:rsidRPr="00054E1C">
        <w:rPr>
          <w:rFonts w:ascii="Arial" w:hAnsi="Arial" w:cs="Arial"/>
          <w:b/>
          <w:sz w:val="22"/>
          <w:szCs w:val="22"/>
          <w:lang w:val="de-DE"/>
        </w:rPr>
        <w:t>IZVR</w:t>
      </w:r>
      <w:r w:rsidRPr="00054E1C">
        <w:rPr>
          <w:rFonts w:ascii="Arial" w:hAnsi="Arial" w:cs="Arial"/>
          <w:b/>
          <w:sz w:val="22"/>
          <w:szCs w:val="22"/>
        </w:rPr>
        <w:t>Š</w:t>
      </w:r>
      <w:r w:rsidRPr="00054E1C">
        <w:rPr>
          <w:rFonts w:ascii="Arial" w:hAnsi="Arial" w:cs="Arial"/>
          <w:b/>
          <w:sz w:val="22"/>
          <w:szCs w:val="22"/>
          <w:lang w:val="de-DE"/>
        </w:rPr>
        <w:t>AVANJE PRORA</w:t>
      </w:r>
      <w:r w:rsidRPr="00054E1C">
        <w:rPr>
          <w:rFonts w:ascii="Arial" w:hAnsi="Arial" w:cs="Arial"/>
          <w:b/>
          <w:sz w:val="22"/>
          <w:szCs w:val="22"/>
        </w:rPr>
        <w:t>Č</w:t>
      </w:r>
      <w:r w:rsidRPr="00054E1C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4.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633E9F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</w:p>
    <w:p w:rsidR="00633E9F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</w:p>
    <w:p w:rsidR="00633E9F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633E9F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</w:p>
    <w:p w:rsidR="00167826" w:rsidRPr="00054E1C" w:rsidRDefault="00633E9F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 proračunu za 202</w:t>
      </w:r>
      <w:r w:rsidR="002B2EBC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 xml:space="preserve">. planiran je  </w:t>
      </w:r>
      <w:r w:rsidR="002B2EBC" w:rsidRPr="00054E1C">
        <w:rPr>
          <w:rFonts w:ascii="Arial" w:hAnsi="Arial" w:cs="Arial"/>
          <w:sz w:val="22"/>
          <w:szCs w:val="22"/>
        </w:rPr>
        <w:t xml:space="preserve">prijenos: </w:t>
      </w:r>
      <w:r w:rsidR="0037037B" w:rsidRPr="00054E1C">
        <w:rPr>
          <w:rFonts w:ascii="Arial" w:hAnsi="Arial" w:cs="Arial"/>
          <w:sz w:val="22"/>
          <w:szCs w:val="22"/>
        </w:rPr>
        <w:t>manjk</w:t>
      </w:r>
      <w:r w:rsidR="002B2EBC" w:rsidRPr="00054E1C">
        <w:rPr>
          <w:rFonts w:ascii="Arial" w:hAnsi="Arial" w:cs="Arial"/>
          <w:sz w:val="22"/>
          <w:szCs w:val="22"/>
        </w:rPr>
        <w:t>a</w:t>
      </w:r>
      <w:r w:rsidR="0037037B" w:rsidRPr="00054E1C">
        <w:rPr>
          <w:rFonts w:ascii="Arial" w:hAnsi="Arial" w:cs="Arial"/>
          <w:sz w:val="22"/>
          <w:szCs w:val="22"/>
        </w:rPr>
        <w:t xml:space="preserve"> proračunskih prihoda u iznosu 5.000.000 kuna koji će se pokriti</w:t>
      </w:r>
      <w:r w:rsidR="009762F8" w:rsidRPr="00054E1C">
        <w:rPr>
          <w:rFonts w:ascii="Arial" w:hAnsi="Arial" w:cs="Arial"/>
          <w:sz w:val="22"/>
          <w:szCs w:val="22"/>
        </w:rPr>
        <w:t xml:space="preserve"> iz općih prihoda i primitaka 2021. godin</w:t>
      </w:r>
      <w:r w:rsidR="002B2EBC" w:rsidRPr="00054E1C">
        <w:rPr>
          <w:rFonts w:ascii="Arial" w:hAnsi="Arial" w:cs="Arial"/>
          <w:sz w:val="22"/>
          <w:szCs w:val="22"/>
        </w:rPr>
        <w:t>e</w:t>
      </w:r>
      <w:r w:rsidR="009762F8" w:rsidRPr="00054E1C">
        <w:rPr>
          <w:rFonts w:ascii="Arial" w:hAnsi="Arial" w:cs="Arial"/>
          <w:sz w:val="22"/>
          <w:szCs w:val="22"/>
        </w:rPr>
        <w:t>; manjak prihoda proračunskog korisnika u iznosu 84.000 kuna koji se planira pokriti iz vlastitih prihoda i primitaka proračunskog korisnika</w:t>
      </w:r>
      <w:r w:rsidR="002B2EBC" w:rsidRPr="00054E1C">
        <w:rPr>
          <w:rFonts w:ascii="Arial" w:hAnsi="Arial" w:cs="Arial"/>
          <w:sz w:val="22"/>
          <w:szCs w:val="22"/>
        </w:rPr>
        <w:t>;</w:t>
      </w:r>
      <w:r w:rsidR="009762F8" w:rsidRPr="00054E1C">
        <w:rPr>
          <w:rFonts w:ascii="Arial" w:hAnsi="Arial" w:cs="Arial"/>
          <w:sz w:val="22"/>
          <w:szCs w:val="22"/>
        </w:rPr>
        <w:t xml:space="preserve"> višak proračunskih prihoda u iznosu  1.416.900 kuna </w:t>
      </w:r>
      <w:r w:rsidR="00ED0C6A" w:rsidRPr="00054E1C">
        <w:rPr>
          <w:rFonts w:ascii="Arial" w:hAnsi="Arial" w:cs="Arial"/>
          <w:sz w:val="22"/>
          <w:szCs w:val="22"/>
        </w:rPr>
        <w:t xml:space="preserve">zbog </w:t>
      </w:r>
      <w:r w:rsidR="009762F8" w:rsidRPr="00054E1C">
        <w:rPr>
          <w:rFonts w:ascii="Arial" w:hAnsi="Arial" w:cs="Arial"/>
          <w:sz w:val="22"/>
          <w:szCs w:val="22"/>
        </w:rPr>
        <w:t xml:space="preserve">neizvršenih projekata </w:t>
      </w:r>
      <w:r w:rsidR="002B2EBC" w:rsidRPr="00054E1C">
        <w:rPr>
          <w:rFonts w:ascii="Arial" w:hAnsi="Arial" w:cs="Arial"/>
          <w:sz w:val="22"/>
          <w:szCs w:val="22"/>
        </w:rPr>
        <w:t xml:space="preserve">financiranih </w:t>
      </w:r>
      <w:r w:rsidR="009762F8" w:rsidRPr="00054E1C">
        <w:rPr>
          <w:rFonts w:ascii="Arial" w:hAnsi="Arial" w:cs="Arial"/>
          <w:sz w:val="22"/>
          <w:szCs w:val="22"/>
        </w:rPr>
        <w:t xml:space="preserve">iz prenesenog viška prihoda </w:t>
      </w:r>
      <w:r w:rsidR="00ED0C6A" w:rsidRPr="00054E1C">
        <w:rPr>
          <w:rFonts w:ascii="Arial" w:hAnsi="Arial" w:cs="Arial"/>
          <w:sz w:val="22"/>
          <w:szCs w:val="22"/>
        </w:rPr>
        <w:t>iz 2019. godine</w:t>
      </w:r>
      <w:r w:rsidR="002B2EBC" w:rsidRPr="00054E1C">
        <w:rPr>
          <w:rFonts w:ascii="Arial" w:hAnsi="Arial" w:cs="Arial"/>
          <w:sz w:val="22"/>
          <w:szCs w:val="22"/>
        </w:rPr>
        <w:t>;</w:t>
      </w:r>
      <w:r w:rsidR="009762F8" w:rsidRPr="00054E1C">
        <w:rPr>
          <w:rFonts w:ascii="Arial" w:hAnsi="Arial" w:cs="Arial"/>
          <w:sz w:val="22"/>
          <w:szCs w:val="22"/>
        </w:rPr>
        <w:t xml:space="preserve"> viš</w:t>
      </w:r>
      <w:r w:rsidR="002B2EBC" w:rsidRPr="00054E1C">
        <w:rPr>
          <w:rFonts w:ascii="Arial" w:hAnsi="Arial" w:cs="Arial"/>
          <w:sz w:val="22"/>
          <w:szCs w:val="22"/>
        </w:rPr>
        <w:t>ak</w:t>
      </w:r>
      <w:r w:rsidR="009762F8" w:rsidRPr="00054E1C">
        <w:rPr>
          <w:rFonts w:ascii="Arial" w:hAnsi="Arial" w:cs="Arial"/>
          <w:sz w:val="22"/>
          <w:szCs w:val="22"/>
        </w:rPr>
        <w:t xml:space="preserve"> prihoda</w:t>
      </w:r>
      <w:r w:rsidR="00ED0C6A" w:rsidRPr="00054E1C">
        <w:rPr>
          <w:rFonts w:ascii="Arial" w:hAnsi="Arial" w:cs="Arial"/>
          <w:sz w:val="22"/>
          <w:szCs w:val="22"/>
        </w:rPr>
        <w:t xml:space="preserve"> proračunskog korisnika u iznosu 200.000 kuna </w:t>
      </w:r>
      <w:r w:rsidR="00167826" w:rsidRPr="00054E1C">
        <w:rPr>
          <w:rFonts w:ascii="Arial" w:hAnsi="Arial" w:cs="Arial"/>
          <w:sz w:val="22"/>
          <w:szCs w:val="22"/>
        </w:rPr>
        <w:t>koji će se utrošiti u poboljšanje standarda vatrogastva.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 5.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ima 24 proračunska korisnika i to: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1.   JVP Dubrovački vatrogasci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2.   Dječji vrtići Dubrovnik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3.   Osnovna škola Marina Getaldića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4.   Osnovna škola Marina Držića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5.   Osnovna škola Lapad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6.   Osnovna škola Ivana Gundulića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7.   Osnovna škola Mokošica</w:t>
      </w:r>
    </w:p>
    <w:p w:rsidR="002601FB" w:rsidRPr="00054E1C" w:rsidRDefault="002601FB" w:rsidP="00054E1C">
      <w:pPr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8.   Osnovna škola Antuna </w:t>
      </w:r>
      <w:proofErr w:type="spellStart"/>
      <w:r w:rsidRPr="00054E1C">
        <w:rPr>
          <w:rFonts w:ascii="Arial" w:hAnsi="Arial" w:cs="Arial"/>
          <w:sz w:val="22"/>
          <w:szCs w:val="22"/>
        </w:rPr>
        <w:t>Masle</w:t>
      </w:r>
      <w:proofErr w:type="spellEnd"/>
      <w:r w:rsidR="00054E1C" w:rsidRPr="00054E1C">
        <w:rPr>
          <w:rFonts w:ascii="Arial" w:hAnsi="Arial" w:cs="Arial"/>
          <w:sz w:val="22"/>
          <w:szCs w:val="22"/>
        </w:rPr>
        <w:tab/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9.   Osnovna škola </w:t>
      </w:r>
      <w:proofErr w:type="spellStart"/>
      <w:r w:rsidRPr="00054E1C">
        <w:rPr>
          <w:rFonts w:ascii="Arial" w:hAnsi="Arial" w:cs="Arial"/>
          <w:sz w:val="22"/>
          <w:szCs w:val="22"/>
        </w:rPr>
        <w:t>Montovjerna</w:t>
      </w:r>
      <w:proofErr w:type="spellEnd"/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>10.  Prirodoslovni muzej Dubrovnik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11. Dubrovačke knjižnice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12. Javna ustanova u kulturi Dubrovačke ljetne igre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13. Dubrovački muzeji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14. Dubrovački simfonijski orkestar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15. Kazalište Marina Držića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16. Ustanova Kinematografi Dubrovnik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17. Folklorni ansambl </w:t>
      </w:r>
      <w:proofErr w:type="spellStart"/>
      <w:r w:rsidRPr="00054E1C">
        <w:rPr>
          <w:rFonts w:ascii="Arial" w:hAnsi="Arial" w:cs="Arial"/>
          <w:sz w:val="22"/>
          <w:szCs w:val="22"/>
        </w:rPr>
        <w:t>Linđo</w:t>
      </w:r>
      <w:proofErr w:type="spellEnd"/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18. Umjetnička galerija Dubrovnik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19. Dom Marina Držića Dubrovnik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20. Muzej Domovinskog rata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21. Zavod za obnovu Dubrovnika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22.  Agencija za društveno poticanu stanogradnju Grada Dubrovnika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23.  Vijeće bošnjačke nacionalne manjine</w:t>
      </w:r>
    </w:p>
    <w:p w:rsidR="002601FB" w:rsidRPr="00054E1C" w:rsidRDefault="002601FB" w:rsidP="00054E1C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24.  Vijeće srpske nacionalne manjine</w:t>
      </w:r>
    </w:p>
    <w:p w:rsidR="002601FB" w:rsidRPr="00054E1C" w:rsidRDefault="002601FB" w:rsidP="00054E1C">
      <w:pPr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 6.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Proračunskim korisnicima doznačuje se iznos sukladno mjesečnim planovima, a po </w:t>
      </w:r>
      <w:r w:rsidR="00695EA2" w:rsidRPr="00054E1C">
        <w:rPr>
          <w:rFonts w:ascii="Arial" w:hAnsi="Arial" w:cs="Arial"/>
          <w:sz w:val="22"/>
          <w:szCs w:val="22"/>
        </w:rPr>
        <w:t xml:space="preserve">pisanom </w:t>
      </w:r>
      <w:r w:rsidRPr="00054E1C">
        <w:rPr>
          <w:rFonts w:ascii="Arial" w:hAnsi="Arial" w:cs="Arial"/>
          <w:sz w:val="22"/>
          <w:szCs w:val="22"/>
        </w:rPr>
        <w:t>nalogu za isplatu nadležnog upravnog odjela. Nalog se izdaje temeljem zahtjeva proračunskog korisnika provjerenog od strane nadležnog upravnog odjela.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Proračunski korisnici se koriste sredstvima Proračuna u skladu sa svojim godišnjim financijskim planom, usklađenim s ovim Proračunom, odnosno njegovim Posebnim dijelom, a što je dužan pratiti  nadležni upravni odjel.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Korisnici smiju proračunska sredstva koristiti samo za namjene koje su određene proračunom, do visine utvrđene u njegovom Posebnom djelu i dinamikom navedenom u mjesečnim planovima koje u svrhu praćenja izvršenja proračuna moraju dostaviti nadležnom upravnom odjelu.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7.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4D7524" w:rsidRPr="00054E1C" w:rsidRDefault="006C2BC3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Vlastiti prihodi i n</w:t>
      </w:r>
      <w:r w:rsidR="00621281" w:rsidRPr="00054E1C">
        <w:rPr>
          <w:rFonts w:ascii="Arial" w:hAnsi="Arial" w:cs="Arial"/>
          <w:sz w:val="22"/>
          <w:szCs w:val="22"/>
        </w:rPr>
        <w:t xml:space="preserve">amjenski prihodi  proračunskih korisnika koji se ostvaruju sukladno članku  48. i članku 52.  Zakona o proračunu,  </w:t>
      </w:r>
      <w:r w:rsidRPr="00054E1C">
        <w:rPr>
          <w:rFonts w:ascii="Arial" w:hAnsi="Arial" w:cs="Arial"/>
          <w:sz w:val="22"/>
          <w:szCs w:val="22"/>
        </w:rPr>
        <w:t xml:space="preserve">iskazani u </w:t>
      </w:r>
      <w:r w:rsidR="00621281" w:rsidRPr="00054E1C">
        <w:rPr>
          <w:rFonts w:ascii="Arial" w:hAnsi="Arial" w:cs="Arial"/>
          <w:sz w:val="22"/>
          <w:szCs w:val="22"/>
        </w:rPr>
        <w:t xml:space="preserve"> </w:t>
      </w:r>
      <w:r w:rsidR="00043BDF" w:rsidRPr="00054E1C">
        <w:rPr>
          <w:rFonts w:ascii="Arial" w:hAnsi="Arial" w:cs="Arial"/>
          <w:sz w:val="22"/>
          <w:szCs w:val="22"/>
        </w:rPr>
        <w:t>financijskom planu proračunskog korisnika</w:t>
      </w:r>
      <w:r w:rsidRPr="00054E1C">
        <w:rPr>
          <w:rFonts w:ascii="Arial" w:hAnsi="Arial" w:cs="Arial"/>
          <w:sz w:val="22"/>
          <w:szCs w:val="22"/>
        </w:rPr>
        <w:t>,</w:t>
      </w:r>
      <w:r w:rsidR="00043BDF" w:rsidRPr="00054E1C">
        <w:rPr>
          <w:rFonts w:ascii="Arial" w:hAnsi="Arial" w:cs="Arial"/>
          <w:sz w:val="22"/>
          <w:szCs w:val="22"/>
        </w:rPr>
        <w:t xml:space="preserve"> </w:t>
      </w:r>
      <w:r w:rsidR="00996124" w:rsidRPr="00054E1C">
        <w:rPr>
          <w:rFonts w:ascii="Arial" w:hAnsi="Arial" w:cs="Arial"/>
          <w:sz w:val="22"/>
          <w:szCs w:val="22"/>
        </w:rPr>
        <w:t xml:space="preserve">a time i u Proračunu, vode se kao izvori financiranja: </w:t>
      </w:r>
      <w:r w:rsidRPr="00054E1C">
        <w:rPr>
          <w:rFonts w:ascii="Arial" w:hAnsi="Arial" w:cs="Arial"/>
          <w:sz w:val="22"/>
          <w:szCs w:val="22"/>
        </w:rPr>
        <w:t>25 –Vlastiti prihodi proračunskih korisnika i 55 – Donacije i ostali prihodi proračunskih korisnika.</w:t>
      </w:r>
    </w:p>
    <w:p w:rsidR="006C2BC3" w:rsidRPr="00054E1C" w:rsidRDefault="00510B03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Proračunski korisnici </w:t>
      </w:r>
      <w:r w:rsidR="00DC0970" w:rsidRPr="00054E1C">
        <w:rPr>
          <w:rFonts w:ascii="Arial" w:hAnsi="Arial" w:cs="Arial"/>
          <w:sz w:val="22"/>
          <w:szCs w:val="22"/>
        </w:rPr>
        <w:t>zadržavaju</w:t>
      </w:r>
      <w:r w:rsidRPr="00054E1C">
        <w:rPr>
          <w:rFonts w:ascii="Arial" w:hAnsi="Arial" w:cs="Arial"/>
          <w:sz w:val="22"/>
          <w:szCs w:val="22"/>
        </w:rPr>
        <w:t xml:space="preserve"> </w:t>
      </w:r>
      <w:r w:rsidR="006C2BC3" w:rsidRPr="00054E1C">
        <w:rPr>
          <w:rFonts w:ascii="Arial" w:hAnsi="Arial" w:cs="Arial"/>
          <w:sz w:val="22"/>
          <w:szCs w:val="22"/>
        </w:rPr>
        <w:t>prihode izvora financiranja 25 i 55  i iste troš</w:t>
      </w:r>
      <w:r w:rsidR="00DC0970" w:rsidRPr="00054E1C">
        <w:rPr>
          <w:rFonts w:ascii="Arial" w:hAnsi="Arial" w:cs="Arial"/>
          <w:sz w:val="22"/>
          <w:szCs w:val="22"/>
        </w:rPr>
        <w:t>e</w:t>
      </w:r>
      <w:r w:rsidR="006C2BC3" w:rsidRPr="00054E1C">
        <w:rPr>
          <w:rFonts w:ascii="Arial" w:hAnsi="Arial" w:cs="Arial"/>
          <w:sz w:val="22"/>
          <w:szCs w:val="22"/>
        </w:rPr>
        <w:t xml:space="preserve"> </w:t>
      </w:r>
      <w:r w:rsidR="00996124" w:rsidRPr="00054E1C">
        <w:rPr>
          <w:rFonts w:ascii="Arial" w:hAnsi="Arial" w:cs="Arial"/>
          <w:sz w:val="22"/>
          <w:szCs w:val="22"/>
        </w:rPr>
        <w:t xml:space="preserve">u  programe predviđene u </w:t>
      </w:r>
      <w:r w:rsidR="006C2BC3" w:rsidRPr="00054E1C">
        <w:rPr>
          <w:rFonts w:ascii="Arial" w:hAnsi="Arial" w:cs="Arial"/>
          <w:sz w:val="22"/>
          <w:szCs w:val="22"/>
        </w:rPr>
        <w:t xml:space="preserve"> financijskom planu</w:t>
      </w:r>
      <w:r w:rsidR="00996124" w:rsidRPr="00054E1C">
        <w:rPr>
          <w:rFonts w:ascii="Arial" w:hAnsi="Arial" w:cs="Arial"/>
          <w:sz w:val="22"/>
          <w:szCs w:val="22"/>
        </w:rPr>
        <w:t xml:space="preserve"> odnosno Proračunu.</w:t>
      </w:r>
    </w:p>
    <w:p w:rsidR="00510B03" w:rsidRPr="00054E1C" w:rsidRDefault="00510B03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Nadalje u svrhu praćenja ostvarenja vlastitih i namjenskih prihoda i primitaka, odnosno izvršenja rashoda i izdataka financiranih iz istih, svaki proračunski korisnik će tromjesečno dostaviti Upravnom odjelu za proračun, financije i naplatu posredstvom nadležnog upravnog odjela, izvještaj o ostvarenju prihoda i izvršenju rashoda, radi evidencije u knjigovodstvu Proračuna.</w:t>
      </w:r>
      <w:r w:rsidR="00BF22FD" w:rsidRPr="00054E1C">
        <w:rPr>
          <w:rFonts w:ascii="Arial" w:hAnsi="Arial" w:cs="Arial"/>
          <w:sz w:val="22"/>
          <w:szCs w:val="22"/>
        </w:rPr>
        <w:t xml:space="preserve"> Rok dostave je 10 dana po isteku tromjesečja.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2235E7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Vlastiti i namjenski prihodi i primici koje proračunski korisnici ostvaruju izvan Proračuna pribrajaju se (konsolidiraju) prilikom financijskog izvješćivanja kao i do sada polugodišnje i godišnje, sastavni su dio i polugodišnjeg i godišnjeg izvještaja o izvršenju proračuna, koje Gradonačelnik u zakonom propisanim rokovima podnosi Gradskom vijeću.</w:t>
      </w:r>
    </w:p>
    <w:p w:rsidR="002235E7" w:rsidRPr="00054E1C" w:rsidRDefault="002235E7" w:rsidP="00054E1C">
      <w:pPr>
        <w:jc w:val="both"/>
        <w:rPr>
          <w:rFonts w:ascii="Arial" w:hAnsi="Arial" w:cs="Arial"/>
          <w:sz w:val="22"/>
          <w:szCs w:val="22"/>
        </w:rPr>
      </w:pPr>
    </w:p>
    <w:p w:rsidR="00996124" w:rsidRPr="00054E1C" w:rsidRDefault="00996124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8.</w:t>
      </w:r>
    </w:p>
    <w:p w:rsidR="00996124" w:rsidRPr="00054E1C" w:rsidRDefault="00996124" w:rsidP="00054E1C">
      <w:pPr>
        <w:jc w:val="both"/>
        <w:rPr>
          <w:rFonts w:ascii="Arial" w:hAnsi="Arial" w:cs="Arial"/>
          <w:sz w:val="22"/>
          <w:szCs w:val="22"/>
        </w:rPr>
      </w:pPr>
    </w:p>
    <w:p w:rsidR="007E4AE7" w:rsidRPr="00054E1C" w:rsidRDefault="00996124" w:rsidP="00AF01E8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</w:t>
      </w:r>
      <w:r w:rsidR="00621281" w:rsidRPr="00054E1C">
        <w:rPr>
          <w:rFonts w:ascii="Arial" w:hAnsi="Arial" w:cs="Arial"/>
          <w:sz w:val="22"/>
          <w:szCs w:val="22"/>
        </w:rPr>
        <w:t xml:space="preserve">roračunski korisnici koji </w:t>
      </w:r>
      <w:r w:rsidR="00C931CE" w:rsidRPr="00054E1C">
        <w:rPr>
          <w:rFonts w:ascii="Arial" w:hAnsi="Arial" w:cs="Arial"/>
          <w:sz w:val="22"/>
          <w:szCs w:val="22"/>
        </w:rPr>
        <w:t xml:space="preserve">se bave muzejsko-galerijskom djelatnošću </w:t>
      </w:r>
      <w:r w:rsidR="00621281" w:rsidRPr="00054E1C">
        <w:rPr>
          <w:rFonts w:ascii="Arial" w:hAnsi="Arial" w:cs="Arial"/>
          <w:sz w:val="22"/>
          <w:szCs w:val="22"/>
        </w:rPr>
        <w:t xml:space="preserve"> (Dubrovački muzeji, Umjetnička galerija Dubrovnik, Prirodoslovni muzej Dubrovnik,  Dom Marina Držića i Muzej Domovinskog rata), </w:t>
      </w:r>
      <w:r w:rsidRPr="00054E1C">
        <w:rPr>
          <w:rFonts w:ascii="Arial" w:hAnsi="Arial" w:cs="Arial"/>
          <w:sz w:val="22"/>
          <w:szCs w:val="22"/>
        </w:rPr>
        <w:t xml:space="preserve">obvezni su </w:t>
      </w:r>
      <w:r w:rsidR="006A644D" w:rsidRPr="00054E1C">
        <w:rPr>
          <w:rFonts w:ascii="Arial" w:hAnsi="Arial" w:cs="Arial"/>
          <w:sz w:val="22"/>
          <w:szCs w:val="22"/>
        </w:rPr>
        <w:t>sredstva</w:t>
      </w:r>
      <w:r w:rsidRPr="00054E1C">
        <w:rPr>
          <w:rFonts w:ascii="Arial" w:hAnsi="Arial" w:cs="Arial"/>
          <w:sz w:val="22"/>
          <w:szCs w:val="22"/>
        </w:rPr>
        <w:t xml:space="preserve"> </w:t>
      </w:r>
      <w:r w:rsidR="00621281" w:rsidRPr="00054E1C">
        <w:rPr>
          <w:rFonts w:ascii="Arial" w:hAnsi="Arial" w:cs="Arial"/>
          <w:sz w:val="22"/>
          <w:szCs w:val="22"/>
        </w:rPr>
        <w:t xml:space="preserve"> </w:t>
      </w:r>
      <w:r w:rsidRPr="00054E1C">
        <w:rPr>
          <w:rFonts w:ascii="Arial" w:hAnsi="Arial" w:cs="Arial"/>
          <w:sz w:val="22"/>
          <w:szCs w:val="22"/>
        </w:rPr>
        <w:t xml:space="preserve">koji </w:t>
      </w:r>
      <w:r w:rsidR="00621281" w:rsidRPr="00054E1C">
        <w:rPr>
          <w:rFonts w:ascii="Arial" w:hAnsi="Arial" w:cs="Arial"/>
          <w:sz w:val="22"/>
          <w:szCs w:val="22"/>
        </w:rPr>
        <w:t>ostvare</w:t>
      </w:r>
      <w:r w:rsidRPr="00054E1C">
        <w:rPr>
          <w:rFonts w:ascii="Arial" w:hAnsi="Arial" w:cs="Arial"/>
          <w:sz w:val="22"/>
          <w:szCs w:val="22"/>
        </w:rPr>
        <w:t xml:space="preserve"> od </w:t>
      </w:r>
      <w:r w:rsidR="00621281" w:rsidRPr="00054E1C">
        <w:rPr>
          <w:rFonts w:ascii="Arial" w:hAnsi="Arial" w:cs="Arial"/>
          <w:sz w:val="22"/>
          <w:szCs w:val="22"/>
        </w:rPr>
        <w:t xml:space="preserve"> prodaj</w:t>
      </w:r>
      <w:r w:rsidRPr="00054E1C">
        <w:rPr>
          <w:rFonts w:ascii="Arial" w:hAnsi="Arial" w:cs="Arial"/>
          <w:sz w:val="22"/>
          <w:szCs w:val="22"/>
        </w:rPr>
        <w:t xml:space="preserve">e </w:t>
      </w:r>
      <w:r w:rsidR="00621281" w:rsidRPr="00054E1C">
        <w:rPr>
          <w:rFonts w:ascii="Arial" w:hAnsi="Arial" w:cs="Arial"/>
          <w:sz w:val="22"/>
          <w:szCs w:val="22"/>
        </w:rPr>
        <w:t xml:space="preserve"> ulaznica </w:t>
      </w:r>
      <w:r w:rsidRPr="00054E1C">
        <w:rPr>
          <w:rFonts w:ascii="Arial" w:hAnsi="Arial" w:cs="Arial"/>
          <w:sz w:val="22"/>
          <w:szCs w:val="22"/>
        </w:rPr>
        <w:t xml:space="preserve"> uplaćivati u </w:t>
      </w:r>
      <w:r w:rsidR="00C931CE" w:rsidRPr="00054E1C">
        <w:rPr>
          <w:rFonts w:ascii="Arial" w:hAnsi="Arial" w:cs="Arial"/>
          <w:sz w:val="22"/>
          <w:szCs w:val="22"/>
        </w:rPr>
        <w:lastRenderedPageBreak/>
        <w:t>Proračun Grada, jer se ist</w:t>
      </w:r>
      <w:r w:rsidR="006A644D" w:rsidRPr="00054E1C">
        <w:rPr>
          <w:rFonts w:ascii="Arial" w:hAnsi="Arial" w:cs="Arial"/>
          <w:sz w:val="22"/>
          <w:szCs w:val="22"/>
        </w:rPr>
        <w:t>a</w:t>
      </w:r>
      <w:r w:rsidR="00C931CE" w:rsidRPr="00054E1C">
        <w:rPr>
          <w:rFonts w:ascii="Arial" w:hAnsi="Arial" w:cs="Arial"/>
          <w:sz w:val="22"/>
          <w:szCs w:val="22"/>
        </w:rPr>
        <w:t xml:space="preserve"> smatra</w:t>
      </w:r>
      <w:r w:rsidR="006A644D" w:rsidRPr="00054E1C">
        <w:rPr>
          <w:rFonts w:ascii="Arial" w:hAnsi="Arial" w:cs="Arial"/>
          <w:sz w:val="22"/>
          <w:szCs w:val="22"/>
        </w:rPr>
        <w:t xml:space="preserve">ju proračunskim </w:t>
      </w:r>
      <w:r w:rsidR="00C931CE" w:rsidRPr="00054E1C">
        <w:rPr>
          <w:rFonts w:ascii="Arial" w:hAnsi="Arial" w:cs="Arial"/>
          <w:sz w:val="22"/>
          <w:szCs w:val="22"/>
        </w:rPr>
        <w:t xml:space="preserve">prihodom od  nefinancijske imovine. </w:t>
      </w:r>
      <w:r w:rsidR="00621281" w:rsidRPr="00054E1C">
        <w:rPr>
          <w:rFonts w:ascii="Arial" w:hAnsi="Arial" w:cs="Arial"/>
          <w:sz w:val="22"/>
          <w:szCs w:val="22"/>
        </w:rPr>
        <w:t xml:space="preserve"> Sredstva </w:t>
      </w:r>
      <w:r w:rsidR="00C931CE" w:rsidRPr="00054E1C">
        <w:rPr>
          <w:rFonts w:ascii="Arial" w:hAnsi="Arial" w:cs="Arial"/>
          <w:sz w:val="22"/>
          <w:szCs w:val="22"/>
        </w:rPr>
        <w:t xml:space="preserve">će </w:t>
      </w:r>
      <w:r w:rsidR="00621281" w:rsidRPr="00054E1C">
        <w:rPr>
          <w:rFonts w:ascii="Arial" w:hAnsi="Arial" w:cs="Arial"/>
          <w:sz w:val="22"/>
          <w:szCs w:val="22"/>
        </w:rPr>
        <w:t xml:space="preserve">navedeni proračunski korisnici </w:t>
      </w:r>
      <w:r w:rsidR="00C931CE" w:rsidRPr="00054E1C">
        <w:rPr>
          <w:rFonts w:ascii="Arial" w:hAnsi="Arial" w:cs="Arial"/>
          <w:sz w:val="22"/>
          <w:szCs w:val="22"/>
        </w:rPr>
        <w:t xml:space="preserve">uplaćivati u </w:t>
      </w:r>
      <w:r w:rsidR="00621281" w:rsidRPr="00054E1C">
        <w:rPr>
          <w:rFonts w:ascii="Arial" w:hAnsi="Arial" w:cs="Arial"/>
          <w:sz w:val="22"/>
          <w:szCs w:val="22"/>
        </w:rPr>
        <w:t xml:space="preserve"> Proračun Grada po dostavljenom izvješću najkasnije do 10. u mjesecu za prethodni mjesec.</w:t>
      </w:r>
    </w:p>
    <w:p w:rsidR="00020AEA" w:rsidRPr="00054E1C" w:rsidRDefault="00020AEA" w:rsidP="00054E1C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161CEE" w:rsidRPr="00054E1C" w:rsidRDefault="00161CEE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</w:t>
      </w:r>
      <w:r w:rsidR="008F035B" w:rsidRPr="00054E1C">
        <w:rPr>
          <w:rFonts w:ascii="Arial" w:hAnsi="Arial" w:cs="Arial"/>
          <w:sz w:val="22"/>
          <w:szCs w:val="22"/>
        </w:rPr>
        <w:t>9</w:t>
      </w:r>
      <w:r w:rsidRPr="00054E1C">
        <w:rPr>
          <w:rFonts w:ascii="Arial" w:hAnsi="Arial" w:cs="Arial"/>
          <w:sz w:val="22"/>
          <w:szCs w:val="22"/>
        </w:rPr>
        <w:t>.</w:t>
      </w:r>
    </w:p>
    <w:p w:rsidR="00161CEE" w:rsidRPr="00054E1C" w:rsidRDefault="00161CEE" w:rsidP="00054E1C">
      <w:pPr>
        <w:jc w:val="both"/>
        <w:rPr>
          <w:rFonts w:ascii="Arial" w:hAnsi="Arial" w:cs="Arial"/>
          <w:sz w:val="22"/>
          <w:szCs w:val="22"/>
        </w:rPr>
      </w:pPr>
    </w:p>
    <w:p w:rsidR="00750D8A" w:rsidRPr="00054E1C" w:rsidRDefault="00161CEE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Osnovne škole </w:t>
      </w:r>
      <w:r w:rsidR="00750D8A" w:rsidRPr="00054E1C">
        <w:rPr>
          <w:rFonts w:ascii="Arial" w:hAnsi="Arial" w:cs="Arial"/>
          <w:sz w:val="22"/>
          <w:szCs w:val="22"/>
        </w:rPr>
        <w:t xml:space="preserve">kao </w:t>
      </w:r>
      <w:r w:rsidRPr="00054E1C">
        <w:rPr>
          <w:rFonts w:ascii="Arial" w:hAnsi="Arial" w:cs="Arial"/>
          <w:sz w:val="22"/>
          <w:szCs w:val="22"/>
        </w:rPr>
        <w:t>proračunski korisnici</w:t>
      </w:r>
      <w:r w:rsidR="00750D8A" w:rsidRPr="00054E1C">
        <w:rPr>
          <w:rFonts w:ascii="Arial" w:hAnsi="Arial" w:cs="Arial"/>
          <w:sz w:val="22"/>
          <w:szCs w:val="22"/>
        </w:rPr>
        <w:t xml:space="preserve"> iz</w:t>
      </w:r>
      <w:r w:rsidRPr="00054E1C">
        <w:rPr>
          <w:rFonts w:ascii="Arial" w:hAnsi="Arial" w:cs="Arial"/>
          <w:sz w:val="22"/>
          <w:szCs w:val="22"/>
        </w:rPr>
        <w:t xml:space="preserve"> člank</w:t>
      </w:r>
      <w:r w:rsidR="00750D8A" w:rsidRPr="00054E1C">
        <w:rPr>
          <w:rFonts w:ascii="Arial" w:hAnsi="Arial" w:cs="Arial"/>
          <w:sz w:val="22"/>
          <w:szCs w:val="22"/>
        </w:rPr>
        <w:t xml:space="preserve">a </w:t>
      </w:r>
      <w:r w:rsidRPr="00054E1C">
        <w:rPr>
          <w:rFonts w:ascii="Arial" w:hAnsi="Arial" w:cs="Arial"/>
          <w:sz w:val="22"/>
          <w:szCs w:val="22"/>
        </w:rPr>
        <w:t xml:space="preserve"> 5. </w:t>
      </w:r>
      <w:r w:rsidR="00F87921" w:rsidRPr="00054E1C">
        <w:rPr>
          <w:rFonts w:ascii="Arial" w:hAnsi="Arial" w:cs="Arial"/>
          <w:sz w:val="22"/>
          <w:szCs w:val="22"/>
        </w:rPr>
        <w:t xml:space="preserve">ove </w:t>
      </w:r>
      <w:r w:rsidRPr="00054E1C">
        <w:rPr>
          <w:rFonts w:ascii="Arial" w:hAnsi="Arial" w:cs="Arial"/>
          <w:sz w:val="22"/>
          <w:szCs w:val="22"/>
        </w:rPr>
        <w:t>Odluke</w:t>
      </w:r>
      <w:r w:rsidR="00750D8A" w:rsidRPr="00054E1C">
        <w:rPr>
          <w:rFonts w:ascii="Arial" w:hAnsi="Arial" w:cs="Arial"/>
          <w:sz w:val="22"/>
          <w:szCs w:val="22"/>
        </w:rPr>
        <w:t xml:space="preserve"> </w:t>
      </w:r>
      <w:r w:rsidRPr="00054E1C">
        <w:rPr>
          <w:rFonts w:ascii="Arial" w:hAnsi="Arial" w:cs="Arial"/>
          <w:sz w:val="22"/>
          <w:szCs w:val="22"/>
        </w:rPr>
        <w:t xml:space="preserve"> sukladno Uputama za izradu proračuna jedinica lokalne i područne (regionalne) samouprave za razdoblje 2020.-2022. godine</w:t>
      </w:r>
      <w:r w:rsidR="00750D8A" w:rsidRPr="00054E1C">
        <w:rPr>
          <w:rFonts w:ascii="Arial" w:hAnsi="Arial" w:cs="Arial"/>
          <w:sz w:val="22"/>
          <w:szCs w:val="22"/>
        </w:rPr>
        <w:t xml:space="preserve">, a počevši od 2020. godine </w:t>
      </w:r>
      <w:r w:rsidRPr="00054E1C">
        <w:rPr>
          <w:rFonts w:ascii="Arial" w:hAnsi="Arial" w:cs="Arial"/>
          <w:sz w:val="22"/>
          <w:szCs w:val="22"/>
        </w:rPr>
        <w:t xml:space="preserve">podatke iz svojih financijskih planova o sredstvima za plaće i druge rashode za zaposlene </w:t>
      </w:r>
      <w:r w:rsidR="00750D8A" w:rsidRPr="00054E1C">
        <w:rPr>
          <w:rFonts w:ascii="Arial" w:hAnsi="Arial" w:cs="Arial"/>
          <w:sz w:val="22"/>
          <w:szCs w:val="22"/>
        </w:rPr>
        <w:t>osigurane u D</w:t>
      </w:r>
      <w:r w:rsidRPr="00054E1C">
        <w:rPr>
          <w:rFonts w:ascii="Arial" w:hAnsi="Arial" w:cs="Arial"/>
          <w:sz w:val="22"/>
          <w:szCs w:val="22"/>
        </w:rPr>
        <w:t>ržavnom proračunu</w:t>
      </w:r>
      <w:r w:rsidR="00F87921" w:rsidRPr="00054E1C">
        <w:rPr>
          <w:rFonts w:ascii="Arial" w:hAnsi="Arial" w:cs="Arial"/>
          <w:sz w:val="22"/>
          <w:szCs w:val="22"/>
        </w:rPr>
        <w:t xml:space="preserve">, </w:t>
      </w:r>
      <w:r w:rsidR="00750D8A" w:rsidRPr="00054E1C">
        <w:rPr>
          <w:rFonts w:ascii="Arial" w:hAnsi="Arial" w:cs="Arial"/>
          <w:sz w:val="22"/>
          <w:szCs w:val="22"/>
        </w:rPr>
        <w:t>uključuju</w:t>
      </w:r>
      <w:r w:rsidRPr="00054E1C">
        <w:rPr>
          <w:rFonts w:ascii="Arial" w:hAnsi="Arial" w:cs="Arial"/>
          <w:sz w:val="22"/>
          <w:szCs w:val="22"/>
        </w:rPr>
        <w:t xml:space="preserve"> u Proračun Grada Dubrovnika</w:t>
      </w:r>
      <w:r w:rsidR="00750D8A" w:rsidRPr="00054E1C">
        <w:rPr>
          <w:rFonts w:ascii="Arial" w:hAnsi="Arial" w:cs="Arial"/>
          <w:sz w:val="22"/>
          <w:szCs w:val="22"/>
        </w:rPr>
        <w:t>.</w:t>
      </w:r>
    </w:p>
    <w:p w:rsidR="00750D8A" w:rsidRPr="00054E1C" w:rsidRDefault="00750D8A" w:rsidP="00054E1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</w:t>
      </w:r>
      <w:r w:rsidR="008F035B" w:rsidRPr="00054E1C">
        <w:rPr>
          <w:rFonts w:ascii="Arial" w:hAnsi="Arial" w:cs="Arial"/>
          <w:sz w:val="22"/>
          <w:szCs w:val="22"/>
        </w:rPr>
        <w:t xml:space="preserve"> 10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Upravni odjel za  proračun, financije i naplatu, između ostaloga planira i likvidnost proračuna u skladu s novčanim tijekom, te usklađuje sa zahtjevima iz mjesečnih financijskih planova.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U skladu s raspoloživim sredstvima, a sukladno nalozima nadležnih upravnih odjela, Upravni odjel za proračun, financije i naplatu izvršava mjesečne dodjele sredstava po korisnicima i programima. 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Odgovorna osoba nadležnog upravnog odjela prije isplate mora provjeriti i potpisati pravni temelj i visinu obveze usuglašenu sa proračunskom stavkom.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Gradonačelnik ima pravo obustaviti od izvršenja odluku  o dodjeli sredstava koja je suprotna Zakonu o proračunu.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</w:t>
      </w:r>
      <w:r w:rsidR="008F035B" w:rsidRPr="00054E1C">
        <w:rPr>
          <w:rFonts w:ascii="Arial" w:hAnsi="Arial" w:cs="Arial"/>
          <w:sz w:val="22"/>
          <w:szCs w:val="22"/>
        </w:rPr>
        <w:t>11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Posredstvom nadležnog upravnog odjela, proračunski korisnici obvezni su najkasnije 10 dana po primitku mjesečne doznake, Upravnom  odjelu  za proračun,  financije i naplatu, dostaviti izvješće o utrošenim sredstvima.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Ako proračunski korisnik ne dostavi izvješće o utrošenim sredstvima, obustavlja mu se daljnja dodjela planiranih sredstava.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Tijekom mjeseca može se izvršiti i dodjela sredstava temeljem posebnog zahtjeva koji odobravaju nadležni upravni odjel, Gradonačelnik i Upravni odjel za proračun, financije i naplatu.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Putem nadležnog upravnog odjela, Proračunski korisnik dužan je sukladno Pravilniku o financijskom izvještavanju u  proračunskom računovodstvu, dostavljati polugodišnje i godišnje izvještaje Upravnom odjelu za proračun, financije i naplatu.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054E1C" w:rsidRPr="00054E1C" w:rsidRDefault="00054E1C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8F035B" w:rsidRPr="00054E1C">
        <w:rPr>
          <w:rFonts w:ascii="Arial" w:hAnsi="Arial" w:cs="Arial"/>
          <w:sz w:val="22"/>
          <w:szCs w:val="22"/>
        </w:rPr>
        <w:t>2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Pri neravnomjernom priljevu sredstava u Proračun, Upravni odjel za proračun, financije i naplatu razmjerno će  smanjivati dinamiku doznačivanja sredstava proračunskim korisnicima.</w:t>
      </w:r>
    </w:p>
    <w:p w:rsidR="00054E1C" w:rsidRDefault="00054E1C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3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</w:t>
      </w:r>
      <w:r w:rsidR="00054E1C">
        <w:rPr>
          <w:rFonts w:ascii="Arial" w:hAnsi="Arial" w:cs="Arial"/>
          <w:sz w:val="22"/>
          <w:szCs w:val="22"/>
        </w:rPr>
        <w:t xml:space="preserve"> </w:t>
      </w:r>
      <w:r w:rsidRPr="00054E1C">
        <w:rPr>
          <w:rFonts w:ascii="Arial" w:hAnsi="Arial" w:cs="Arial"/>
          <w:sz w:val="22"/>
          <w:szCs w:val="22"/>
        </w:rPr>
        <w:t>Gradskom vijeću Grada Dubrovnika donošenje izmjena i dopuna Proračuna tekuće godine.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>Gradonačelnik uz suglasnost pročelnika Upravnog odjela za proračun, financije i naplatu može odobriti preraspodjelu sredstava unutar pojedinog razdjela na zahtjev pročelnika, ili između razdjela uz suglasnost pročelnika (sudionika u preraspodjeli), s tim da umanjenje ne može biti veće od 5% rashoda i izdataka dotične proračunske stavke.</w:t>
      </w:r>
    </w:p>
    <w:p w:rsidR="007E4AE7" w:rsidRPr="00054E1C" w:rsidRDefault="007E4AE7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054E1C" w:rsidRPr="00054E1C" w:rsidRDefault="00054E1C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4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054E1C" w:rsidRPr="00054E1C" w:rsidRDefault="00054E1C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5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Slobodnim  novčanim sredstvima na računu Proračuna upravlja Gradonačelnik.</w:t>
      </w:r>
      <w:r w:rsidRPr="00054E1C">
        <w:rPr>
          <w:rFonts w:ascii="Arial" w:hAnsi="Arial" w:cs="Arial"/>
          <w:sz w:val="22"/>
          <w:szCs w:val="22"/>
        </w:rPr>
        <w:tab/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Novčana sredstva iz stavka 1. ovog članka mogu se oročavati u poslovnu banku poštujući načela sigurnosti, likvidnosti i isplativosti. Odluku o oročavanju sredstava donosi Gradonačelnik. Prihodi od oročavanja raspoloživih novčanih sredstava prihodi su proračuna.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Novčana sredstva iz stavka 1. ovog članka mogu se ulagati samo sa povratom do 31. prosinca 20</w:t>
      </w:r>
      <w:r w:rsidR="00AB5F49" w:rsidRPr="00054E1C">
        <w:rPr>
          <w:rFonts w:ascii="Arial" w:hAnsi="Arial" w:cs="Arial"/>
          <w:sz w:val="22"/>
          <w:szCs w:val="22"/>
        </w:rPr>
        <w:t>2</w:t>
      </w:r>
      <w:r w:rsidR="00341618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>. godine.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Novčana sredstva iz stavka 1. ovog članka ne smiju se ulagati u dionice i udjele trgovačkih društava.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6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1. ovog članka do iznosa od </w:t>
      </w:r>
      <w:r w:rsidR="009756FF" w:rsidRPr="00054E1C">
        <w:rPr>
          <w:rFonts w:ascii="Arial" w:hAnsi="Arial" w:cs="Arial"/>
          <w:sz w:val="22"/>
          <w:szCs w:val="22"/>
        </w:rPr>
        <w:t>1</w:t>
      </w:r>
      <w:r w:rsidR="007E4AE7" w:rsidRPr="00054E1C">
        <w:rPr>
          <w:rFonts w:ascii="Arial" w:hAnsi="Arial" w:cs="Arial"/>
          <w:sz w:val="22"/>
          <w:szCs w:val="22"/>
        </w:rPr>
        <w:t>0.</w:t>
      </w:r>
      <w:r w:rsidRPr="00054E1C">
        <w:rPr>
          <w:rFonts w:ascii="Arial" w:hAnsi="Arial" w:cs="Arial"/>
          <w:sz w:val="22"/>
          <w:szCs w:val="22"/>
        </w:rPr>
        <w:t>000 kuna, te za  obveze preuzete po ugovorima za projekte  koji se  sufinanciraju iz sredstava Europske unije.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054E1C" w:rsidRPr="00054E1C" w:rsidRDefault="00054E1C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7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Visina sredstava proračunske zalihe iznosi  </w:t>
      </w:r>
      <w:r w:rsidR="00756CD3" w:rsidRPr="00054E1C">
        <w:rPr>
          <w:rFonts w:ascii="Arial" w:hAnsi="Arial" w:cs="Arial"/>
          <w:sz w:val="22"/>
          <w:szCs w:val="22"/>
        </w:rPr>
        <w:t>2</w:t>
      </w:r>
      <w:r w:rsidRPr="00054E1C">
        <w:rPr>
          <w:rFonts w:ascii="Arial" w:hAnsi="Arial" w:cs="Arial"/>
          <w:color w:val="000000"/>
          <w:sz w:val="22"/>
          <w:szCs w:val="22"/>
        </w:rPr>
        <w:t>50.000 kuna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pStyle w:val="BodyText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Sredstva proračunske zalihe mogu se, osim za hitne i nepredviđene rashode i izdatke, koristiti i za izvršavanje sudskih odluka (presuda, rješenja, nagodbi i dr.). Sredstva  proračunske zalihe ne mogu se koristiti za kreditiranje. O korištenju sredstava proračunske zalihe odlučuje Gradonačelnik.</w:t>
      </w:r>
    </w:p>
    <w:p w:rsidR="00A943EC" w:rsidRPr="00054E1C" w:rsidRDefault="00A943EC" w:rsidP="00054E1C">
      <w:pPr>
        <w:pStyle w:val="BodyText"/>
        <w:rPr>
          <w:rFonts w:ascii="Arial" w:hAnsi="Arial" w:cs="Arial"/>
          <w:sz w:val="22"/>
          <w:szCs w:val="22"/>
        </w:rPr>
      </w:pPr>
    </w:p>
    <w:p w:rsidR="00E8493D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Gradonačelnik je dužan polugodišnje  i godišnje izvijestiti Gradsko vijeće Grada Dubrovnika o korištenju  proračunske zalihe.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>Članak 1</w:t>
      </w:r>
      <w:r w:rsidR="00F7237D" w:rsidRPr="00054E1C">
        <w:rPr>
          <w:rFonts w:ascii="Arial" w:hAnsi="Arial" w:cs="Arial"/>
          <w:sz w:val="22"/>
          <w:szCs w:val="22"/>
        </w:rPr>
        <w:t>8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7E4AE7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Ako se tijekom godine, na temelju propisa, smanji djelokrug ili nadležnost korisnika, što  zahtijeva smanjenje sredstava, ili korisnik bude ukinut, neutrošena sredstva za njegove rashode ili izdatke usmjeravaju se izmjenama i dopunama Proračuna na korisnika koji preuzme njegove poslove, ili u druge svrhe.</w:t>
      </w:r>
    </w:p>
    <w:p w:rsidR="00A943EC" w:rsidRPr="00054E1C" w:rsidRDefault="00A943EC" w:rsidP="00054E1C">
      <w:pPr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1</w:t>
      </w:r>
      <w:r w:rsidR="00F7237D" w:rsidRPr="00054E1C">
        <w:rPr>
          <w:rFonts w:ascii="Arial" w:hAnsi="Arial" w:cs="Arial"/>
          <w:sz w:val="22"/>
          <w:szCs w:val="22"/>
        </w:rPr>
        <w:t>9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28/10.) i Uredbe o klasifikaciji radnih mjesta u lokalnoj i područnoj (regionalnoj) samoupravi («Narodne novine» 74/10 i 125/14).</w:t>
      </w:r>
    </w:p>
    <w:p w:rsidR="00054E1C" w:rsidRPr="00054E1C" w:rsidRDefault="00054E1C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</w:t>
      </w:r>
      <w:r w:rsidR="00F7237D" w:rsidRPr="00054E1C">
        <w:rPr>
          <w:rFonts w:ascii="Arial" w:hAnsi="Arial" w:cs="Arial"/>
          <w:sz w:val="22"/>
          <w:szCs w:val="22"/>
        </w:rPr>
        <w:t>20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 i po zahtjevu Gradskog vijeća.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</w:t>
      </w:r>
      <w:r w:rsidR="00F7237D" w:rsidRPr="00054E1C">
        <w:rPr>
          <w:rFonts w:ascii="Arial" w:hAnsi="Arial" w:cs="Arial"/>
          <w:sz w:val="22"/>
          <w:szCs w:val="22"/>
        </w:rPr>
        <w:t>21</w:t>
      </w:r>
      <w:r w:rsidR="00B354B5"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U skladu sa  Zakonom o javnoj nabavi, proračunski korisnici mogu sklapati ugovore o nabavi robe, obavljanju usluga i ustupanju radova u visini dodijeljenih sredstava. 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</w:t>
      </w:r>
      <w:r w:rsidR="00F7237D" w:rsidRPr="00054E1C">
        <w:rPr>
          <w:rFonts w:ascii="Arial" w:hAnsi="Arial" w:cs="Arial"/>
          <w:sz w:val="22"/>
          <w:szCs w:val="22"/>
        </w:rPr>
        <w:t>22</w:t>
      </w:r>
      <w:r w:rsidR="00B354B5"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Iznimno, moguća oslobađanja od dijela dugovanja, nastalog temeljem stvorenih obveza, provodit će se na način i pod uvjetima utvrđenim propisima koji reguliraju te obveze.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54E1C">
        <w:rPr>
          <w:rFonts w:ascii="Arial" w:hAnsi="Arial" w:cs="Arial"/>
          <w:bCs w:val="0"/>
          <w:sz w:val="22"/>
          <w:szCs w:val="22"/>
        </w:rPr>
        <w:t>IV.  UPRAVLJANJE GRADSKOM IMOVINOM I DUGOVIMA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</w:t>
      </w:r>
      <w:r w:rsidR="00F7237D" w:rsidRPr="00054E1C">
        <w:rPr>
          <w:rFonts w:ascii="Arial" w:hAnsi="Arial" w:cs="Arial"/>
          <w:sz w:val="22"/>
          <w:szCs w:val="22"/>
        </w:rPr>
        <w:t>3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054E1C" w:rsidRPr="00054E1C" w:rsidRDefault="00054E1C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7E4AE7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Udjele u kapitalu trgovačkog društva Grad može stjecati prijebojem potraživanja s osnove danih zajmova i plaćenih jamstava, ulaganjem pokretnina i nekretnina i zamjenom dionica i udjela.</w:t>
      </w:r>
    </w:p>
    <w:p w:rsidR="007E4AE7" w:rsidRPr="00054E1C" w:rsidRDefault="007E4AE7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7E4AE7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</w:t>
      </w:r>
      <w:r w:rsidR="00621281" w:rsidRPr="00054E1C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054E1C" w:rsidRDefault="00054E1C" w:rsidP="00AF01E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</w:t>
      </w:r>
      <w:r w:rsidR="00F7237D" w:rsidRPr="00054E1C">
        <w:rPr>
          <w:rFonts w:ascii="Arial" w:hAnsi="Arial" w:cs="Arial"/>
          <w:sz w:val="22"/>
          <w:szCs w:val="22"/>
        </w:rPr>
        <w:t>4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 xml:space="preserve">Izdaci za otplatu glavnice primljenih kredita i zajmova, iskazani u Računu zaduživanja/financiranja Proračuna u iznosu od </w:t>
      </w:r>
      <w:r w:rsidR="00756CD3" w:rsidRPr="00054E1C">
        <w:rPr>
          <w:rFonts w:ascii="Arial" w:hAnsi="Arial" w:cs="Arial"/>
          <w:sz w:val="22"/>
          <w:szCs w:val="22"/>
        </w:rPr>
        <w:t>36</w:t>
      </w:r>
      <w:r w:rsidRPr="00054E1C">
        <w:rPr>
          <w:rFonts w:ascii="Arial" w:hAnsi="Arial" w:cs="Arial"/>
          <w:sz w:val="22"/>
          <w:szCs w:val="22"/>
        </w:rPr>
        <w:t>.</w:t>
      </w:r>
      <w:r w:rsidR="00756CD3" w:rsidRPr="00054E1C">
        <w:rPr>
          <w:rFonts w:ascii="Arial" w:hAnsi="Arial" w:cs="Arial"/>
          <w:sz w:val="22"/>
          <w:szCs w:val="22"/>
        </w:rPr>
        <w:t>617</w:t>
      </w:r>
      <w:r w:rsidR="00DE246A" w:rsidRPr="00054E1C">
        <w:rPr>
          <w:rFonts w:ascii="Arial" w:hAnsi="Arial" w:cs="Arial"/>
          <w:sz w:val="22"/>
          <w:szCs w:val="22"/>
        </w:rPr>
        <w:t xml:space="preserve">.000 </w:t>
      </w:r>
      <w:r w:rsidRPr="00054E1C">
        <w:rPr>
          <w:rFonts w:ascii="Arial" w:hAnsi="Arial" w:cs="Arial"/>
          <w:sz w:val="22"/>
          <w:szCs w:val="22"/>
        </w:rPr>
        <w:t>kuna, te pripadajuće kamate imaju u izvršavanju Proračuna  prednost pred svim ostalim izdacima.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 2</w:t>
      </w:r>
      <w:r w:rsidR="00F7237D" w:rsidRPr="00054E1C">
        <w:rPr>
          <w:rFonts w:ascii="Arial" w:hAnsi="Arial" w:cs="Arial"/>
          <w:sz w:val="22"/>
          <w:szCs w:val="22"/>
        </w:rPr>
        <w:t>5</w:t>
      </w:r>
      <w:r w:rsidRPr="00054E1C">
        <w:rPr>
          <w:rFonts w:ascii="Arial" w:hAnsi="Arial" w:cs="Arial"/>
          <w:sz w:val="22"/>
          <w:szCs w:val="22"/>
        </w:rPr>
        <w:t>.</w:t>
      </w:r>
    </w:p>
    <w:p w:rsidR="007E4AE7" w:rsidRPr="00054E1C" w:rsidRDefault="007E4AE7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pStyle w:val="BodyText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se može dugoročno zadužiti samo za investiciju koja se financira iz njegova proračuna, a koju potvrdi Gradsko vijeće  uz suglasnost Vlade Republike Hrvatske</w:t>
      </w:r>
      <w:r w:rsidR="00DE246A" w:rsidRPr="00054E1C">
        <w:rPr>
          <w:rFonts w:ascii="Arial" w:hAnsi="Arial" w:cs="Arial"/>
          <w:sz w:val="22"/>
          <w:szCs w:val="22"/>
        </w:rPr>
        <w:t>,</w:t>
      </w:r>
      <w:r w:rsidRPr="00054E1C">
        <w:rPr>
          <w:rFonts w:ascii="Arial" w:hAnsi="Arial" w:cs="Arial"/>
          <w:sz w:val="22"/>
          <w:szCs w:val="22"/>
        </w:rPr>
        <w:t xml:space="preserve"> a na prijedlog ministra financija.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Ugovor o zaduživanju sklapa  Gradonačelnik, na osnovi donesenog proračuna, uz suglasnost Vlade, a na prijedlog ministra financija.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 sklopljenom ugovoru, Grad je dužan izvijestiti Ministarstvo financija u roku od 8 dana od dana sklapanja istog.</w:t>
      </w:r>
    </w:p>
    <w:p w:rsidR="00B354B5" w:rsidRPr="00054E1C" w:rsidRDefault="00B354B5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se ne planira zaduživati u proračunskoj 2021. godini.</w:t>
      </w:r>
    </w:p>
    <w:p w:rsidR="00B354B5" w:rsidRPr="00054E1C" w:rsidRDefault="00B354B5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Očekivani iznos ukupnog duga glavnice po osnovi kredita Grada na kraju 2021. godine iznosit će 288.832.500 kuna, a sukladno planiranim rokovima iskorištenja odobrenih kredita.</w:t>
      </w:r>
    </w:p>
    <w:p w:rsidR="00B354B5" w:rsidRPr="00054E1C" w:rsidRDefault="00B354B5" w:rsidP="00054E1C">
      <w:pPr>
        <w:jc w:val="center"/>
        <w:rPr>
          <w:rFonts w:ascii="Arial" w:hAnsi="Arial" w:cs="Arial"/>
          <w:sz w:val="22"/>
          <w:szCs w:val="22"/>
          <w:highlight w:val="yellow"/>
        </w:rPr>
      </w:pPr>
    </w:p>
    <w:p w:rsidR="00B253F5" w:rsidRPr="00054E1C" w:rsidRDefault="007A052A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26.</w:t>
      </w:r>
    </w:p>
    <w:p w:rsidR="00B253F5" w:rsidRPr="00054E1C" w:rsidRDefault="00B253F5" w:rsidP="00054E1C">
      <w:pPr>
        <w:jc w:val="center"/>
        <w:rPr>
          <w:rFonts w:ascii="Arial" w:hAnsi="Arial" w:cs="Arial"/>
          <w:sz w:val="22"/>
          <w:szCs w:val="22"/>
        </w:rPr>
      </w:pPr>
    </w:p>
    <w:p w:rsidR="007A052A" w:rsidRPr="00054E1C" w:rsidRDefault="007A052A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se može kratkoročno zadužiti najduže do 12 mjeseci samo za premošćivanje jaza nastalog zbog različite dinamike priljeva sredstava i dospijeća obveza, bez mogućnosti daljnjeg reprogramiranja ili zatvaranja postojećih obveza po kratkoročnim kreditima ili zajmovima uzimanjem novih  kratkoročnih kredita ili zajmova.</w:t>
      </w:r>
    </w:p>
    <w:p w:rsidR="007A052A" w:rsidRPr="00054E1C" w:rsidRDefault="007A052A" w:rsidP="00054E1C">
      <w:pPr>
        <w:jc w:val="center"/>
        <w:rPr>
          <w:rFonts w:ascii="Arial" w:hAnsi="Arial" w:cs="Arial"/>
          <w:sz w:val="22"/>
          <w:szCs w:val="22"/>
        </w:rPr>
      </w:pPr>
    </w:p>
    <w:p w:rsidR="00B253F5" w:rsidRPr="00054E1C" w:rsidRDefault="000D5FBF" w:rsidP="00054E1C">
      <w:pPr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Odluku o kratkoročnom zaduživanju iz stavka 1. ovog članka donosi gradonačelnik.</w:t>
      </w:r>
    </w:p>
    <w:p w:rsidR="00B253F5" w:rsidRPr="00054E1C" w:rsidRDefault="00B253F5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</w:t>
      </w:r>
      <w:r w:rsidR="00D32798" w:rsidRPr="00054E1C">
        <w:rPr>
          <w:rFonts w:ascii="Arial" w:hAnsi="Arial" w:cs="Arial"/>
          <w:sz w:val="22"/>
          <w:szCs w:val="22"/>
        </w:rPr>
        <w:t>7</w:t>
      </w:r>
      <w:r w:rsidR="00F7237D"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A644D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Ukupna godišnja obveza Grada za zaduživanje može iznositi najviše 20% ostvarenih prihoda u</w:t>
      </w:r>
      <w:r w:rsidR="006A644D" w:rsidRPr="00054E1C">
        <w:rPr>
          <w:rFonts w:ascii="Arial" w:hAnsi="Arial" w:cs="Arial"/>
          <w:sz w:val="22"/>
          <w:szCs w:val="22"/>
        </w:rPr>
        <w:t xml:space="preserve"> godini koja prethodi godini u kojoj se zadužuje.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U iznos ukupne godišnje obveze iz stavka 1. ovog članka uključen je  iznos dospjelog  godišnjeg anuiteta u tekućoj godini po kreditima Grada iz članka 2</w:t>
      </w:r>
      <w:r w:rsidR="00017A2C" w:rsidRPr="00054E1C">
        <w:rPr>
          <w:rFonts w:ascii="Arial" w:hAnsi="Arial" w:cs="Arial"/>
          <w:sz w:val="22"/>
          <w:szCs w:val="22"/>
        </w:rPr>
        <w:t>5</w:t>
      </w:r>
      <w:r w:rsidRPr="00054E1C">
        <w:rPr>
          <w:rFonts w:ascii="Arial" w:hAnsi="Arial" w:cs="Arial"/>
          <w:sz w:val="22"/>
          <w:szCs w:val="22"/>
        </w:rPr>
        <w:t>., danim suglasnostima iz članka 2</w:t>
      </w:r>
      <w:r w:rsidR="00350867" w:rsidRPr="00054E1C">
        <w:rPr>
          <w:rFonts w:ascii="Arial" w:hAnsi="Arial" w:cs="Arial"/>
          <w:sz w:val="22"/>
          <w:szCs w:val="22"/>
        </w:rPr>
        <w:t>8</w:t>
      </w:r>
      <w:r w:rsidRPr="00054E1C">
        <w:rPr>
          <w:rFonts w:ascii="Arial" w:hAnsi="Arial" w:cs="Arial"/>
          <w:sz w:val="22"/>
          <w:szCs w:val="22"/>
        </w:rPr>
        <w:t>., te odobrenim jamstvima iz članka 2</w:t>
      </w:r>
      <w:r w:rsidR="00350867" w:rsidRPr="00054E1C">
        <w:rPr>
          <w:rFonts w:ascii="Arial" w:hAnsi="Arial" w:cs="Arial"/>
          <w:sz w:val="22"/>
          <w:szCs w:val="22"/>
        </w:rPr>
        <w:t>9</w:t>
      </w:r>
      <w:r w:rsidRPr="00054E1C">
        <w:rPr>
          <w:rFonts w:ascii="Arial" w:hAnsi="Arial" w:cs="Arial"/>
          <w:sz w:val="22"/>
          <w:szCs w:val="22"/>
        </w:rPr>
        <w:t>. ove Odluke, kao i dospjele neizmirene obveze, te moguće druge obveze sukladno odredbama članaka 86. do 94. Zakona o proračunu.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Pod ostvarenim proračunskim prihodima razumijevaju se ostvareni prihodi Grada iz članka 18. Zakona o proračunu umanjeni za prihode od domaćih i inozemnih pomoći i donacija iz državnog proračuna i proračuna drugih jedinica lokalne samouprave i jedinica područne (regionalne) samouprave, za primitke iz posebnih ugovora (mjesni samodoprinos i sufinanciranje građana), te iz tuzemnog i inozemnog zaduženja.</w:t>
      </w:r>
    </w:p>
    <w:p w:rsidR="00B354B5" w:rsidRPr="00054E1C" w:rsidRDefault="00B354B5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Postotak zaduženja Grada Dubrovnika manji je od Zakonom dopuštenoga i po zadnjem izračunu iznosi 13,</w:t>
      </w:r>
      <w:r w:rsidR="00B354B5" w:rsidRPr="00054E1C">
        <w:rPr>
          <w:rFonts w:ascii="Arial" w:hAnsi="Arial" w:cs="Arial"/>
          <w:sz w:val="22"/>
          <w:szCs w:val="22"/>
        </w:rPr>
        <w:t>68</w:t>
      </w:r>
      <w:r w:rsidRPr="00054E1C">
        <w:rPr>
          <w:rFonts w:ascii="Arial" w:hAnsi="Arial" w:cs="Arial"/>
          <w:sz w:val="22"/>
          <w:szCs w:val="22"/>
        </w:rPr>
        <w:t>%.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</w:t>
      </w:r>
      <w:r w:rsidR="00350867" w:rsidRPr="00054E1C">
        <w:rPr>
          <w:rFonts w:ascii="Arial" w:hAnsi="Arial" w:cs="Arial"/>
          <w:sz w:val="22"/>
          <w:szCs w:val="22"/>
        </w:rPr>
        <w:t>8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Trgovačko društvo i javna ustanova kojih je osnivač i većinski vlasnik Grad Dubrovnik mogu se dugoročno  zaduživati samo za investiciju uz suglasnost Grada. 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Odluku o davanju suglasnosti iz stavka  1. ovog članka donosi Gradsko vijeće, a ista se uključuje u opseg mogućeg zaduživanja Grada iz članka 2</w:t>
      </w:r>
      <w:r w:rsidR="00B9428B" w:rsidRPr="00054E1C">
        <w:rPr>
          <w:rFonts w:ascii="Arial" w:hAnsi="Arial" w:cs="Arial"/>
          <w:sz w:val="22"/>
          <w:szCs w:val="22"/>
        </w:rPr>
        <w:t>7</w:t>
      </w:r>
      <w:r w:rsidRPr="00054E1C">
        <w:rPr>
          <w:rFonts w:ascii="Arial" w:hAnsi="Arial" w:cs="Arial"/>
          <w:sz w:val="22"/>
          <w:szCs w:val="22"/>
        </w:rPr>
        <w:t>. ove Odluke, a sukladno odredbama članka 90. Zakona o proračunu.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lastRenderedPageBreak/>
        <w:t>Grad je dužan izvijestiti Ministarstvo financija o danim suglasnostima iz stavka 1. ovog članka u roku od 8 dana od dane suglasnosti, te o  sklopljenim ugovorima  8 dana od dana sklapanja.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E8493D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otplati na temelju danih suglasnosti.</w:t>
      </w:r>
    </w:p>
    <w:p w:rsidR="00E8493D" w:rsidRPr="00054E1C" w:rsidRDefault="00E8493D" w:rsidP="00054E1C">
      <w:pPr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Članak 2</w:t>
      </w:r>
      <w:r w:rsidR="00350867" w:rsidRPr="00054E1C">
        <w:rPr>
          <w:rFonts w:ascii="Arial" w:hAnsi="Arial" w:cs="Arial"/>
          <w:sz w:val="22"/>
          <w:szCs w:val="22"/>
        </w:rPr>
        <w:t>9</w:t>
      </w:r>
      <w:r w:rsidRPr="00054E1C">
        <w:rPr>
          <w:rFonts w:ascii="Arial" w:hAnsi="Arial" w:cs="Arial"/>
          <w:sz w:val="22"/>
          <w:szCs w:val="22"/>
        </w:rPr>
        <w:t>.</w:t>
      </w:r>
    </w:p>
    <w:p w:rsidR="00E8493D" w:rsidRPr="00054E1C" w:rsidRDefault="00E8493D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može davati jamstva za ispunjenje obveza trgovačkog društva i javne ustanove kojima je osnivač i većinski vlasnik.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Odluku o davanju jamstva iz stavka 1. ovog članka, donosi  Gradsko vijeće, a koja je izvršna nakon dobivanja suglasnosti Ministarstva financija.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Ista se uključuje u opseg mogućeg zaduživanja Grada iz članka  2</w:t>
      </w:r>
      <w:r w:rsidR="00B9428B" w:rsidRPr="00054E1C">
        <w:rPr>
          <w:rFonts w:ascii="Arial" w:hAnsi="Arial" w:cs="Arial"/>
          <w:sz w:val="22"/>
          <w:szCs w:val="22"/>
        </w:rPr>
        <w:t>7</w:t>
      </w:r>
      <w:r w:rsidRPr="00054E1C">
        <w:rPr>
          <w:rFonts w:ascii="Arial" w:hAnsi="Arial" w:cs="Arial"/>
          <w:sz w:val="22"/>
          <w:szCs w:val="22"/>
        </w:rPr>
        <w:t>. ove Odluke.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Jamstvena zaliha za prethodno izdana jamstva grada Dubrovnika,  u 20</w:t>
      </w:r>
      <w:r w:rsidR="000B6C34" w:rsidRPr="00054E1C">
        <w:rPr>
          <w:rFonts w:ascii="Arial" w:hAnsi="Arial" w:cs="Arial"/>
          <w:sz w:val="22"/>
          <w:szCs w:val="22"/>
        </w:rPr>
        <w:t>2</w:t>
      </w:r>
      <w:r w:rsidR="00037E90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 xml:space="preserve">. iznosi  </w:t>
      </w:r>
      <w:r w:rsidR="000B6C34" w:rsidRPr="00054E1C">
        <w:rPr>
          <w:rFonts w:ascii="Arial" w:hAnsi="Arial" w:cs="Arial"/>
          <w:sz w:val="22"/>
          <w:szCs w:val="22"/>
        </w:rPr>
        <w:t>2</w:t>
      </w:r>
      <w:r w:rsidRPr="00054E1C">
        <w:rPr>
          <w:rFonts w:ascii="Arial" w:hAnsi="Arial" w:cs="Arial"/>
          <w:sz w:val="22"/>
          <w:szCs w:val="22"/>
        </w:rPr>
        <w:t>00.000 kuna.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je dužan izvijestiti Ministarstvo financija o sklopljenom ugovoru o jamstvu u roku od 8 dana od dana o sklapanju.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Grad Dubrovnik dužan je izvještavati Ministarstvo financija unutar proračunske godine, tromjesečno do 10. u mjesecu za prethodno izvještajno razdoblje o stanju aktivnih jamstava za koja je dana suglasnost.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E8493D" w:rsidRPr="00054E1C" w:rsidRDefault="00E8493D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54E1C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 </w:t>
      </w:r>
      <w:r w:rsidR="00350867" w:rsidRPr="00054E1C">
        <w:rPr>
          <w:rFonts w:ascii="Arial" w:hAnsi="Arial" w:cs="Arial"/>
          <w:sz w:val="22"/>
          <w:szCs w:val="22"/>
        </w:rPr>
        <w:t>30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674303" w:rsidRPr="00054E1C" w:rsidRDefault="00674303" w:rsidP="00054E1C">
      <w:pPr>
        <w:rPr>
          <w:rFonts w:ascii="Arial" w:hAnsi="Arial" w:cs="Arial"/>
          <w:sz w:val="22"/>
          <w:szCs w:val="22"/>
        </w:rPr>
      </w:pPr>
    </w:p>
    <w:p w:rsidR="00B9428B" w:rsidRPr="00054E1C" w:rsidRDefault="00B9428B" w:rsidP="00054E1C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621281" w:rsidRPr="00054E1C" w:rsidRDefault="00621281" w:rsidP="00054E1C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054E1C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054E1C" w:rsidRDefault="00621281" w:rsidP="00054E1C">
      <w:pPr>
        <w:jc w:val="center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 xml:space="preserve">Članak  </w:t>
      </w:r>
      <w:r w:rsidR="00F7237D" w:rsidRPr="00054E1C">
        <w:rPr>
          <w:rFonts w:ascii="Arial" w:hAnsi="Arial" w:cs="Arial"/>
          <w:sz w:val="22"/>
          <w:szCs w:val="22"/>
        </w:rPr>
        <w:t>3</w:t>
      </w:r>
      <w:r w:rsidR="00350867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>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>Ova Odluka stupa na snagu osmog dana od dana objave u "Službenom glasniku Grada Dubrovnika",  a primjenjuje se od 1. siječnja 20</w:t>
      </w:r>
      <w:r w:rsidR="006A644D" w:rsidRPr="00054E1C">
        <w:rPr>
          <w:rFonts w:ascii="Arial" w:hAnsi="Arial" w:cs="Arial"/>
          <w:sz w:val="22"/>
          <w:szCs w:val="22"/>
        </w:rPr>
        <w:t>2</w:t>
      </w:r>
      <w:r w:rsidR="00037E90" w:rsidRPr="00054E1C">
        <w:rPr>
          <w:rFonts w:ascii="Arial" w:hAnsi="Arial" w:cs="Arial"/>
          <w:sz w:val="22"/>
          <w:szCs w:val="22"/>
        </w:rPr>
        <w:t>1</w:t>
      </w:r>
      <w:r w:rsidRPr="00054E1C">
        <w:rPr>
          <w:rFonts w:ascii="Arial" w:hAnsi="Arial" w:cs="Arial"/>
          <w:sz w:val="22"/>
          <w:szCs w:val="22"/>
        </w:rPr>
        <w:t>. godine.</w:t>
      </w:r>
    </w:p>
    <w:p w:rsidR="00674303" w:rsidRPr="00054E1C" w:rsidRDefault="00674303" w:rsidP="00054E1C">
      <w:pPr>
        <w:jc w:val="both"/>
        <w:rPr>
          <w:rFonts w:ascii="Arial" w:hAnsi="Arial" w:cs="Arial"/>
          <w:sz w:val="22"/>
          <w:szCs w:val="22"/>
        </w:rPr>
      </w:pPr>
    </w:p>
    <w:p w:rsidR="00674303" w:rsidRPr="00054E1C" w:rsidRDefault="00674303" w:rsidP="00054E1C">
      <w:pPr>
        <w:jc w:val="both"/>
        <w:rPr>
          <w:rFonts w:ascii="Arial" w:hAnsi="Arial" w:cs="Arial"/>
          <w:sz w:val="22"/>
          <w:szCs w:val="22"/>
        </w:rPr>
      </w:pP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="00674303" w:rsidRPr="00054E1C">
        <w:rPr>
          <w:rFonts w:ascii="Arial" w:hAnsi="Arial" w:cs="Arial"/>
          <w:sz w:val="22"/>
          <w:szCs w:val="22"/>
        </w:rPr>
        <w:t xml:space="preserve">        </w:t>
      </w:r>
      <w:r w:rsidR="005032D7" w:rsidRPr="00054E1C">
        <w:rPr>
          <w:rFonts w:ascii="Arial" w:hAnsi="Arial" w:cs="Arial"/>
          <w:sz w:val="22"/>
          <w:szCs w:val="22"/>
        </w:rPr>
        <w:t xml:space="preserve">  </w:t>
      </w:r>
      <w:r w:rsidR="00054E1C">
        <w:rPr>
          <w:rFonts w:ascii="Arial" w:hAnsi="Arial" w:cs="Arial"/>
          <w:sz w:val="22"/>
          <w:szCs w:val="22"/>
        </w:rPr>
        <w:t xml:space="preserve">                      </w:t>
      </w:r>
      <w:r w:rsidRPr="00054E1C">
        <w:rPr>
          <w:rFonts w:ascii="Arial" w:hAnsi="Arial" w:cs="Arial"/>
          <w:sz w:val="22"/>
          <w:szCs w:val="22"/>
        </w:rPr>
        <w:t>Predsjednik Gradskog vijeća</w:t>
      </w:r>
      <w:r w:rsidR="00054E1C">
        <w:rPr>
          <w:rFonts w:ascii="Arial" w:hAnsi="Arial" w:cs="Arial"/>
          <w:sz w:val="22"/>
          <w:szCs w:val="22"/>
        </w:rPr>
        <w:t>:</w:t>
      </w:r>
    </w:p>
    <w:p w:rsidR="00621281" w:rsidRPr="00054E1C" w:rsidRDefault="00621281" w:rsidP="00054E1C">
      <w:pPr>
        <w:jc w:val="both"/>
        <w:rPr>
          <w:rFonts w:ascii="Arial" w:hAnsi="Arial" w:cs="Arial"/>
          <w:sz w:val="22"/>
          <w:szCs w:val="22"/>
        </w:rPr>
      </w:pP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</w:r>
      <w:r w:rsidRPr="00054E1C">
        <w:rPr>
          <w:rFonts w:ascii="Arial" w:hAnsi="Arial" w:cs="Arial"/>
          <w:sz w:val="22"/>
          <w:szCs w:val="22"/>
        </w:rPr>
        <w:tab/>
        <w:t xml:space="preserve">  </w:t>
      </w:r>
      <w:r w:rsidR="00054E1C">
        <w:rPr>
          <w:rFonts w:ascii="Arial" w:hAnsi="Arial" w:cs="Arial"/>
          <w:sz w:val="22"/>
          <w:szCs w:val="22"/>
        </w:rPr>
        <w:t xml:space="preserve">                  </w:t>
      </w:r>
      <w:r w:rsidRPr="00054E1C">
        <w:rPr>
          <w:rFonts w:ascii="Arial" w:hAnsi="Arial" w:cs="Arial"/>
          <w:sz w:val="22"/>
          <w:szCs w:val="22"/>
        </w:rPr>
        <w:t xml:space="preserve"> mr.sc.  Marko Potrebica</w:t>
      </w:r>
    </w:p>
    <w:p w:rsidR="00621281" w:rsidRDefault="00621281" w:rsidP="00054E1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054E1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054E1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054E1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E1C" w:rsidRDefault="00054E1C" w:rsidP="00054E1C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54E1C" w:rsidRPr="00054E1C" w:rsidRDefault="00054E1C" w:rsidP="00054E1C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054E1C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054E1C" w:rsidRPr="00054E1C" w:rsidRDefault="00054E1C" w:rsidP="00054E1C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054E1C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054E1C" w:rsidRPr="00054E1C" w:rsidRDefault="00054E1C" w:rsidP="00054E1C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054E1C"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054E1C" w:rsidRPr="00054E1C" w:rsidRDefault="00054E1C" w:rsidP="00054E1C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054E1C"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054E1C" w:rsidRPr="00054E1C" w:rsidRDefault="00054E1C" w:rsidP="00054E1C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054E1C">
        <w:rPr>
          <w:rFonts w:ascii="Arial" w:hAnsi="Arial" w:cs="Arial"/>
          <w:sz w:val="22"/>
          <w:szCs w:val="22"/>
          <w:lang w:eastAsia="en-US"/>
        </w:rPr>
        <w:t xml:space="preserve">3. </w:t>
      </w:r>
      <w:r w:rsidRPr="00054E1C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054E1C" w:rsidRPr="00054E1C" w:rsidRDefault="00054E1C" w:rsidP="00054E1C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054E1C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054E1C" w:rsidRPr="00054E1C" w:rsidRDefault="00054E1C" w:rsidP="00054E1C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054E1C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sectPr w:rsidR="00054E1C" w:rsidRPr="00054E1C" w:rsidSect="00054E1C">
      <w:footerReference w:type="default" r:id="rId8"/>
      <w:pgSz w:w="11906" w:h="16838" w:code="9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8D" w:rsidRDefault="00673B8D" w:rsidP="00843F0D">
      <w:r>
        <w:separator/>
      </w:r>
    </w:p>
  </w:endnote>
  <w:endnote w:type="continuationSeparator" w:id="0">
    <w:p w:rsidR="00673B8D" w:rsidRDefault="00673B8D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0D" w:rsidRDefault="00843F0D">
    <w:pPr>
      <w:pStyle w:val="Footer"/>
      <w:jc w:val="center"/>
    </w:pPr>
  </w:p>
  <w:p w:rsidR="00843F0D" w:rsidRDefault="0084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8D" w:rsidRDefault="00673B8D" w:rsidP="00843F0D">
      <w:r>
        <w:separator/>
      </w:r>
    </w:p>
  </w:footnote>
  <w:footnote w:type="continuationSeparator" w:id="0">
    <w:p w:rsidR="00673B8D" w:rsidRDefault="00673B8D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5"/>
    <w:rsid w:val="000047E8"/>
    <w:rsid w:val="00007AA1"/>
    <w:rsid w:val="00017A2C"/>
    <w:rsid w:val="00020AEA"/>
    <w:rsid w:val="00035A35"/>
    <w:rsid w:val="00035ADB"/>
    <w:rsid w:val="00037E90"/>
    <w:rsid w:val="000414CA"/>
    <w:rsid w:val="00043800"/>
    <w:rsid w:val="00043BDF"/>
    <w:rsid w:val="00054E1C"/>
    <w:rsid w:val="000567D6"/>
    <w:rsid w:val="0007437F"/>
    <w:rsid w:val="00074CCC"/>
    <w:rsid w:val="00077A3D"/>
    <w:rsid w:val="00077BF6"/>
    <w:rsid w:val="00087A37"/>
    <w:rsid w:val="00095958"/>
    <w:rsid w:val="000B0108"/>
    <w:rsid w:val="000B48CB"/>
    <w:rsid w:val="000B6C34"/>
    <w:rsid w:val="000C29C1"/>
    <w:rsid w:val="000D0E16"/>
    <w:rsid w:val="000D5FBF"/>
    <w:rsid w:val="000E65DC"/>
    <w:rsid w:val="000F3D4E"/>
    <w:rsid w:val="00101D9C"/>
    <w:rsid w:val="00121E3D"/>
    <w:rsid w:val="001260D2"/>
    <w:rsid w:val="00161CEE"/>
    <w:rsid w:val="00167826"/>
    <w:rsid w:val="00181027"/>
    <w:rsid w:val="00193043"/>
    <w:rsid w:val="00193866"/>
    <w:rsid w:val="001B3284"/>
    <w:rsid w:val="001D6554"/>
    <w:rsid w:val="001E320C"/>
    <w:rsid w:val="00222EDB"/>
    <w:rsid w:val="002235E7"/>
    <w:rsid w:val="00225E7E"/>
    <w:rsid w:val="00246712"/>
    <w:rsid w:val="00247EB3"/>
    <w:rsid w:val="002601FB"/>
    <w:rsid w:val="00271401"/>
    <w:rsid w:val="002B2EBC"/>
    <w:rsid w:val="002B5F53"/>
    <w:rsid w:val="002C040D"/>
    <w:rsid w:val="002C6AC1"/>
    <w:rsid w:val="002D5ED3"/>
    <w:rsid w:val="002E19C1"/>
    <w:rsid w:val="002F1C52"/>
    <w:rsid w:val="002F7FC1"/>
    <w:rsid w:val="00321B58"/>
    <w:rsid w:val="003314F2"/>
    <w:rsid w:val="00341618"/>
    <w:rsid w:val="00350867"/>
    <w:rsid w:val="00354A4C"/>
    <w:rsid w:val="00357068"/>
    <w:rsid w:val="0037037B"/>
    <w:rsid w:val="003767E7"/>
    <w:rsid w:val="003823C1"/>
    <w:rsid w:val="00383C79"/>
    <w:rsid w:val="00384D66"/>
    <w:rsid w:val="00384FD6"/>
    <w:rsid w:val="0039198E"/>
    <w:rsid w:val="003A5084"/>
    <w:rsid w:val="003B2ED9"/>
    <w:rsid w:val="003B395C"/>
    <w:rsid w:val="003B6FDC"/>
    <w:rsid w:val="003C03D6"/>
    <w:rsid w:val="003E4864"/>
    <w:rsid w:val="003F4249"/>
    <w:rsid w:val="003F4AE0"/>
    <w:rsid w:val="003F7486"/>
    <w:rsid w:val="00402087"/>
    <w:rsid w:val="0040555A"/>
    <w:rsid w:val="0042511A"/>
    <w:rsid w:val="00432866"/>
    <w:rsid w:val="0043795E"/>
    <w:rsid w:val="00440A12"/>
    <w:rsid w:val="00441ECE"/>
    <w:rsid w:val="00455DCE"/>
    <w:rsid w:val="00463716"/>
    <w:rsid w:val="00465C82"/>
    <w:rsid w:val="00482BC8"/>
    <w:rsid w:val="00483BD5"/>
    <w:rsid w:val="004870AF"/>
    <w:rsid w:val="004965D1"/>
    <w:rsid w:val="004C5F72"/>
    <w:rsid w:val="004C7751"/>
    <w:rsid w:val="004D7524"/>
    <w:rsid w:val="004E3965"/>
    <w:rsid w:val="004E504A"/>
    <w:rsid w:val="004E6657"/>
    <w:rsid w:val="005032D7"/>
    <w:rsid w:val="00510B03"/>
    <w:rsid w:val="005448C5"/>
    <w:rsid w:val="00547DA1"/>
    <w:rsid w:val="00551324"/>
    <w:rsid w:val="005523F3"/>
    <w:rsid w:val="00552BED"/>
    <w:rsid w:val="00574312"/>
    <w:rsid w:val="0057502D"/>
    <w:rsid w:val="0058078D"/>
    <w:rsid w:val="00581779"/>
    <w:rsid w:val="0059403F"/>
    <w:rsid w:val="005A4EC3"/>
    <w:rsid w:val="005C2E20"/>
    <w:rsid w:val="005C6221"/>
    <w:rsid w:val="005D4877"/>
    <w:rsid w:val="00600E78"/>
    <w:rsid w:val="00606299"/>
    <w:rsid w:val="0061754A"/>
    <w:rsid w:val="00621281"/>
    <w:rsid w:val="00633E9F"/>
    <w:rsid w:val="00634293"/>
    <w:rsid w:val="0064496D"/>
    <w:rsid w:val="00652022"/>
    <w:rsid w:val="00655F65"/>
    <w:rsid w:val="006572FA"/>
    <w:rsid w:val="00671E4A"/>
    <w:rsid w:val="00673B8D"/>
    <w:rsid w:val="00674303"/>
    <w:rsid w:val="006868F1"/>
    <w:rsid w:val="00695EA2"/>
    <w:rsid w:val="006A644D"/>
    <w:rsid w:val="006B1FB8"/>
    <w:rsid w:val="006C2BC3"/>
    <w:rsid w:val="006C3BC5"/>
    <w:rsid w:val="006D5A47"/>
    <w:rsid w:val="006D7F2B"/>
    <w:rsid w:val="006E3105"/>
    <w:rsid w:val="006F0C5B"/>
    <w:rsid w:val="00704B48"/>
    <w:rsid w:val="00711EF1"/>
    <w:rsid w:val="007235FA"/>
    <w:rsid w:val="00736587"/>
    <w:rsid w:val="00745D45"/>
    <w:rsid w:val="00750D8A"/>
    <w:rsid w:val="00754A18"/>
    <w:rsid w:val="00756CD3"/>
    <w:rsid w:val="00757897"/>
    <w:rsid w:val="007855FF"/>
    <w:rsid w:val="007A052A"/>
    <w:rsid w:val="007A3DB0"/>
    <w:rsid w:val="007B2C28"/>
    <w:rsid w:val="007B3F1F"/>
    <w:rsid w:val="007C1319"/>
    <w:rsid w:val="007C4F8B"/>
    <w:rsid w:val="007E1862"/>
    <w:rsid w:val="007E4AE7"/>
    <w:rsid w:val="00801B1E"/>
    <w:rsid w:val="008143A6"/>
    <w:rsid w:val="00822258"/>
    <w:rsid w:val="00831610"/>
    <w:rsid w:val="00833AB5"/>
    <w:rsid w:val="00837AAE"/>
    <w:rsid w:val="00841088"/>
    <w:rsid w:val="00843F0D"/>
    <w:rsid w:val="00846752"/>
    <w:rsid w:val="00853A1F"/>
    <w:rsid w:val="00881C78"/>
    <w:rsid w:val="008851AC"/>
    <w:rsid w:val="00887C3F"/>
    <w:rsid w:val="008A0049"/>
    <w:rsid w:val="008A55AE"/>
    <w:rsid w:val="008C1791"/>
    <w:rsid w:val="008C34C2"/>
    <w:rsid w:val="008C48EA"/>
    <w:rsid w:val="008F035B"/>
    <w:rsid w:val="0090126D"/>
    <w:rsid w:val="00907383"/>
    <w:rsid w:val="00923500"/>
    <w:rsid w:val="009236E8"/>
    <w:rsid w:val="0092739B"/>
    <w:rsid w:val="00955954"/>
    <w:rsid w:val="009577FB"/>
    <w:rsid w:val="00966189"/>
    <w:rsid w:val="00970B78"/>
    <w:rsid w:val="009756FF"/>
    <w:rsid w:val="009762F8"/>
    <w:rsid w:val="009769F5"/>
    <w:rsid w:val="0098204E"/>
    <w:rsid w:val="00985336"/>
    <w:rsid w:val="00996124"/>
    <w:rsid w:val="009A20B8"/>
    <w:rsid w:val="009A25F3"/>
    <w:rsid w:val="009B519B"/>
    <w:rsid w:val="009F0A77"/>
    <w:rsid w:val="009F5EEF"/>
    <w:rsid w:val="00A34E4F"/>
    <w:rsid w:val="00A65829"/>
    <w:rsid w:val="00A759B7"/>
    <w:rsid w:val="00A90A8E"/>
    <w:rsid w:val="00A937FC"/>
    <w:rsid w:val="00A943EC"/>
    <w:rsid w:val="00AA0A6C"/>
    <w:rsid w:val="00AA6EE9"/>
    <w:rsid w:val="00AA7A3B"/>
    <w:rsid w:val="00AB3EF4"/>
    <w:rsid w:val="00AB5F49"/>
    <w:rsid w:val="00AB6E77"/>
    <w:rsid w:val="00AC570F"/>
    <w:rsid w:val="00AE3086"/>
    <w:rsid w:val="00AF01E8"/>
    <w:rsid w:val="00B253F5"/>
    <w:rsid w:val="00B354B5"/>
    <w:rsid w:val="00B54732"/>
    <w:rsid w:val="00B5499F"/>
    <w:rsid w:val="00B70AA6"/>
    <w:rsid w:val="00B9428B"/>
    <w:rsid w:val="00B94C8C"/>
    <w:rsid w:val="00BC6827"/>
    <w:rsid w:val="00BD3A16"/>
    <w:rsid w:val="00BD6159"/>
    <w:rsid w:val="00BF22FD"/>
    <w:rsid w:val="00BF2492"/>
    <w:rsid w:val="00C10874"/>
    <w:rsid w:val="00C12067"/>
    <w:rsid w:val="00C173AC"/>
    <w:rsid w:val="00C462A5"/>
    <w:rsid w:val="00C715CB"/>
    <w:rsid w:val="00C73953"/>
    <w:rsid w:val="00C800C1"/>
    <w:rsid w:val="00C81882"/>
    <w:rsid w:val="00C83F0E"/>
    <w:rsid w:val="00C87EE1"/>
    <w:rsid w:val="00C927BC"/>
    <w:rsid w:val="00C931CE"/>
    <w:rsid w:val="00C96020"/>
    <w:rsid w:val="00CA65E9"/>
    <w:rsid w:val="00D06477"/>
    <w:rsid w:val="00D17AA6"/>
    <w:rsid w:val="00D32798"/>
    <w:rsid w:val="00D352FD"/>
    <w:rsid w:val="00D51978"/>
    <w:rsid w:val="00D625BE"/>
    <w:rsid w:val="00D937EB"/>
    <w:rsid w:val="00DB47C1"/>
    <w:rsid w:val="00DC0970"/>
    <w:rsid w:val="00DC24EE"/>
    <w:rsid w:val="00DE246A"/>
    <w:rsid w:val="00DF49FC"/>
    <w:rsid w:val="00E15878"/>
    <w:rsid w:val="00E204A8"/>
    <w:rsid w:val="00E32C4A"/>
    <w:rsid w:val="00E3710E"/>
    <w:rsid w:val="00E4031F"/>
    <w:rsid w:val="00E6271B"/>
    <w:rsid w:val="00E71B91"/>
    <w:rsid w:val="00E760CB"/>
    <w:rsid w:val="00E8493D"/>
    <w:rsid w:val="00E86B0F"/>
    <w:rsid w:val="00EA4C8C"/>
    <w:rsid w:val="00EA5C47"/>
    <w:rsid w:val="00EB61AB"/>
    <w:rsid w:val="00EB6DF5"/>
    <w:rsid w:val="00ED0C6A"/>
    <w:rsid w:val="00ED5351"/>
    <w:rsid w:val="00ED54DB"/>
    <w:rsid w:val="00EF5219"/>
    <w:rsid w:val="00F139FD"/>
    <w:rsid w:val="00F22EC9"/>
    <w:rsid w:val="00F42F01"/>
    <w:rsid w:val="00F4441A"/>
    <w:rsid w:val="00F53367"/>
    <w:rsid w:val="00F55E5F"/>
    <w:rsid w:val="00F7237D"/>
    <w:rsid w:val="00F772AC"/>
    <w:rsid w:val="00F87921"/>
    <w:rsid w:val="00F93155"/>
    <w:rsid w:val="00FA0CAD"/>
    <w:rsid w:val="00FB003A"/>
    <w:rsid w:val="00FB7F39"/>
    <w:rsid w:val="00FC02BE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4458C"/>
  <w15:docId w15:val="{782B8220-390B-43C7-B896-3DE68195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D946-5CC3-4F98-A901-B09555B9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2908</Words>
  <Characters>16580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5</cp:revision>
  <cp:lastPrinted>2020-11-23T08:47:00Z</cp:lastPrinted>
  <dcterms:created xsi:type="dcterms:W3CDTF">2020-11-20T13:08:00Z</dcterms:created>
  <dcterms:modified xsi:type="dcterms:W3CDTF">2020-11-23T08:47:00Z</dcterms:modified>
</cp:coreProperties>
</file>