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0C9B" w14:textId="77777777" w:rsidR="00BD087F" w:rsidRPr="00D22A5D" w:rsidRDefault="00BD087F" w:rsidP="00BD087F">
      <w:pPr>
        <w:rPr>
          <w:rFonts w:ascii="Arial" w:hAnsi="Arial" w:cs="Arial"/>
          <w:sz w:val="22"/>
          <w:szCs w:val="22"/>
        </w:rPr>
      </w:pPr>
      <w:r w:rsidRPr="00D22A5D">
        <w:rPr>
          <w:rFonts w:ascii="Arial" w:hAnsi="Arial" w:cs="Arial"/>
          <w:sz w:val="22"/>
          <w:szCs w:val="22"/>
        </w:rPr>
        <w:t>SLUŽBENI GLASNIK GRADA DUBROVNIKA</w:t>
      </w:r>
    </w:p>
    <w:p w14:paraId="23EC5EEB" w14:textId="77777777" w:rsidR="00BD087F" w:rsidRPr="00D22A5D" w:rsidRDefault="00BD087F" w:rsidP="00BD087F">
      <w:pPr>
        <w:rPr>
          <w:rFonts w:ascii="Arial" w:hAnsi="Arial" w:cs="Arial"/>
          <w:sz w:val="22"/>
          <w:szCs w:val="22"/>
        </w:rPr>
      </w:pPr>
    </w:p>
    <w:p w14:paraId="3E021139" w14:textId="445B820D" w:rsidR="00BD087F" w:rsidRPr="00D22A5D" w:rsidRDefault="00BD087F" w:rsidP="00BD087F">
      <w:pPr>
        <w:rPr>
          <w:rFonts w:ascii="Arial" w:hAnsi="Arial" w:cs="Arial"/>
          <w:sz w:val="22"/>
          <w:szCs w:val="22"/>
        </w:rPr>
      </w:pPr>
      <w:r w:rsidRPr="00D22A5D">
        <w:rPr>
          <w:rFonts w:ascii="Arial" w:hAnsi="Arial" w:cs="Arial"/>
          <w:sz w:val="22"/>
          <w:szCs w:val="22"/>
        </w:rPr>
        <w:t xml:space="preserve">Broj </w:t>
      </w:r>
      <w:r>
        <w:rPr>
          <w:rFonts w:ascii="Arial" w:hAnsi="Arial" w:cs="Arial"/>
          <w:sz w:val="22"/>
          <w:szCs w:val="22"/>
        </w:rPr>
        <w:t>11</w:t>
      </w:r>
      <w:r w:rsidRPr="00D22A5D">
        <w:rPr>
          <w:rFonts w:ascii="Arial" w:hAnsi="Arial" w:cs="Arial"/>
          <w:sz w:val="22"/>
          <w:szCs w:val="22"/>
        </w:rPr>
        <w:t>.       Godina LVIII</w:t>
      </w:r>
    </w:p>
    <w:p w14:paraId="705B85DB" w14:textId="77777777" w:rsidR="00BD087F" w:rsidRPr="00D22A5D" w:rsidRDefault="00BD087F" w:rsidP="00BD087F">
      <w:pPr>
        <w:rPr>
          <w:rFonts w:ascii="Arial" w:hAnsi="Arial" w:cs="Arial"/>
          <w:sz w:val="22"/>
          <w:szCs w:val="22"/>
        </w:rPr>
      </w:pPr>
    </w:p>
    <w:p w14:paraId="022B0DB6" w14:textId="2DC80C40" w:rsidR="00BD087F" w:rsidRPr="00D22A5D" w:rsidRDefault="00BD087F" w:rsidP="00BD087F">
      <w:pPr>
        <w:rPr>
          <w:rFonts w:ascii="Arial" w:hAnsi="Arial" w:cs="Arial"/>
          <w:sz w:val="22"/>
          <w:szCs w:val="22"/>
        </w:rPr>
      </w:pPr>
      <w:r w:rsidRPr="00D22A5D">
        <w:rPr>
          <w:rFonts w:ascii="Arial" w:hAnsi="Arial" w:cs="Arial"/>
          <w:sz w:val="22"/>
          <w:szCs w:val="22"/>
        </w:rPr>
        <w:t xml:space="preserve">Dubrovnik,   </w:t>
      </w:r>
      <w:r>
        <w:rPr>
          <w:rFonts w:ascii="Arial" w:hAnsi="Arial" w:cs="Arial"/>
          <w:sz w:val="22"/>
          <w:szCs w:val="22"/>
        </w:rPr>
        <w:t>30</w:t>
      </w:r>
      <w:r w:rsidRPr="00D22A5D">
        <w:rPr>
          <w:rFonts w:ascii="Arial" w:hAnsi="Arial" w:cs="Arial"/>
          <w:sz w:val="22"/>
          <w:szCs w:val="22"/>
        </w:rPr>
        <w:t>.</w:t>
      </w:r>
      <w:r>
        <w:rPr>
          <w:rFonts w:ascii="Arial" w:hAnsi="Arial" w:cs="Arial"/>
          <w:sz w:val="22"/>
          <w:szCs w:val="22"/>
        </w:rPr>
        <w:t xml:space="preserve"> lipnja</w:t>
      </w:r>
      <w:r w:rsidRPr="00D22A5D">
        <w:rPr>
          <w:rFonts w:ascii="Arial" w:hAnsi="Arial" w:cs="Arial"/>
          <w:sz w:val="22"/>
          <w:szCs w:val="22"/>
        </w:rPr>
        <w:t xml:space="preserve"> 2021.                                 od stranice </w:t>
      </w:r>
    </w:p>
    <w:p w14:paraId="48B9A900" w14:textId="77777777" w:rsidR="00BD087F" w:rsidRPr="00D22A5D" w:rsidRDefault="00BD087F" w:rsidP="00BD087F">
      <w:pPr>
        <w:rPr>
          <w:rFonts w:ascii="Arial" w:hAnsi="Arial" w:cs="Arial"/>
          <w:sz w:val="22"/>
          <w:szCs w:val="22"/>
        </w:rPr>
      </w:pPr>
      <w:r w:rsidRPr="00D22A5D">
        <w:rPr>
          <w:rFonts w:ascii="Arial" w:hAnsi="Arial" w:cs="Arial"/>
          <w:sz w:val="22"/>
          <w:szCs w:val="22"/>
        </w:rPr>
        <w:t>_________________________________________________________________________</w:t>
      </w:r>
    </w:p>
    <w:p w14:paraId="15955373" w14:textId="77777777" w:rsidR="00BD087F" w:rsidRPr="00D22A5D" w:rsidRDefault="00BD087F" w:rsidP="00BD087F">
      <w:pPr>
        <w:rPr>
          <w:rFonts w:ascii="Arial" w:hAnsi="Arial" w:cs="Arial"/>
          <w:sz w:val="22"/>
          <w:szCs w:val="22"/>
        </w:rPr>
      </w:pPr>
    </w:p>
    <w:p w14:paraId="1CAF2338" w14:textId="77777777" w:rsidR="00BD087F" w:rsidRDefault="00BD087F" w:rsidP="00BD087F">
      <w:pPr>
        <w:rPr>
          <w:rFonts w:ascii="Arial" w:hAnsi="Arial" w:cs="Arial"/>
          <w:sz w:val="22"/>
          <w:szCs w:val="22"/>
        </w:rPr>
      </w:pPr>
      <w:r w:rsidRPr="00D22A5D">
        <w:rPr>
          <w:rFonts w:ascii="Arial" w:hAnsi="Arial" w:cs="Arial"/>
          <w:sz w:val="22"/>
          <w:szCs w:val="22"/>
        </w:rPr>
        <w:t xml:space="preserve">Sadržaj     </w:t>
      </w:r>
    </w:p>
    <w:p w14:paraId="05E6D6EA" w14:textId="77777777" w:rsidR="00BD087F" w:rsidRDefault="00BD087F" w:rsidP="00BD087F">
      <w:pPr>
        <w:rPr>
          <w:rFonts w:ascii="Arial" w:hAnsi="Arial" w:cs="Arial"/>
          <w:sz w:val="22"/>
          <w:szCs w:val="22"/>
        </w:rPr>
      </w:pPr>
    </w:p>
    <w:p w14:paraId="78392E8D" w14:textId="03CF91FF" w:rsidR="00A13958" w:rsidRPr="00BD087F" w:rsidRDefault="00A13958" w:rsidP="00BD087F">
      <w:pPr>
        <w:rPr>
          <w:rFonts w:ascii="Arial" w:hAnsi="Arial" w:cs="Arial"/>
          <w:sz w:val="22"/>
          <w:szCs w:val="22"/>
        </w:rPr>
      </w:pPr>
    </w:p>
    <w:p w14:paraId="4D20A5F3" w14:textId="788B2B99" w:rsidR="00BD087F" w:rsidRPr="00BD087F" w:rsidRDefault="00BD087F" w:rsidP="00BD087F">
      <w:pPr>
        <w:rPr>
          <w:rFonts w:ascii="Arial" w:hAnsi="Arial" w:cs="Arial"/>
          <w:sz w:val="22"/>
          <w:szCs w:val="22"/>
        </w:rPr>
      </w:pPr>
    </w:p>
    <w:p w14:paraId="0E1481FF" w14:textId="43CBDF64" w:rsidR="00BD087F" w:rsidRPr="00BD087F" w:rsidRDefault="00BD087F" w:rsidP="00BD087F">
      <w:pPr>
        <w:rPr>
          <w:rFonts w:ascii="Arial" w:hAnsi="Arial" w:cs="Arial"/>
          <w:sz w:val="22"/>
          <w:szCs w:val="22"/>
        </w:rPr>
      </w:pPr>
    </w:p>
    <w:p w14:paraId="7F45CB4D" w14:textId="2FDE00D6" w:rsidR="00BD087F" w:rsidRDefault="00BD087F" w:rsidP="00BD087F">
      <w:pPr>
        <w:rPr>
          <w:rFonts w:ascii="Arial" w:hAnsi="Arial" w:cs="Arial"/>
          <w:sz w:val="22"/>
          <w:szCs w:val="22"/>
        </w:rPr>
      </w:pPr>
      <w:r w:rsidRPr="00BD087F">
        <w:rPr>
          <w:rFonts w:ascii="Arial" w:hAnsi="Arial" w:cs="Arial"/>
          <w:sz w:val="22"/>
          <w:szCs w:val="22"/>
        </w:rPr>
        <w:t>GRADONAČELNIK</w:t>
      </w:r>
    </w:p>
    <w:p w14:paraId="72D2E2D0" w14:textId="1F5433EF" w:rsidR="00BD087F" w:rsidRDefault="00BD087F" w:rsidP="00BD087F">
      <w:pPr>
        <w:rPr>
          <w:rFonts w:ascii="Arial" w:hAnsi="Arial" w:cs="Arial"/>
          <w:sz w:val="22"/>
          <w:szCs w:val="22"/>
        </w:rPr>
      </w:pPr>
    </w:p>
    <w:p w14:paraId="7C5920BA" w14:textId="024975A9" w:rsidR="00BD087F" w:rsidRDefault="00BD087F" w:rsidP="00BD087F">
      <w:pPr>
        <w:rPr>
          <w:rFonts w:ascii="Arial" w:hAnsi="Arial" w:cs="Arial"/>
          <w:sz w:val="22"/>
          <w:szCs w:val="22"/>
        </w:rPr>
      </w:pPr>
    </w:p>
    <w:p w14:paraId="5733920F" w14:textId="274EF659" w:rsidR="00BD087F" w:rsidRPr="00BD087F" w:rsidRDefault="00BD087F" w:rsidP="00BD087F">
      <w:pPr>
        <w:outlineLvl w:val="0"/>
        <w:rPr>
          <w:rFonts w:ascii="Arial" w:hAnsi="Arial" w:cs="Arial"/>
          <w:color w:val="000000"/>
          <w:sz w:val="22"/>
          <w:szCs w:val="22"/>
        </w:rPr>
      </w:pPr>
      <w:r w:rsidRPr="00BD087F">
        <w:rPr>
          <w:rFonts w:ascii="Arial" w:hAnsi="Arial" w:cs="Arial"/>
          <w:sz w:val="22"/>
          <w:szCs w:val="22"/>
        </w:rPr>
        <w:t>75.</w:t>
      </w:r>
      <w:r w:rsidRPr="00BD087F">
        <w:rPr>
          <w:rFonts w:ascii="Arial" w:hAnsi="Arial" w:cs="Arial"/>
          <w:color w:val="000000"/>
          <w:sz w:val="22"/>
          <w:szCs w:val="22"/>
        </w:rPr>
        <w:t xml:space="preserve"> O</w:t>
      </w:r>
      <w:r>
        <w:rPr>
          <w:rFonts w:ascii="Arial" w:hAnsi="Arial" w:cs="Arial"/>
          <w:color w:val="000000"/>
          <w:sz w:val="22"/>
          <w:szCs w:val="22"/>
        </w:rPr>
        <w:t xml:space="preserve">dluka </w:t>
      </w:r>
      <w:r w:rsidRPr="00BD087F">
        <w:rPr>
          <w:rFonts w:ascii="Arial" w:hAnsi="Arial" w:cs="Arial"/>
          <w:color w:val="000000"/>
          <w:sz w:val="22"/>
          <w:szCs w:val="22"/>
        </w:rPr>
        <w:t xml:space="preserve">kojom se utvrđuje da nije potrebno provesti stratešku procjenu utjecaja Izmjena i dopuna Prostornog plana uređenja Grada Dubrovnika, Izmjena i dopuna Generalnog urbanističkog  plana Grada Dubrovnika, te Izmjena i dopuna Urbanističkog plana uređenja „Babin Kuk“ na okoliš            </w:t>
      </w:r>
      <w:r w:rsidRPr="00BD087F">
        <w:rPr>
          <w:rFonts w:ascii="Arial" w:hAnsi="Arial" w:cs="Arial"/>
          <w:sz w:val="22"/>
          <w:szCs w:val="22"/>
          <w:lang w:val="en-US"/>
        </w:rPr>
        <w:t xml:space="preserve">      </w:t>
      </w:r>
      <w:r w:rsidRPr="00BD087F">
        <w:rPr>
          <w:rFonts w:ascii="Arial" w:hAnsi="Arial" w:cs="Arial"/>
          <w:sz w:val="22"/>
          <w:szCs w:val="22"/>
        </w:rPr>
        <w:t xml:space="preserve"> </w:t>
      </w:r>
    </w:p>
    <w:p w14:paraId="53423BFB" w14:textId="2F03E3D0" w:rsidR="00BD087F" w:rsidRPr="00BD087F" w:rsidRDefault="00BD087F" w:rsidP="00BD087F">
      <w:pPr>
        <w:rPr>
          <w:rFonts w:ascii="Arial" w:hAnsi="Arial" w:cs="Arial"/>
          <w:sz w:val="22"/>
          <w:szCs w:val="22"/>
        </w:rPr>
      </w:pPr>
    </w:p>
    <w:p w14:paraId="434779A1" w14:textId="50F9F7D8" w:rsidR="00BD087F" w:rsidRPr="00BD087F" w:rsidRDefault="00BD087F" w:rsidP="00BD087F">
      <w:pPr>
        <w:rPr>
          <w:rFonts w:ascii="Arial" w:hAnsi="Arial" w:cs="Arial"/>
          <w:sz w:val="22"/>
          <w:szCs w:val="22"/>
        </w:rPr>
      </w:pPr>
      <w:r w:rsidRPr="00BD087F">
        <w:rPr>
          <w:rFonts w:ascii="Arial" w:hAnsi="Arial" w:cs="Arial"/>
          <w:sz w:val="22"/>
          <w:szCs w:val="22"/>
        </w:rPr>
        <w:t>76.</w:t>
      </w:r>
      <w:r w:rsidR="006157C0">
        <w:rPr>
          <w:rFonts w:ascii="Arial" w:hAnsi="Arial" w:cs="Arial"/>
          <w:sz w:val="22"/>
          <w:szCs w:val="22"/>
        </w:rPr>
        <w:t xml:space="preserve"> </w:t>
      </w:r>
      <w:r w:rsidR="006157C0">
        <w:rPr>
          <w:rFonts w:ascii="Arial" w:eastAsia="Calibri" w:hAnsi="Arial" w:cs="Arial"/>
          <w:sz w:val="22"/>
          <w:szCs w:val="22"/>
          <w:lang w:eastAsia="ar-SA"/>
        </w:rPr>
        <w:t>Pravilnik o izmjenama i dopunama Pravilnika o unutarnjem redu gradske uprave Grada Dubrovnika</w:t>
      </w:r>
    </w:p>
    <w:p w14:paraId="642018D2" w14:textId="3E651897" w:rsidR="00BD087F" w:rsidRDefault="00BD087F" w:rsidP="00BD087F">
      <w:pPr>
        <w:rPr>
          <w:rFonts w:ascii="Arial" w:hAnsi="Arial" w:cs="Arial"/>
          <w:sz w:val="22"/>
          <w:szCs w:val="22"/>
        </w:rPr>
      </w:pPr>
    </w:p>
    <w:p w14:paraId="476D2CB3" w14:textId="4258B2AF" w:rsidR="00BD087F" w:rsidRDefault="00BD087F" w:rsidP="00BD087F">
      <w:pPr>
        <w:rPr>
          <w:rFonts w:ascii="Arial" w:hAnsi="Arial" w:cs="Arial"/>
          <w:sz w:val="22"/>
          <w:szCs w:val="22"/>
        </w:rPr>
      </w:pPr>
    </w:p>
    <w:p w14:paraId="5FCBAD61" w14:textId="23C738DC" w:rsidR="00BD087F" w:rsidRDefault="00BD087F" w:rsidP="00BD087F">
      <w:pPr>
        <w:rPr>
          <w:rFonts w:ascii="Arial" w:hAnsi="Arial" w:cs="Arial"/>
          <w:sz w:val="22"/>
          <w:szCs w:val="22"/>
        </w:rPr>
      </w:pPr>
    </w:p>
    <w:p w14:paraId="2CDD0280" w14:textId="35B5B348" w:rsidR="00BD087F" w:rsidRDefault="00BD087F" w:rsidP="00BD087F">
      <w:pPr>
        <w:rPr>
          <w:rFonts w:ascii="Arial" w:hAnsi="Arial" w:cs="Arial"/>
          <w:sz w:val="22"/>
          <w:szCs w:val="22"/>
        </w:rPr>
      </w:pPr>
    </w:p>
    <w:p w14:paraId="16AB8F46" w14:textId="4EA43A29" w:rsidR="00BD087F" w:rsidRDefault="00BD087F" w:rsidP="00BD087F">
      <w:pPr>
        <w:rPr>
          <w:rFonts w:ascii="Arial" w:hAnsi="Arial" w:cs="Arial"/>
          <w:sz w:val="22"/>
          <w:szCs w:val="22"/>
        </w:rPr>
      </w:pPr>
    </w:p>
    <w:p w14:paraId="0D58068C" w14:textId="71C3441D" w:rsidR="00BD087F" w:rsidRPr="00BD087F" w:rsidRDefault="00BD087F" w:rsidP="00BD087F">
      <w:pPr>
        <w:rPr>
          <w:rFonts w:ascii="Arial" w:hAnsi="Arial" w:cs="Arial"/>
          <w:b/>
          <w:bCs/>
          <w:sz w:val="22"/>
          <w:szCs w:val="22"/>
        </w:rPr>
      </w:pPr>
      <w:r w:rsidRPr="00BD087F">
        <w:rPr>
          <w:rFonts w:ascii="Arial" w:hAnsi="Arial" w:cs="Arial"/>
          <w:b/>
          <w:bCs/>
          <w:sz w:val="22"/>
          <w:szCs w:val="22"/>
        </w:rPr>
        <w:t>GRADONAČELNIK</w:t>
      </w:r>
    </w:p>
    <w:p w14:paraId="6B18F907" w14:textId="1D725211" w:rsidR="00BD087F" w:rsidRDefault="00BD087F" w:rsidP="00BD087F">
      <w:pPr>
        <w:rPr>
          <w:rFonts w:ascii="Arial" w:hAnsi="Arial" w:cs="Arial"/>
          <w:b/>
          <w:bCs/>
          <w:sz w:val="22"/>
          <w:szCs w:val="22"/>
        </w:rPr>
      </w:pPr>
    </w:p>
    <w:p w14:paraId="74F7ED23" w14:textId="77777777" w:rsidR="00BD087F" w:rsidRPr="00BD087F" w:rsidRDefault="00BD087F" w:rsidP="00BD087F">
      <w:pPr>
        <w:rPr>
          <w:rFonts w:ascii="Arial" w:hAnsi="Arial" w:cs="Arial"/>
          <w:b/>
          <w:bCs/>
          <w:sz w:val="22"/>
          <w:szCs w:val="22"/>
        </w:rPr>
      </w:pPr>
    </w:p>
    <w:p w14:paraId="52934D19" w14:textId="78019DD5" w:rsidR="00BD087F" w:rsidRPr="00BD087F" w:rsidRDefault="00BD087F" w:rsidP="00BD087F">
      <w:pPr>
        <w:rPr>
          <w:rFonts w:ascii="Arial" w:hAnsi="Arial" w:cs="Arial"/>
          <w:b/>
          <w:bCs/>
          <w:sz w:val="22"/>
          <w:szCs w:val="22"/>
        </w:rPr>
      </w:pPr>
    </w:p>
    <w:p w14:paraId="7110E7D7" w14:textId="1B4D8961" w:rsidR="00BD087F" w:rsidRDefault="00BD087F" w:rsidP="00BD087F">
      <w:pPr>
        <w:rPr>
          <w:rFonts w:ascii="Arial" w:hAnsi="Arial" w:cs="Arial"/>
          <w:b/>
          <w:bCs/>
          <w:sz w:val="22"/>
          <w:szCs w:val="22"/>
        </w:rPr>
      </w:pPr>
      <w:r w:rsidRPr="00BD087F">
        <w:rPr>
          <w:rFonts w:ascii="Arial" w:hAnsi="Arial" w:cs="Arial"/>
          <w:b/>
          <w:bCs/>
          <w:sz w:val="22"/>
          <w:szCs w:val="22"/>
        </w:rPr>
        <w:t>75</w:t>
      </w:r>
    </w:p>
    <w:p w14:paraId="089C07F0" w14:textId="64E9306B" w:rsidR="00BD087F" w:rsidRDefault="00BD087F" w:rsidP="00BD087F">
      <w:pPr>
        <w:rPr>
          <w:rFonts w:ascii="Arial" w:hAnsi="Arial" w:cs="Arial"/>
          <w:b/>
          <w:bCs/>
          <w:sz w:val="22"/>
          <w:szCs w:val="22"/>
        </w:rPr>
      </w:pPr>
    </w:p>
    <w:p w14:paraId="60F3557B" w14:textId="77777777" w:rsidR="00BD087F" w:rsidRPr="00BD087F" w:rsidRDefault="00BD087F" w:rsidP="00BD087F">
      <w:pPr>
        <w:rPr>
          <w:rFonts w:ascii="Arial" w:hAnsi="Arial" w:cs="Arial"/>
          <w:b/>
          <w:bCs/>
          <w:sz w:val="22"/>
          <w:szCs w:val="22"/>
        </w:rPr>
      </w:pPr>
    </w:p>
    <w:p w14:paraId="006AD796" w14:textId="77777777" w:rsidR="00BD087F" w:rsidRPr="00BD087F" w:rsidRDefault="00BD087F" w:rsidP="00BD087F">
      <w:pPr>
        <w:jc w:val="both"/>
        <w:rPr>
          <w:rFonts w:ascii="Arial" w:hAnsi="Arial" w:cs="Arial"/>
          <w:color w:val="000000"/>
          <w:sz w:val="22"/>
          <w:szCs w:val="22"/>
        </w:rPr>
      </w:pPr>
      <w:r w:rsidRPr="00BD087F">
        <w:rPr>
          <w:rFonts w:ascii="Arial" w:hAnsi="Arial" w:cs="Arial"/>
          <w:color w:val="000000"/>
          <w:sz w:val="22"/>
          <w:szCs w:val="22"/>
        </w:rPr>
        <w:t xml:space="preserve">Na temelju članka 64. stavka 3. Zakona o zaštiti okoliša („Narodne novine", broj 80/13, 153/13, 78/15, 12/18 i 118/18), članka 31. stavka 4. Uredbe o strateškoj procjeni utjecaja strategije, plana i programa na okoliš („Narodne novine", broj 3/17) i </w:t>
      </w:r>
      <w:r w:rsidRPr="00BD087F">
        <w:rPr>
          <w:rFonts w:ascii="Arial" w:hAnsi="Arial" w:cs="Arial"/>
          <w:iCs/>
          <w:sz w:val="22"/>
          <w:szCs w:val="22"/>
        </w:rPr>
        <w:t xml:space="preserve">članka 48. Statuta Grada Dubrovnika </w:t>
      </w:r>
      <w:r w:rsidRPr="00BD087F">
        <w:rPr>
          <w:rFonts w:ascii="Arial" w:eastAsia="Calibri" w:hAnsi="Arial" w:cs="Arial"/>
          <w:sz w:val="22"/>
          <w:szCs w:val="22"/>
        </w:rPr>
        <w:t>(„Službeni glasnik Grada Dubrovnika“, broj 2/21</w:t>
      </w:r>
      <w:r w:rsidRPr="00BD087F">
        <w:rPr>
          <w:rFonts w:ascii="Arial" w:hAnsi="Arial" w:cs="Arial"/>
          <w:iCs/>
          <w:sz w:val="22"/>
          <w:szCs w:val="22"/>
        </w:rPr>
        <w:t>)</w:t>
      </w:r>
      <w:r w:rsidRPr="00BD087F">
        <w:rPr>
          <w:rFonts w:ascii="Arial" w:hAnsi="Arial" w:cs="Arial"/>
          <w:color w:val="000000"/>
          <w:sz w:val="22"/>
          <w:szCs w:val="22"/>
        </w:rPr>
        <w:t>, Gradonačelnik Grada Dubrovnika dana 23. lipnja 2021. donosi</w:t>
      </w:r>
    </w:p>
    <w:p w14:paraId="4D7041D4" w14:textId="77777777" w:rsidR="00BD087F" w:rsidRPr="00BD087F" w:rsidRDefault="00BD087F" w:rsidP="00BD087F">
      <w:pPr>
        <w:rPr>
          <w:rFonts w:ascii="Arial" w:hAnsi="Arial" w:cs="Arial"/>
          <w:color w:val="000000"/>
          <w:sz w:val="22"/>
          <w:szCs w:val="22"/>
        </w:rPr>
      </w:pPr>
    </w:p>
    <w:p w14:paraId="669A2F74" w14:textId="77777777" w:rsidR="00BD087F" w:rsidRPr="00BD087F" w:rsidRDefault="00BD087F" w:rsidP="00BD087F">
      <w:pPr>
        <w:jc w:val="center"/>
        <w:outlineLvl w:val="0"/>
        <w:rPr>
          <w:rFonts w:ascii="Arial" w:hAnsi="Arial" w:cs="Arial"/>
          <w:b/>
          <w:color w:val="000000"/>
          <w:sz w:val="22"/>
          <w:szCs w:val="22"/>
        </w:rPr>
      </w:pPr>
      <w:r w:rsidRPr="00BD087F">
        <w:rPr>
          <w:rFonts w:ascii="Arial" w:hAnsi="Arial" w:cs="Arial"/>
          <w:b/>
          <w:color w:val="000000"/>
          <w:sz w:val="22"/>
          <w:szCs w:val="22"/>
        </w:rPr>
        <w:t>O D L U K U</w:t>
      </w:r>
    </w:p>
    <w:p w14:paraId="1B795818" w14:textId="77777777" w:rsidR="006157C0" w:rsidRDefault="00BD087F" w:rsidP="00BD087F">
      <w:pPr>
        <w:jc w:val="center"/>
        <w:rPr>
          <w:rFonts w:ascii="Arial" w:hAnsi="Arial" w:cs="Arial"/>
          <w:b/>
          <w:color w:val="000000"/>
          <w:sz w:val="22"/>
          <w:szCs w:val="22"/>
        </w:rPr>
      </w:pPr>
      <w:r w:rsidRPr="00BD087F">
        <w:rPr>
          <w:rFonts w:ascii="Arial" w:hAnsi="Arial" w:cs="Arial"/>
          <w:b/>
          <w:color w:val="000000"/>
          <w:sz w:val="22"/>
          <w:szCs w:val="22"/>
        </w:rPr>
        <w:t xml:space="preserve">kojom se utvrđuje da nije potrebno provesti stratešku procjenu utjecaja </w:t>
      </w:r>
    </w:p>
    <w:p w14:paraId="441B5799" w14:textId="20A600CC" w:rsidR="00BD087F" w:rsidRPr="00BD087F" w:rsidRDefault="00BD087F" w:rsidP="00BD087F">
      <w:pPr>
        <w:jc w:val="center"/>
        <w:rPr>
          <w:rFonts w:ascii="Arial" w:hAnsi="Arial" w:cs="Arial"/>
          <w:b/>
          <w:bCs/>
          <w:sz w:val="22"/>
          <w:szCs w:val="22"/>
          <w:lang w:val="en-US"/>
        </w:rPr>
      </w:pPr>
      <w:r w:rsidRPr="00BD087F">
        <w:rPr>
          <w:rFonts w:ascii="Arial" w:hAnsi="Arial" w:cs="Arial"/>
          <w:b/>
          <w:color w:val="000000"/>
          <w:sz w:val="22"/>
          <w:szCs w:val="22"/>
        </w:rPr>
        <w:t xml:space="preserve">Izmjena i dopuna Prostornog plana uređenja Grada Dubrovnika, Izmjena i dopuna Generalnog urbanističkog  plana Grada Dubrovnika, te Izmjena i dopuna Urbanističkog plana uređenja „Babin Kuk“ na okoliš            </w:t>
      </w:r>
      <w:r w:rsidRPr="00BD087F">
        <w:rPr>
          <w:rFonts w:ascii="Arial" w:hAnsi="Arial" w:cs="Arial"/>
          <w:b/>
          <w:bCs/>
          <w:sz w:val="22"/>
          <w:szCs w:val="22"/>
          <w:lang w:val="en-US"/>
        </w:rPr>
        <w:t xml:space="preserve">      </w:t>
      </w:r>
    </w:p>
    <w:p w14:paraId="67FC55FB" w14:textId="66514449" w:rsidR="00BD087F" w:rsidRDefault="00BD087F" w:rsidP="00BD087F">
      <w:pPr>
        <w:jc w:val="center"/>
        <w:rPr>
          <w:rFonts w:ascii="Arial" w:hAnsi="Arial" w:cs="Arial"/>
          <w:b/>
          <w:color w:val="000000"/>
          <w:sz w:val="22"/>
          <w:szCs w:val="22"/>
          <w:lang w:eastAsia="en-US"/>
        </w:rPr>
      </w:pPr>
    </w:p>
    <w:p w14:paraId="56B58600" w14:textId="19355D39" w:rsidR="00BD087F" w:rsidRDefault="00BD087F" w:rsidP="00BD087F">
      <w:pPr>
        <w:jc w:val="center"/>
        <w:rPr>
          <w:rFonts w:ascii="Arial" w:hAnsi="Arial" w:cs="Arial"/>
          <w:b/>
          <w:color w:val="000000"/>
          <w:sz w:val="22"/>
          <w:szCs w:val="22"/>
          <w:lang w:eastAsia="en-US"/>
        </w:rPr>
      </w:pPr>
    </w:p>
    <w:p w14:paraId="2F4618A4" w14:textId="77777777" w:rsidR="006157C0" w:rsidRPr="00BD087F" w:rsidRDefault="006157C0" w:rsidP="00BD087F">
      <w:pPr>
        <w:jc w:val="center"/>
        <w:rPr>
          <w:rFonts w:ascii="Arial" w:hAnsi="Arial" w:cs="Arial"/>
          <w:b/>
          <w:color w:val="000000"/>
          <w:sz w:val="22"/>
          <w:szCs w:val="22"/>
          <w:lang w:eastAsia="en-US"/>
        </w:rPr>
      </w:pPr>
    </w:p>
    <w:p w14:paraId="567B7060" w14:textId="77777777" w:rsidR="00BD087F" w:rsidRPr="00BD087F" w:rsidRDefault="00BD087F" w:rsidP="00BD087F">
      <w:pPr>
        <w:jc w:val="center"/>
        <w:outlineLvl w:val="0"/>
        <w:rPr>
          <w:rFonts w:ascii="Arial" w:hAnsi="Arial" w:cs="Arial"/>
          <w:b/>
          <w:color w:val="000000"/>
          <w:sz w:val="22"/>
          <w:szCs w:val="22"/>
        </w:rPr>
      </w:pPr>
      <w:r w:rsidRPr="00BD087F">
        <w:rPr>
          <w:rFonts w:ascii="Arial" w:hAnsi="Arial" w:cs="Arial"/>
          <w:b/>
          <w:color w:val="000000"/>
          <w:sz w:val="22"/>
          <w:szCs w:val="22"/>
        </w:rPr>
        <w:t>I.</w:t>
      </w:r>
    </w:p>
    <w:p w14:paraId="5892E5D2" w14:textId="77777777" w:rsidR="00BD087F" w:rsidRPr="00BD087F" w:rsidRDefault="00BD087F" w:rsidP="00BD087F">
      <w:pPr>
        <w:jc w:val="center"/>
        <w:outlineLvl w:val="0"/>
        <w:rPr>
          <w:rFonts w:ascii="Arial" w:hAnsi="Arial" w:cs="Arial"/>
          <w:b/>
          <w:color w:val="000000"/>
          <w:sz w:val="22"/>
          <w:szCs w:val="22"/>
        </w:rPr>
      </w:pPr>
    </w:p>
    <w:p w14:paraId="1687860E" w14:textId="7B7367F2" w:rsidR="00BD087F" w:rsidRDefault="00BD087F" w:rsidP="00BD087F">
      <w:pPr>
        <w:jc w:val="both"/>
        <w:rPr>
          <w:rFonts w:ascii="Arial" w:hAnsi="Arial" w:cs="Arial"/>
          <w:color w:val="000000"/>
          <w:sz w:val="22"/>
          <w:szCs w:val="22"/>
        </w:rPr>
      </w:pPr>
      <w:r w:rsidRPr="00BD087F">
        <w:rPr>
          <w:rFonts w:ascii="Arial" w:hAnsi="Arial" w:cs="Arial"/>
          <w:color w:val="000000"/>
          <w:sz w:val="22"/>
          <w:szCs w:val="22"/>
        </w:rPr>
        <w:t>Upravni odjel za urbanizam, prostorno planiranje  i zaštitu okoliša proveo je postupak Ocjene o potrebi strateške procjene utjecaja na okoliš Izmjena i dopuna Prostornog plana uređenja Grada Dubrovnika, Izmjena i dopuna Generalnog urbanističkog  plana Grada Dubrovnika, te Izmjena i dopuna Urbanističkog plana uređenja „Babin Kuk“  na okoliš (u daljnjem tekstu IDPPUGD, IIDGUPGD te IDUPU „Babin Kuk“), sukladno  Odluci o započinjanju postupka ocjene o potrebi strateške procjene utjecaja IDPPUGD, IIDGUPGD te IDUPU „Babin Kuk“ na okoliš KLASA: 351-01/21-01/13, URBROJ:</w:t>
      </w:r>
      <w:r w:rsidRPr="00BD087F">
        <w:rPr>
          <w:rFonts w:ascii="Arial" w:hAnsi="Arial" w:cs="Arial"/>
          <w:sz w:val="22"/>
          <w:szCs w:val="22"/>
        </w:rPr>
        <w:t xml:space="preserve"> </w:t>
      </w:r>
      <w:r w:rsidRPr="00BD087F">
        <w:rPr>
          <w:rFonts w:ascii="Arial" w:hAnsi="Arial" w:cs="Arial"/>
          <w:color w:val="000000"/>
          <w:sz w:val="22"/>
          <w:szCs w:val="22"/>
        </w:rPr>
        <w:t>2117/01-01-21-04 od 21. travnja  2021.</w:t>
      </w:r>
    </w:p>
    <w:p w14:paraId="1567B916" w14:textId="77777777" w:rsidR="00F70315" w:rsidRPr="00BD087F" w:rsidRDefault="00F70315" w:rsidP="00BD087F">
      <w:pPr>
        <w:jc w:val="both"/>
        <w:rPr>
          <w:rFonts w:ascii="Arial" w:hAnsi="Arial" w:cs="Arial"/>
          <w:color w:val="000000"/>
          <w:sz w:val="22"/>
          <w:szCs w:val="22"/>
        </w:rPr>
      </w:pPr>
    </w:p>
    <w:p w14:paraId="682E759D" w14:textId="77777777" w:rsidR="00BD087F" w:rsidRPr="00BD087F" w:rsidRDefault="00BD087F" w:rsidP="00BD087F">
      <w:pPr>
        <w:jc w:val="both"/>
        <w:rPr>
          <w:rFonts w:ascii="Arial" w:hAnsi="Arial" w:cs="Arial"/>
          <w:color w:val="000000"/>
          <w:sz w:val="22"/>
          <w:szCs w:val="22"/>
        </w:rPr>
      </w:pPr>
      <w:r w:rsidRPr="00BD087F">
        <w:rPr>
          <w:rFonts w:ascii="Arial" w:hAnsi="Arial" w:cs="Arial"/>
          <w:color w:val="000000"/>
          <w:sz w:val="22"/>
          <w:szCs w:val="22"/>
        </w:rPr>
        <w:t xml:space="preserve">U postupku Ocjene o potrebi strateške procjene utvrđeno je da predmetne IDPPUGD, IIDGUPGD te IDUPU „Babin Kuk“ neće imati </w:t>
      </w:r>
      <w:proofErr w:type="spellStart"/>
      <w:r w:rsidRPr="00BD087F">
        <w:rPr>
          <w:rFonts w:ascii="Arial" w:hAnsi="Arial" w:cs="Arial"/>
          <w:color w:val="000000"/>
          <w:sz w:val="22"/>
          <w:szCs w:val="22"/>
        </w:rPr>
        <w:t>vjerovatno</w:t>
      </w:r>
      <w:proofErr w:type="spellEnd"/>
      <w:r w:rsidRPr="00BD087F">
        <w:rPr>
          <w:rFonts w:ascii="Arial" w:hAnsi="Arial" w:cs="Arial"/>
          <w:color w:val="000000"/>
          <w:sz w:val="22"/>
          <w:szCs w:val="22"/>
        </w:rPr>
        <w:t xml:space="preserve"> značajan utjecaj na okoliš na osnovu čega se utvrđuje da nije potrebno provesti stratešku procjenu utjecaja na okoliš.</w:t>
      </w:r>
    </w:p>
    <w:p w14:paraId="59630085" w14:textId="3FD499D3" w:rsidR="00BD087F" w:rsidRDefault="00BD087F" w:rsidP="00BD087F">
      <w:pPr>
        <w:jc w:val="both"/>
        <w:rPr>
          <w:rFonts w:ascii="Arial" w:hAnsi="Arial" w:cs="Arial"/>
          <w:color w:val="000000"/>
          <w:sz w:val="22"/>
          <w:szCs w:val="22"/>
        </w:rPr>
      </w:pPr>
    </w:p>
    <w:p w14:paraId="5A1DFB82" w14:textId="77777777" w:rsidR="00BD087F" w:rsidRPr="00BD087F" w:rsidRDefault="00BD087F" w:rsidP="00BD087F">
      <w:pPr>
        <w:jc w:val="both"/>
        <w:rPr>
          <w:rFonts w:ascii="Arial" w:hAnsi="Arial" w:cs="Arial"/>
          <w:color w:val="000000"/>
          <w:sz w:val="22"/>
          <w:szCs w:val="22"/>
        </w:rPr>
      </w:pPr>
    </w:p>
    <w:p w14:paraId="4617CB27" w14:textId="77777777" w:rsidR="00BD087F" w:rsidRPr="00BD087F" w:rsidRDefault="00BD087F" w:rsidP="00BD087F">
      <w:pPr>
        <w:jc w:val="center"/>
        <w:rPr>
          <w:rFonts w:ascii="Arial" w:hAnsi="Arial" w:cs="Arial"/>
          <w:b/>
          <w:color w:val="000000"/>
          <w:sz w:val="22"/>
          <w:szCs w:val="22"/>
        </w:rPr>
      </w:pPr>
      <w:r w:rsidRPr="00BD087F">
        <w:rPr>
          <w:rFonts w:ascii="Arial" w:hAnsi="Arial" w:cs="Arial"/>
          <w:b/>
          <w:color w:val="000000"/>
          <w:sz w:val="22"/>
          <w:szCs w:val="22"/>
        </w:rPr>
        <w:t>II.</w:t>
      </w:r>
    </w:p>
    <w:p w14:paraId="19D97308" w14:textId="77777777" w:rsidR="00BD087F" w:rsidRPr="00BD087F" w:rsidRDefault="00BD087F" w:rsidP="00BD087F">
      <w:pPr>
        <w:jc w:val="both"/>
        <w:outlineLvl w:val="0"/>
        <w:rPr>
          <w:rFonts w:ascii="Arial" w:hAnsi="Arial" w:cs="Arial"/>
          <w:b/>
          <w:color w:val="000000"/>
          <w:sz w:val="22"/>
          <w:szCs w:val="22"/>
        </w:rPr>
      </w:pPr>
    </w:p>
    <w:p w14:paraId="461EC7E8" w14:textId="77777777" w:rsidR="00BD087F" w:rsidRPr="00BD087F" w:rsidRDefault="00BD087F" w:rsidP="00BD087F">
      <w:pPr>
        <w:jc w:val="both"/>
        <w:rPr>
          <w:rFonts w:ascii="Arial" w:hAnsi="Arial" w:cs="Arial"/>
          <w:color w:val="000000"/>
          <w:sz w:val="22"/>
          <w:szCs w:val="22"/>
        </w:rPr>
      </w:pPr>
      <w:r w:rsidRPr="00BD087F">
        <w:rPr>
          <w:rFonts w:ascii="Arial" w:hAnsi="Arial" w:cs="Arial"/>
          <w:color w:val="000000"/>
          <w:sz w:val="22"/>
          <w:szCs w:val="22"/>
        </w:rPr>
        <w:t>Razlozi za donošenje IDPPUGD, IIDGUPGR te IDUPU „Babin Kuk“, ciljevi, programska polazišta te obuhvat plana utvrđeni su u Nacrtu odluke o izradi IDPPUGD, IIDGUPGR te IDUPU „Babin Kuk“</w:t>
      </w:r>
    </w:p>
    <w:p w14:paraId="25E7EC7E" w14:textId="77777777" w:rsidR="00BD087F" w:rsidRPr="00BD087F" w:rsidRDefault="00BD087F" w:rsidP="00BD087F">
      <w:pPr>
        <w:jc w:val="both"/>
        <w:rPr>
          <w:rFonts w:ascii="Arial" w:hAnsi="Arial" w:cs="Arial"/>
          <w:color w:val="000000"/>
          <w:sz w:val="22"/>
          <w:szCs w:val="22"/>
        </w:rPr>
      </w:pPr>
    </w:p>
    <w:p w14:paraId="4D68761D" w14:textId="77777777" w:rsidR="00BD087F" w:rsidRPr="00BD087F" w:rsidRDefault="00BD087F" w:rsidP="00F70315">
      <w:pPr>
        <w:jc w:val="both"/>
        <w:rPr>
          <w:rFonts w:ascii="Arial" w:hAnsi="Arial" w:cs="Arial"/>
          <w:color w:val="000000"/>
          <w:sz w:val="22"/>
          <w:szCs w:val="22"/>
        </w:rPr>
      </w:pPr>
      <w:r w:rsidRPr="00BD087F">
        <w:rPr>
          <w:rFonts w:ascii="Arial" w:hAnsi="Arial" w:cs="Arial"/>
          <w:color w:val="000000"/>
          <w:sz w:val="22"/>
          <w:szCs w:val="22"/>
        </w:rPr>
        <w:t>U članku 3. Nacrta odluke o izradi IDPPUGD, IIDGUPGD te IDUPU „Babin Kuk“ navedeni su sljedeći razlozi za donošenje Plana:</w:t>
      </w:r>
    </w:p>
    <w:p w14:paraId="3B88164B" w14:textId="77777777" w:rsidR="00BD087F" w:rsidRPr="00BD087F" w:rsidRDefault="00BD087F" w:rsidP="00F70315">
      <w:pPr>
        <w:numPr>
          <w:ilvl w:val="0"/>
          <w:numId w:val="1"/>
        </w:numPr>
        <w:ind w:right="20"/>
        <w:jc w:val="both"/>
        <w:rPr>
          <w:rFonts w:ascii="Arial" w:hAnsi="Arial" w:cs="Arial"/>
          <w:noProof/>
          <w:sz w:val="22"/>
          <w:szCs w:val="22"/>
        </w:rPr>
      </w:pPr>
      <w:r w:rsidRPr="00BD087F">
        <w:rPr>
          <w:rFonts w:ascii="Arial" w:hAnsi="Arial" w:cs="Arial"/>
          <w:noProof/>
          <w:sz w:val="22"/>
          <w:szCs w:val="22"/>
        </w:rPr>
        <w:t>usklađenje sa Zakonom i drugim pozitivnim propisima Republike Hrvatske,</w:t>
      </w:r>
    </w:p>
    <w:p w14:paraId="6ECC1A54" w14:textId="77777777" w:rsidR="00BD087F" w:rsidRPr="00BD087F" w:rsidRDefault="00BD087F" w:rsidP="00F70315">
      <w:pPr>
        <w:numPr>
          <w:ilvl w:val="0"/>
          <w:numId w:val="1"/>
        </w:numPr>
        <w:ind w:right="20"/>
        <w:jc w:val="both"/>
        <w:rPr>
          <w:rFonts w:ascii="Arial" w:hAnsi="Arial" w:cs="Arial"/>
          <w:noProof/>
          <w:sz w:val="22"/>
          <w:szCs w:val="22"/>
        </w:rPr>
      </w:pPr>
      <w:r w:rsidRPr="00BD087F">
        <w:rPr>
          <w:rFonts w:ascii="Arial" w:hAnsi="Arial" w:cs="Arial"/>
          <w:noProof/>
          <w:sz w:val="22"/>
          <w:szCs w:val="22"/>
        </w:rPr>
        <w:t>usklađenje sa važećim GUP-om i PPU-om Grada Dubrovnika,</w:t>
      </w:r>
    </w:p>
    <w:p w14:paraId="271AF59D" w14:textId="77777777" w:rsidR="00BD087F" w:rsidRPr="00BD087F" w:rsidRDefault="00BD087F" w:rsidP="00F70315">
      <w:pPr>
        <w:numPr>
          <w:ilvl w:val="0"/>
          <w:numId w:val="1"/>
        </w:numPr>
        <w:ind w:right="20"/>
        <w:jc w:val="both"/>
        <w:rPr>
          <w:rFonts w:ascii="Arial" w:hAnsi="Arial" w:cs="Arial"/>
          <w:sz w:val="22"/>
          <w:szCs w:val="22"/>
        </w:rPr>
      </w:pPr>
      <w:r w:rsidRPr="00BD087F">
        <w:rPr>
          <w:rFonts w:ascii="Arial" w:hAnsi="Arial" w:cs="Arial"/>
          <w:sz w:val="22"/>
          <w:szCs w:val="22"/>
        </w:rPr>
        <w:t xml:space="preserve">nova prostorna organizacija predjela „Babin kuk“ radi kvalitativnog unaprjeđenja turističke ponude prostorne cjeline te povećanja kategorije smještajnih kapaciteta i pratećih sadržaja, a u skladu s zahtjevima vrsnoće izgrađenog prostora, </w:t>
      </w:r>
    </w:p>
    <w:p w14:paraId="504D4D7E" w14:textId="77777777" w:rsidR="00BD087F" w:rsidRPr="00BD087F" w:rsidRDefault="00BD087F" w:rsidP="00F70315">
      <w:pPr>
        <w:numPr>
          <w:ilvl w:val="0"/>
          <w:numId w:val="1"/>
        </w:numPr>
        <w:ind w:right="20"/>
        <w:jc w:val="both"/>
        <w:rPr>
          <w:rFonts w:ascii="Arial" w:hAnsi="Arial" w:cs="Arial"/>
          <w:noProof/>
          <w:sz w:val="22"/>
          <w:szCs w:val="22"/>
        </w:rPr>
      </w:pPr>
      <w:r w:rsidRPr="00BD087F">
        <w:rPr>
          <w:rFonts w:ascii="Arial" w:hAnsi="Arial" w:cs="Arial"/>
          <w:noProof/>
          <w:sz w:val="22"/>
          <w:szCs w:val="22"/>
        </w:rPr>
        <w:t>redefiniranje prometa u mirovanju, prometnog rješenja prilaza i komunikacije kroz predmetnu prostornu cjelinu te pješačkih veza, a s ciljem stvaranja povoljnih planskih preduvjeta za novoplanirane predjele te prilagodbu u postojeću prometnu mrežu turističkog kompleksa,</w:t>
      </w:r>
    </w:p>
    <w:p w14:paraId="40A2C339" w14:textId="77777777" w:rsidR="00BD087F" w:rsidRPr="00BD087F" w:rsidRDefault="00BD087F" w:rsidP="00F70315">
      <w:pPr>
        <w:numPr>
          <w:ilvl w:val="0"/>
          <w:numId w:val="1"/>
        </w:numPr>
        <w:ind w:right="20"/>
        <w:jc w:val="both"/>
        <w:rPr>
          <w:rFonts w:ascii="Arial" w:hAnsi="Arial" w:cs="Arial"/>
          <w:noProof/>
          <w:sz w:val="22"/>
          <w:szCs w:val="22"/>
        </w:rPr>
      </w:pPr>
      <w:r w:rsidRPr="00BD087F">
        <w:rPr>
          <w:rFonts w:ascii="Arial" w:hAnsi="Arial" w:cs="Arial"/>
          <w:noProof/>
          <w:sz w:val="22"/>
          <w:szCs w:val="22"/>
        </w:rPr>
        <w:t>planiranje sportskih terena i uređenih zelenih površina,</w:t>
      </w:r>
    </w:p>
    <w:p w14:paraId="3F28437D" w14:textId="77777777" w:rsidR="00BD087F" w:rsidRPr="00BD087F" w:rsidRDefault="00BD087F" w:rsidP="00F70315">
      <w:pPr>
        <w:numPr>
          <w:ilvl w:val="0"/>
          <w:numId w:val="1"/>
        </w:numPr>
        <w:ind w:right="20"/>
        <w:jc w:val="both"/>
        <w:rPr>
          <w:rFonts w:ascii="Arial" w:hAnsi="Arial" w:cs="Arial"/>
          <w:noProof/>
          <w:sz w:val="22"/>
          <w:szCs w:val="22"/>
        </w:rPr>
      </w:pPr>
      <w:r w:rsidRPr="00BD087F">
        <w:rPr>
          <w:rFonts w:ascii="Arial" w:hAnsi="Arial" w:cs="Arial"/>
          <w:noProof/>
          <w:sz w:val="22"/>
          <w:szCs w:val="22"/>
        </w:rPr>
        <w:t>revidiranje potojeće i planiranje nove infrastrukturne opremljenosti prostorne cjeline,</w:t>
      </w:r>
    </w:p>
    <w:p w14:paraId="06B1EDD4" w14:textId="77777777" w:rsidR="00BD087F" w:rsidRPr="00BD087F" w:rsidRDefault="00BD087F" w:rsidP="00F70315">
      <w:pPr>
        <w:numPr>
          <w:ilvl w:val="0"/>
          <w:numId w:val="1"/>
        </w:numPr>
        <w:ind w:right="20"/>
        <w:jc w:val="both"/>
        <w:rPr>
          <w:rFonts w:ascii="Arial" w:hAnsi="Arial" w:cs="Arial"/>
          <w:noProof/>
          <w:sz w:val="22"/>
          <w:szCs w:val="22"/>
        </w:rPr>
      </w:pPr>
      <w:r w:rsidRPr="00BD087F">
        <w:rPr>
          <w:rFonts w:ascii="Arial" w:hAnsi="Arial" w:cs="Arial"/>
          <w:noProof/>
          <w:sz w:val="22"/>
          <w:szCs w:val="22"/>
        </w:rPr>
        <w:t>revidiranje postojećih i planiranje novih uvjeta gradnje za  planirani kongresni centar s obzirom na njegov izniman razvojni značaj za Grad Dubrovnik i regiju,</w:t>
      </w:r>
    </w:p>
    <w:p w14:paraId="72FD8234" w14:textId="77777777" w:rsidR="00BD087F" w:rsidRPr="00BD087F" w:rsidRDefault="00BD087F" w:rsidP="00F70315">
      <w:pPr>
        <w:numPr>
          <w:ilvl w:val="0"/>
          <w:numId w:val="1"/>
        </w:numPr>
        <w:ind w:right="20"/>
        <w:jc w:val="both"/>
        <w:rPr>
          <w:rFonts w:ascii="Arial" w:hAnsi="Arial" w:cs="Arial"/>
          <w:noProof/>
          <w:sz w:val="22"/>
          <w:szCs w:val="22"/>
        </w:rPr>
      </w:pPr>
      <w:r w:rsidRPr="00BD087F">
        <w:rPr>
          <w:rFonts w:ascii="Arial" w:hAnsi="Arial" w:cs="Arial"/>
          <w:noProof/>
          <w:sz w:val="22"/>
          <w:szCs w:val="22"/>
        </w:rPr>
        <w:t>izmjene i dopune za koje se utvrdi potreba tijekom postuka izrade Izmjena i dopuna Plana, a koje proizlaze iz prethodno navedenih razloga.</w:t>
      </w:r>
    </w:p>
    <w:p w14:paraId="0278FAD5" w14:textId="77777777" w:rsidR="00BD087F" w:rsidRPr="00BD087F" w:rsidRDefault="00BD087F" w:rsidP="00F70315">
      <w:pPr>
        <w:jc w:val="both"/>
        <w:rPr>
          <w:rFonts w:ascii="Arial" w:hAnsi="Arial" w:cs="Arial"/>
          <w:color w:val="000000"/>
          <w:sz w:val="22"/>
          <w:szCs w:val="22"/>
          <w:lang w:eastAsia="en-US"/>
        </w:rPr>
      </w:pPr>
    </w:p>
    <w:p w14:paraId="763B6D41" w14:textId="77777777" w:rsidR="00BD087F" w:rsidRPr="00BD087F" w:rsidRDefault="00BD087F" w:rsidP="00F70315">
      <w:pPr>
        <w:jc w:val="both"/>
        <w:rPr>
          <w:rFonts w:ascii="Arial" w:hAnsi="Arial" w:cs="Arial"/>
          <w:color w:val="000000"/>
          <w:sz w:val="22"/>
          <w:szCs w:val="22"/>
        </w:rPr>
      </w:pPr>
      <w:r w:rsidRPr="00BD087F">
        <w:rPr>
          <w:rFonts w:ascii="Arial" w:hAnsi="Arial" w:cs="Arial"/>
          <w:color w:val="000000"/>
          <w:sz w:val="22"/>
          <w:szCs w:val="22"/>
        </w:rPr>
        <w:t>Ciljevi i programska polazišta dani su u članku 6. Nacrta odluke o izradi IDPPUGD, IDGUPGD, te IDUPU „Babin Kuk“, a to su:</w:t>
      </w:r>
    </w:p>
    <w:p w14:paraId="60DB5970" w14:textId="77777777" w:rsidR="00BD087F" w:rsidRPr="00BD087F" w:rsidRDefault="00BD087F" w:rsidP="00F70315">
      <w:pPr>
        <w:numPr>
          <w:ilvl w:val="0"/>
          <w:numId w:val="2"/>
        </w:numPr>
        <w:ind w:left="993" w:right="20" w:hanging="426"/>
        <w:jc w:val="both"/>
        <w:rPr>
          <w:rFonts w:ascii="Arial" w:hAnsi="Arial" w:cs="Arial"/>
          <w:noProof/>
          <w:sz w:val="22"/>
          <w:szCs w:val="22"/>
        </w:rPr>
      </w:pPr>
      <w:r w:rsidRPr="00BD087F">
        <w:rPr>
          <w:rFonts w:ascii="Arial" w:hAnsi="Arial" w:cs="Arial"/>
          <w:noProof/>
          <w:sz w:val="22"/>
          <w:szCs w:val="22"/>
        </w:rPr>
        <w:t>usklađenje sa Zakonom i drugim pozitivnim propisima Republike Hrvatske,</w:t>
      </w:r>
    </w:p>
    <w:p w14:paraId="5A031426" w14:textId="77777777" w:rsidR="00BD087F" w:rsidRPr="00BD087F" w:rsidRDefault="00BD087F" w:rsidP="00F70315">
      <w:pPr>
        <w:numPr>
          <w:ilvl w:val="0"/>
          <w:numId w:val="2"/>
        </w:numPr>
        <w:ind w:left="993" w:right="20" w:hanging="426"/>
        <w:jc w:val="both"/>
        <w:rPr>
          <w:rFonts w:ascii="Arial" w:hAnsi="Arial" w:cs="Arial"/>
          <w:noProof/>
          <w:sz w:val="22"/>
          <w:szCs w:val="22"/>
        </w:rPr>
      </w:pPr>
      <w:r w:rsidRPr="00BD087F">
        <w:rPr>
          <w:rFonts w:ascii="Arial" w:hAnsi="Arial" w:cs="Arial"/>
          <w:noProof/>
          <w:sz w:val="22"/>
          <w:szCs w:val="22"/>
        </w:rPr>
        <w:t>usklađenje sa važećim GUP-om i PPU-om Grada Dubrovnika,</w:t>
      </w:r>
    </w:p>
    <w:p w14:paraId="4328D650" w14:textId="77777777" w:rsidR="00BD087F" w:rsidRPr="00BD087F" w:rsidRDefault="00BD087F" w:rsidP="00F70315">
      <w:pPr>
        <w:numPr>
          <w:ilvl w:val="0"/>
          <w:numId w:val="2"/>
        </w:numPr>
        <w:ind w:left="993" w:hanging="426"/>
        <w:jc w:val="both"/>
        <w:rPr>
          <w:rFonts w:ascii="Arial" w:hAnsi="Arial" w:cs="Arial"/>
          <w:sz w:val="22"/>
          <w:szCs w:val="22"/>
        </w:rPr>
      </w:pPr>
      <w:r w:rsidRPr="00BD087F">
        <w:rPr>
          <w:rFonts w:ascii="Arial" w:hAnsi="Arial" w:cs="Arial"/>
          <w:sz w:val="22"/>
          <w:szCs w:val="22"/>
        </w:rPr>
        <w:t xml:space="preserve">svrhovita organizacija, korištenje i namjena prostora te propisivanje detaljnih uvjeta za uređenje, unaprjeđenje i zaštitu prostorne cjeline „Babin kuk“ te njenih neposrednih kontaktnih zona, </w:t>
      </w:r>
    </w:p>
    <w:p w14:paraId="10B2931B" w14:textId="77777777" w:rsidR="00BD087F" w:rsidRPr="00BD087F" w:rsidRDefault="00BD087F" w:rsidP="00F70315">
      <w:pPr>
        <w:numPr>
          <w:ilvl w:val="0"/>
          <w:numId w:val="2"/>
        </w:numPr>
        <w:ind w:left="993" w:hanging="426"/>
        <w:jc w:val="both"/>
        <w:rPr>
          <w:rFonts w:ascii="Arial" w:hAnsi="Arial" w:cs="Arial"/>
          <w:sz w:val="22"/>
          <w:szCs w:val="22"/>
        </w:rPr>
      </w:pPr>
      <w:r w:rsidRPr="00BD087F">
        <w:rPr>
          <w:rFonts w:ascii="Arial" w:hAnsi="Arial" w:cs="Arial"/>
          <w:sz w:val="22"/>
          <w:szCs w:val="22"/>
        </w:rPr>
        <w:t xml:space="preserve">planiranje i uklapanje smještajem i veličinom novih turističkih građevina te pratećih sadržaja u vrijedno krajobrazno okruženje (posebno obratiti pažnju na visinu </w:t>
      </w:r>
      <w:proofErr w:type="spellStart"/>
      <w:r w:rsidRPr="00BD087F">
        <w:rPr>
          <w:rFonts w:ascii="Arial" w:hAnsi="Arial" w:cs="Arial"/>
          <w:sz w:val="22"/>
          <w:szCs w:val="22"/>
        </w:rPr>
        <w:t>novoplaniranih</w:t>
      </w:r>
      <w:proofErr w:type="spellEnd"/>
      <w:r w:rsidRPr="00BD087F">
        <w:rPr>
          <w:rFonts w:ascii="Arial" w:hAnsi="Arial" w:cs="Arial"/>
          <w:sz w:val="22"/>
          <w:szCs w:val="22"/>
        </w:rPr>
        <w:t xml:space="preserve"> građevina i uklapanje u prirodno mjerilo),</w:t>
      </w:r>
    </w:p>
    <w:p w14:paraId="2DC236B2" w14:textId="77777777" w:rsidR="00BD087F" w:rsidRPr="00BD087F" w:rsidRDefault="00BD087F" w:rsidP="00F70315">
      <w:pPr>
        <w:numPr>
          <w:ilvl w:val="0"/>
          <w:numId w:val="2"/>
        </w:numPr>
        <w:ind w:left="993" w:hanging="426"/>
        <w:jc w:val="both"/>
        <w:rPr>
          <w:rFonts w:ascii="Arial" w:hAnsi="Arial" w:cs="Arial"/>
          <w:sz w:val="22"/>
          <w:szCs w:val="22"/>
        </w:rPr>
      </w:pPr>
      <w:r w:rsidRPr="00BD087F">
        <w:rPr>
          <w:rFonts w:ascii="Arial" w:hAnsi="Arial" w:cs="Arial"/>
          <w:sz w:val="22"/>
          <w:szCs w:val="22"/>
        </w:rPr>
        <w:t xml:space="preserve">planiranjem i izmjenama urbanističkih parametara dati smjernice za izgradnju </w:t>
      </w:r>
      <w:proofErr w:type="spellStart"/>
      <w:r w:rsidRPr="00BD087F">
        <w:rPr>
          <w:rFonts w:ascii="Arial" w:hAnsi="Arial" w:cs="Arial"/>
          <w:sz w:val="22"/>
          <w:szCs w:val="22"/>
        </w:rPr>
        <w:t>novoplaniranih</w:t>
      </w:r>
      <w:proofErr w:type="spellEnd"/>
      <w:r w:rsidRPr="00BD087F">
        <w:rPr>
          <w:rFonts w:ascii="Arial" w:hAnsi="Arial" w:cs="Arial"/>
          <w:sz w:val="22"/>
          <w:szCs w:val="22"/>
        </w:rPr>
        <w:t xml:space="preserve"> sadržaja i struktura koje će očuvati ambijentalne karakteristike prostora i ostvariti harmoničan sklad cjeline,</w:t>
      </w:r>
    </w:p>
    <w:p w14:paraId="0EB913DF" w14:textId="77777777" w:rsidR="00BD087F" w:rsidRPr="00BD087F" w:rsidRDefault="00BD087F" w:rsidP="00F70315">
      <w:pPr>
        <w:numPr>
          <w:ilvl w:val="0"/>
          <w:numId w:val="2"/>
        </w:numPr>
        <w:ind w:left="993" w:hanging="426"/>
        <w:jc w:val="both"/>
        <w:rPr>
          <w:rFonts w:ascii="Arial" w:hAnsi="Arial" w:cs="Arial"/>
          <w:sz w:val="22"/>
          <w:szCs w:val="22"/>
        </w:rPr>
      </w:pPr>
      <w:r w:rsidRPr="00BD087F">
        <w:rPr>
          <w:rFonts w:ascii="Arial" w:hAnsi="Arial" w:cs="Arial"/>
          <w:sz w:val="22"/>
          <w:szCs w:val="22"/>
        </w:rPr>
        <w:t xml:space="preserve">broj smještajnih kapaciteta u </w:t>
      </w:r>
      <w:proofErr w:type="spellStart"/>
      <w:r w:rsidRPr="00BD087F">
        <w:rPr>
          <w:rFonts w:ascii="Arial" w:hAnsi="Arial" w:cs="Arial"/>
          <w:sz w:val="22"/>
          <w:szCs w:val="22"/>
        </w:rPr>
        <w:t>novoplaniranim</w:t>
      </w:r>
      <w:proofErr w:type="spellEnd"/>
      <w:r w:rsidRPr="00BD087F">
        <w:rPr>
          <w:rFonts w:ascii="Arial" w:hAnsi="Arial" w:cs="Arial"/>
          <w:sz w:val="22"/>
          <w:szCs w:val="22"/>
        </w:rPr>
        <w:t xml:space="preserve"> turističkim zonama ne smije prelaziti ukupni broj postojećih smještajnih kapaciteta područja obuhvata,</w:t>
      </w:r>
    </w:p>
    <w:p w14:paraId="6D3C173E" w14:textId="77777777" w:rsidR="00BD087F" w:rsidRPr="00BD087F" w:rsidRDefault="00BD087F" w:rsidP="00F70315">
      <w:pPr>
        <w:numPr>
          <w:ilvl w:val="0"/>
          <w:numId w:val="2"/>
        </w:numPr>
        <w:ind w:left="993" w:hanging="426"/>
        <w:jc w:val="both"/>
        <w:rPr>
          <w:rFonts w:ascii="Arial" w:hAnsi="Arial" w:cs="Arial"/>
          <w:sz w:val="22"/>
          <w:szCs w:val="22"/>
        </w:rPr>
      </w:pPr>
      <w:r w:rsidRPr="00BD087F">
        <w:rPr>
          <w:rFonts w:ascii="Arial" w:hAnsi="Arial" w:cs="Arial"/>
          <w:sz w:val="22"/>
          <w:szCs w:val="22"/>
        </w:rPr>
        <w:t>formiranje javnih i zelenih površina,</w:t>
      </w:r>
    </w:p>
    <w:p w14:paraId="35549F6F" w14:textId="77777777" w:rsidR="00BD087F" w:rsidRPr="00BD087F" w:rsidRDefault="00BD087F" w:rsidP="00F70315">
      <w:pPr>
        <w:numPr>
          <w:ilvl w:val="0"/>
          <w:numId w:val="2"/>
        </w:numPr>
        <w:ind w:left="993" w:hanging="426"/>
        <w:jc w:val="both"/>
        <w:rPr>
          <w:rFonts w:ascii="Arial" w:hAnsi="Arial" w:cs="Arial"/>
          <w:sz w:val="22"/>
          <w:szCs w:val="22"/>
        </w:rPr>
      </w:pPr>
      <w:r w:rsidRPr="00BD087F">
        <w:rPr>
          <w:rFonts w:ascii="Arial" w:hAnsi="Arial" w:cs="Arial"/>
          <w:sz w:val="22"/>
          <w:szCs w:val="22"/>
        </w:rPr>
        <w:t>planiranje i očuvanje krajobraznih predjela visoke vrijednosti,</w:t>
      </w:r>
    </w:p>
    <w:p w14:paraId="0A752D2F" w14:textId="77777777" w:rsidR="00BD087F" w:rsidRPr="00BD087F" w:rsidRDefault="00BD087F" w:rsidP="00F70315">
      <w:pPr>
        <w:numPr>
          <w:ilvl w:val="0"/>
          <w:numId w:val="2"/>
        </w:numPr>
        <w:ind w:left="993" w:hanging="426"/>
        <w:jc w:val="both"/>
        <w:rPr>
          <w:rFonts w:ascii="Arial" w:hAnsi="Arial" w:cs="Arial"/>
          <w:sz w:val="22"/>
          <w:szCs w:val="22"/>
        </w:rPr>
      </w:pPr>
      <w:r w:rsidRPr="00BD087F">
        <w:rPr>
          <w:rFonts w:ascii="Arial" w:hAnsi="Arial" w:cs="Arial"/>
          <w:sz w:val="22"/>
          <w:szCs w:val="22"/>
        </w:rPr>
        <w:t xml:space="preserve">reorganizacija prometa u mirovanju na </w:t>
      </w:r>
      <w:proofErr w:type="spellStart"/>
      <w:r w:rsidRPr="00BD087F">
        <w:rPr>
          <w:rFonts w:ascii="Arial" w:hAnsi="Arial" w:cs="Arial"/>
          <w:sz w:val="22"/>
          <w:szCs w:val="22"/>
        </w:rPr>
        <w:t>novoplaniranim</w:t>
      </w:r>
      <w:proofErr w:type="spellEnd"/>
      <w:r w:rsidRPr="00BD087F">
        <w:rPr>
          <w:rFonts w:ascii="Arial" w:hAnsi="Arial" w:cs="Arial"/>
          <w:sz w:val="22"/>
          <w:szCs w:val="22"/>
        </w:rPr>
        <w:t xml:space="preserve"> dijelovima prostorne cjeline,</w:t>
      </w:r>
    </w:p>
    <w:p w14:paraId="4C531EF8" w14:textId="77777777" w:rsidR="00BD087F" w:rsidRPr="00BD087F" w:rsidRDefault="00BD087F" w:rsidP="00F70315">
      <w:pPr>
        <w:numPr>
          <w:ilvl w:val="0"/>
          <w:numId w:val="2"/>
        </w:numPr>
        <w:ind w:left="993" w:right="23" w:hanging="426"/>
        <w:jc w:val="both"/>
        <w:rPr>
          <w:rFonts w:ascii="Arial" w:hAnsi="Arial" w:cs="Arial"/>
          <w:b/>
          <w:sz w:val="22"/>
          <w:szCs w:val="22"/>
          <w:lang w:val="en-GB"/>
        </w:rPr>
      </w:pPr>
      <w:r w:rsidRPr="00BD087F">
        <w:rPr>
          <w:rFonts w:ascii="Arial" w:hAnsi="Arial" w:cs="Arial"/>
          <w:sz w:val="22"/>
          <w:szCs w:val="22"/>
        </w:rPr>
        <w:t xml:space="preserve">osiguranje planskih preduvjeta za realizaciju nove gradske prometnice koja bi spajala ulicu Ive Dulčića sa ulicom Vatroslava Lisinskog i ulicom Ivana pl. Zajca, </w:t>
      </w:r>
    </w:p>
    <w:p w14:paraId="2BD7E118" w14:textId="77777777" w:rsidR="00BD087F" w:rsidRPr="00BD087F" w:rsidRDefault="00BD087F" w:rsidP="00F70315">
      <w:pPr>
        <w:numPr>
          <w:ilvl w:val="0"/>
          <w:numId w:val="2"/>
        </w:numPr>
        <w:ind w:left="993" w:right="23" w:hanging="426"/>
        <w:jc w:val="both"/>
        <w:rPr>
          <w:rFonts w:ascii="Arial" w:hAnsi="Arial" w:cs="Arial"/>
          <w:noProof/>
          <w:sz w:val="22"/>
          <w:szCs w:val="22"/>
        </w:rPr>
      </w:pPr>
      <w:r w:rsidRPr="00BD087F">
        <w:rPr>
          <w:rFonts w:ascii="Arial" w:hAnsi="Arial" w:cs="Arial"/>
          <w:sz w:val="22"/>
          <w:szCs w:val="22"/>
        </w:rPr>
        <w:t>formiranje</w:t>
      </w:r>
      <w:r w:rsidRPr="00BD087F">
        <w:rPr>
          <w:rFonts w:ascii="Arial" w:hAnsi="Arial" w:cs="Arial"/>
          <w:noProof/>
          <w:sz w:val="22"/>
          <w:szCs w:val="22"/>
        </w:rPr>
        <w:t xml:space="preserve"> postojeće i planiranje nove infrastrukturne opremljenosti prostorne cjeline,</w:t>
      </w:r>
    </w:p>
    <w:p w14:paraId="13E316C2" w14:textId="77777777" w:rsidR="00BD087F" w:rsidRPr="00BD087F" w:rsidRDefault="00BD087F" w:rsidP="00F70315">
      <w:pPr>
        <w:numPr>
          <w:ilvl w:val="0"/>
          <w:numId w:val="2"/>
        </w:numPr>
        <w:ind w:left="993" w:right="23" w:hanging="426"/>
        <w:jc w:val="both"/>
        <w:rPr>
          <w:rFonts w:ascii="Arial" w:hAnsi="Arial" w:cs="Arial"/>
          <w:sz w:val="22"/>
          <w:szCs w:val="22"/>
        </w:rPr>
      </w:pPr>
      <w:r w:rsidRPr="00BD087F">
        <w:rPr>
          <w:rFonts w:ascii="Arial" w:hAnsi="Arial" w:cs="Arial"/>
          <w:noProof/>
          <w:sz w:val="22"/>
          <w:szCs w:val="22"/>
        </w:rPr>
        <w:t>revidiranje postojećih i planiranje novih uvjeta gradnje za  planirani kongresni centar s obzirom na njegov izniman razvojni značaj za Grad Dubrovnik i regiju.</w:t>
      </w:r>
    </w:p>
    <w:p w14:paraId="09ECDD6E" w14:textId="77777777" w:rsidR="00BD087F" w:rsidRPr="00BD087F" w:rsidRDefault="00BD087F" w:rsidP="00F70315">
      <w:pPr>
        <w:ind w:right="20"/>
        <w:jc w:val="both"/>
        <w:rPr>
          <w:rFonts w:ascii="Arial" w:hAnsi="Arial" w:cs="Arial"/>
          <w:noProof/>
          <w:color w:val="FF0000"/>
          <w:sz w:val="22"/>
          <w:szCs w:val="22"/>
        </w:rPr>
      </w:pPr>
    </w:p>
    <w:p w14:paraId="5EF78D57" w14:textId="77777777" w:rsidR="00BD087F" w:rsidRPr="00BD087F" w:rsidRDefault="00BD087F" w:rsidP="00BD087F">
      <w:pPr>
        <w:autoSpaceDE w:val="0"/>
        <w:autoSpaceDN w:val="0"/>
        <w:adjustRightInd w:val="0"/>
        <w:jc w:val="both"/>
        <w:rPr>
          <w:rFonts w:ascii="Arial" w:hAnsi="Arial" w:cs="Arial"/>
          <w:sz w:val="22"/>
          <w:szCs w:val="22"/>
        </w:rPr>
      </w:pPr>
      <w:r w:rsidRPr="00BD087F">
        <w:rPr>
          <w:rFonts w:ascii="Arial" w:hAnsi="Arial" w:cs="Arial"/>
          <w:sz w:val="22"/>
          <w:szCs w:val="22"/>
        </w:rPr>
        <w:lastRenderedPageBreak/>
        <w:t>Izmjene i dopune čiji su razlozi navedeni u članku 2. ove Odluke te ciljevi  i  programska polazišta u prethodnom stavku ovoga članka, jedine su izmjene i dopune koje će se izvršiti u predmetnim planovima, pa se zahtjevi i primjedbe izvan ovako utvrđenog opsega neće razmatrati, niti će se mijenjati druga rješenja u tekstualnom i kartografskom dijelu predmetnih planova.</w:t>
      </w:r>
    </w:p>
    <w:p w14:paraId="59F62E47" w14:textId="77777777" w:rsidR="00BD087F" w:rsidRPr="00BD087F" w:rsidRDefault="00BD087F" w:rsidP="00BD087F">
      <w:pPr>
        <w:autoSpaceDE w:val="0"/>
        <w:autoSpaceDN w:val="0"/>
        <w:adjustRightInd w:val="0"/>
        <w:ind w:right="40"/>
        <w:jc w:val="both"/>
        <w:rPr>
          <w:rFonts w:ascii="Arial" w:hAnsi="Arial" w:cs="Arial"/>
          <w:sz w:val="22"/>
          <w:szCs w:val="22"/>
        </w:rPr>
      </w:pPr>
    </w:p>
    <w:p w14:paraId="545A344E" w14:textId="77777777" w:rsidR="00BD087F" w:rsidRPr="00BD087F" w:rsidRDefault="00BD087F" w:rsidP="00BD087F">
      <w:pPr>
        <w:autoSpaceDE w:val="0"/>
        <w:autoSpaceDN w:val="0"/>
        <w:adjustRightInd w:val="0"/>
        <w:ind w:right="40"/>
        <w:jc w:val="center"/>
        <w:rPr>
          <w:rFonts w:ascii="Arial" w:hAnsi="Arial" w:cs="Arial"/>
          <w:b/>
          <w:sz w:val="22"/>
          <w:szCs w:val="22"/>
        </w:rPr>
      </w:pPr>
      <w:r w:rsidRPr="00BD087F">
        <w:rPr>
          <w:rFonts w:ascii="Arial" w:hAnsi="Arial" w:cs="Arial"/>
          <w:b/>
          <w:sz w:val="22"/>
          <w:szCs w:val="22"/>
        </w:rPr>
        <w:t>III.</w:t>
      </w:r>
    </w:p>
    <w:p w14:paraId="23957E5D" w14:textId="77777777" w:rsidR="00BD087F" w:rsidRPr="00BD087F" w:rsidRDefault="00BD087F" w:rsidP="00BD087F">
      <w:pPr>
        <w:autoSpaceDE w:val="0"/>
        <w:autoSpaceDN w:val="0"/>
        <w:adjustRightInd w:val="0"/>
        <w:ind w:right="40"/>
        <w:jc w:val="center"/>
        <w:rPr>
          <w:rFonts w:ascii="Arial" w:hAnsi="Arial" w:cs="Arial"/>
          <w:sz w:val="22"/>
          <w:szCs w:val="22"/>
        </w:rPr>
      </w:pPr>
    </w:p>
    <w:p w14:paraId="391D6A16" w14:textId="77777777" w:rsidR="00BD087F" w:rsidRPr="00BD087F" w:rsidRDefault="00BD087F" w:rsidP="00BD087F">
      <w:pPr>
        <w:jc w:val="both"/>
        <w:rPr>
          <w:rFonts w:ascii="Arial" w:hAnsi="Arial" w:cs="Arial"/>
          <w:sz w:val="22"/>
          <w:szCs w:val="22"/>
        </w:rPr>
      </w:pPr>
      <w:r w:rsidRPr="00BD087F">
        <w:rPr>
          <w:rFonts w:ascii="Arial" w:hAnsi="Arial" w:cs="Arial"/>
          <w:sz w:val="22"/>
          <w:szCs w:val="22"/>
        </w:rPr>
        <w:t xml:space="preserve">U cilju utvrđivanja </w:t>
      </w:r>
      <w:proofErr w:type="spellStart"/>
      <w:r w:rsidRPr="00BD087F">
        <w:rPr>
          <w:rFonts w:ascii="Arial" w:hAnsi="Arial" w:cs="Arial"/>
          <w:sz w:val="22"/>
          <w:szCs w:val="22"/>
        </w:rPr>
        <w:t>vjerovatno</w:t>
      </w:r>
      <w:proofErr w:type="spellEnd"/>
      <w:r w:rsidRPr="00BD087F">
        <w:rPr>
          <w:rFonts w:ascii="Arial" w:hAnsi="Arial" w:cs="Arial"/>
          <w:sz w:val="22"/>
          <w:szCs w:val="22"/>
        </w:rPr>
        <w:t xml:space="preserve"> značajnog utjecaja na okoliš Upravni odjel za urbanizam, prostorno planiranje i zaštitu okoliša zatražio je mišljenja tijela određenih posebnim propisima navedenih u Prilogu I. ove Odluke. Zaprimljena su slijedeća mišljenja:</w:t>
      </w:r>
    </w:p>
    <w:p w14:paraId="387B9F97" w14:textId="77777777" w:rsidR="00BD087F" w:rsidRPr="00BD087F" w:rsidRDefault="00BD087F" w:rsidP="00BD087F">
      <w:pPr>
        <w:jc w:val="both"/>
        <w:rPr>
          <w:rFonts w:ascii="Arial" w:hAnsi="Arial" w:cs="Arial"/>
          <w:sz w:val="22"/>
          <w:szCs w:val="22"/>
        </w:rPr>
      </w:pPr>
    </w:p>
    <w:p w14:paraId="79A63646" w14:textId="77777777" w:rsidR="00BD087F" w:rsidRPr="00BD087F" w:rsidRDefault="00BD087F" w:rsidP="00BD087F">
      <w:pPr>
        <w:pStyle w:val="Odlomakpopisa"/>
        <w:numPr>
          <w:ilvl w:val="0"/>
          <w:numId w:val="3"/>
        </w:numPr>
        <w:spacing w:after="0" w:line="240" w:lineRule="auto"/>
        <w:jc w:val="both"/>
        <w:rPr>
          <w:rFonts w:ascii="Arial" w:eastAsia="Times New Roman" w:hAnsi="Arial" w:cs="Arial"/>
          <w:lang w:eastAsia="hr-HR"/>
        </w:rPr>
      </w:pPr>
      <w:r w:rsidRPr="00BD087F">
        <w:rPr>
          <w:rFonts w:ascii="Arial" w:eastAsia="Times New Roman" w:hAnsi="Arial" w:cs="Arial"/>
          <w:lang w:eastAsia="hr-HR"/>
        </w:rPr>
        <w:t xml:space="preserve">Dubrovačko-neretvanska županija, Upravni odjel za zaštitu okoliša, imovinsko-pravne i komunalne poslove (KLASA:351-01/21-01/37, URBROJ:2117/1-09/2-21-04, zaprimljeno 20. svibnja 2021.) daje mišljenje da za IDPPUGD, IDGUPGD te IDUPU „Babin Kuk“ nije potrebno provesti stratešku procjenu utjecaja na okoliš. Sagledavajući obuhvat, razloge, ciljeve i programska polazišta te mogući utjecaj planiranih IDPPUGD, IDGUPGD, te IDUPU „Babin Kuk“ na sastavnice okoliša, smatraju da će negativni utjecaj provedbe IDPPUGD, IDGUPGD, te IDUPU „Babin Kuk“ biti vrlo slični utjecajima važećeg Urbanističkog plana uređenja „Babin Kuk“, a da planiranom ugradnjom dodatnih mjera zaštite okoliša u provedbene odredbe istih planova, a posebno mjera očuvanja krajobraznih vrijednosti, kao i mjera zaštite i očuvanja obalnog područja u izvornom stanju taj utjecaj može biti i manji. Mišljenje ne isključuje obvezu procjene utjecaja na okoliš, odnosno ocjenu o potrebi procjene utjecaja na okoliš za zahvate planirane unutar planskog područja ukoliko isti </w:t>
      </w:r>
      <w:proofErr w:type="spellStart"/>
      <w:r w:rsidRPr="00BD087F">
        <w:rPr>
          <w:rFonts w:ascii="Arial" w:eastAsia="Times New Roman" w:hAnsi="Arial" w:cs="Arial"/>
          <w:lang w:eastAsia="hr-HR"/>
        </w:rPr>
        <w:t>podlježu</w:t>
      </w:r>
      <w:proofErr w:type="spellEnd"/>
      <w:r w:rsidRPr="00BD087F">
        <w:rPr>
          <w:rFonts w:ascii="Arial" w:eastAsia="Times New Roman" w:hAnsi="Arial" w:cs="Arial"/>
          <w:lang w:eastAsia="hr-HR"/>
        </w:rPr>
        <w:t xml:space="preserve"> toj obvezi sukladno Uredbi o procjeni utjecaja zahvata na okoliš.</w:t>
      </w:r>
    </w:p>
    <w:p w14:paraId="787D1423" w14:textId="77777777" w:rsidR="00BD087F" w:rsidRPr="00BD087F" w:rsidRDefault="00BD087F" w:rsidP="00BD087F">
      <w:pPr>
        <w:pStyle w:val="Odlomakpopisa"/>
        <w:numPr>
          <w:ilvl w:val="0"/>
          <w:numId w:val="3"/>
        </w:numPr>
        <w:spacing w:after="0" w:line="240" w:lineRule="auto"/>
        <w:jc w:val="both"/>
        <w:rPr>
          <w:rFonts w:ascii="Arial" w:eastAsia="Times New Roman" w:hAnsi="Arial" w:cs="Arial"/>
          <w:lang w:eastAsia="hr-HR"/>
        </w:rPr>
      </w:pPr>
      <w:r w:rsidRPr="00BD087F">
        <w:rPr>
          <w:rFonts w:ascii="Arial" w:eastAsia="Times New Roman" w:hAnsi="Arial" w:cs="Arial"/>
          <w:lang w:eastAsia="hr-HR"/>
        </w:rPr>
        <w:t xml:space="preserve">Hrvatske vode, </w:t>
      </w:r>
      <w:proofErr w:type="spellStart"/>
      <w:r w:rsidRPr="00BD087F">
        <w:rPr>
          <w:rFonts w:ascii="Arial" w:eastAsia="Times New Roman" w:hAnsi="Arial" w:cs="Arial"/>
          <w:lang w:eastAsia="hr-HR"/>
        </w:rPr>
        <w:t>Vodnogospodarski</w:t>
      </w:r>
      <w:proofErr w:type="spellEnd"/>
      <w:r w:rsidRPr="00BD087F">
        <w:rPr>
          <w:rFonts w:ascii="Arial" w:eastAsia="Times New Roman" w:hAnsi="Arial" w:cs="Arial"/>
          <w:lang w:eastAsia="hr-HR"/>
        </w:rPr>
        <w:t xml:space="preserve"> odjel za slivove južnog Jadrana (KLASA:351-03/20-01/0000155, URBROJ:374-24-1-21-2, zaprimljeno 21. svibnja 2021.) daju mišljenje  kako prilikom izrade Izmjena i dopuna PPU Grada Dubrovnika nema potrebe za provedbom procedure strateške procjene utjecaja na okoliš uz poštivanje propisanih smjernica za njihovu izradu kao i do sada prihvaćenih rješenja za korištenje i zaštitu voda prema važećem PP  Dubrovačko-neretvanske županije.</w:t>
      </w:r>
    </w:p>
    <w:p w14:paraId="717A7487" w14:textId="77777777" w:rsidR="00BD087F" w:rsidRPr="00BD087F" w:rsidRDefault="00BD087F" w:rsidP="00BD087F">
      <w:pPr>
        <w:pStyle w:val="Odlomakpopisa"/>
        <w:numPr>
          <w:ilvl w:val="0"/>
          <w:numId w:val="3"/>
        </w:numPr>
        <w:spacing w:after="0" w:line="240" w:lineRule="auto"/>
        <w:jc w:val="both"/>
        <w:rPr>
          <w:rFonts w:ascii="Arial" w:eastAsia="Times New Roman" w:hAnsi="Arial" w:cs="Arial"/>
          <w:lang w:eastAsia="hr-HR"/>
        </w:rPr>
      </w:pPr>
      <w:r w:rsidRPr="00BD087F">
        <w:rPr>
          <w:rFonts w:ascii="Arial" w:eastAsia="Times New Roman" w:hAnsi="Arial" w:cs="Arial"/>
          <w:lang w:eastAsia="hr-HR"/>
        </w:rPr>
        <w:t xml:space="preserve">Hrvatske vode, </w:t>
      </w:r>
      <w:proofErr w:type="spellStart"/>
      <w:r w:rsidRPr="00BD087F">
        <w:rPr>
          <w:rFonts w:ascii="Arial" w:eastAsia="Times New Roman" w:hAnsi="Arial" w:cs="Arial"/>
          <w:lang w:eastAsia="hr-HR"/>
        </w:rPr>
        <w:t>Vodnogospodarski</w:t>
      </w:r>
      <w:proofErr w:type="spellEnd"/>
      <w:r w:rsidRPr="00BD087F">
        <w:rPr>
          <w:rFonts w:ascii="Arial" w:eastAsia="Times New Roman" w:hAnsi="Arial" w:cs="Arial"/>
          <w:lang w:eastAsia="hr-HR"/>
        </w:rPr>
        <w:t xml:space="preserve"> odjel za slivove južnog Jadrana (KLASA:351-03/20-01/0000156, URBROJ:374-24-1-21-2, zaprimljeno 21. svibnja 2021.) daju mišljenje  kako prilikom izrade Izmjena i dopuna GUP Grada Dubrovnika nema potrebe za provedbom procedure strateške procjene utjecaja na okoliš uz poštivanje propisanih smjernica za njihovu izradu kao i do sada prihvaćenih rješenja za korištenje i zaštitu voda prema važećem PP  Dubrovačko-neretvanske županije.</w:t>
      </w:r>
    </w:p>
    <w:p w14:paraId="01D55BF4" w14:textId="77777777" w:rsidR="00BD087F" w:rsidRPr="00BD087F" w:rsidRDefault="00BD087F" w:rsidP="00BD087F">
      <w:pPr>
        <w:pStyle w:val="Odlomakpopisa"/>
        <w:numPr>
          <w:ilvl w:val="0"/>
          <w:numId w:val="3"/>
        </w:numPr>
        <w:spacing w:after="0" w:line="240" w:lineRule="auto"/>
        <w:jc w:val="both"/>
        <w:rPr>
          <w:rFonts w:ascii="Arial" w:eastAsia="Times New Roman" w:hAnsi="Arial" w:cs="Arial"/>
          <w:lang w:eastAsia="hr-HR"/>
        </w:rPr>
      </w:pPr>
      <w:r w:rsidRPr="00BD087F">
        <w:rPr>
          <w:rFonts w:ascii="Arial" w:eastAsia="Times New Roman" w:hAnsi="Arial" w:cs="Arial"/>
          <w:lang w:eastAsia="hr-HR"/>
        </w:rPr>
        <w:t xml:space="preserve">Hrvatske vode, </w:t>
      </w:r>
      <w:proofErr w:type="spellStart"/>
      <w:r w:rsidRPr="00BD087F">
        <w:rPr>
          <w:rFonts w:ascii="Arial" w:eastAsia="Times New Roman" w:hAnsi="Arial" w:cs="Arial"/>
          <w:lang w:eastAsia="hr-HR"/>
        </w:rPr>
        <w:t>Vodnogospodarski</w:t>
      </w:r>
      <w:proofErr w:type="spellEnd"/>
      <w:r w:rsidRPr="00BD087F">
        <w:rPr>
          <w:rFonts w:ascii="Arial" w:eastAsia="Times New Roman" w:hAnsi="Arial" w:cs="Arial"/>
          <w:lang w:eastAsia="hr-HR"/>
        </w:rPr>
        <w:t xml:space="preserve"> odjel za slivove južnog Jadrana (KLASA:351-03/20-01/0000157, URBROJ:374-24-1-21-2, zaprimljeno 21. svibnja 2021.) daju mišljenje  kako prilikom izrade Izmjena i dopuna UPU „Babin Kuk“ nema potrebe za provedbom procedure strateške procjene utjecaja na okoliš uz poštivanje propisanih smjernica za njihovu izradu kao i do sada prihvaćenih rješenja za korištenje i zaštitu voda prema važećem PP  Dubrovačko-neretvanske županije.</w:t>
      </w:r>
    </w:p>
    <w:p w14:paraId="71354B52" w14:textId="2C7EEC51" w:rsidR="00BD087F" w:rsidRDefault="00BD087F" w:rsidP="00BD087F">
      <w:pPr>
        <w:pStyle w:val="Odlomakpopisa"/>
        <w:spacing w:after="0" w:line="240" w:lineRule="auto"/>
        <w:ind w:left="709"/>
        <w:jc w:val="both"/>
        <w:rPr>
          <w:rFonts w:ascii="Arial" w:eastAsia="Times New Roman" w:hAnsi="Arial" w:cs="Arial"/>
          <w:lang w:eastAsia="hr-HR"/>
        </w:rPr>
      </w:pPr>
    </w:p>
    <w:p w14:paraId="1C3C9E25" w14:textId="77777777" w:rsidR="00BD087F" w:rsidRPr="00BD087F" w:rsidRDefault="00BD087F" w:rsidP="00BD087F">
      <w:pPr>
        <w:pStyle w:val="Odlomakpopisa"/>
        <w:spacing w:after="0" w:line="240" w:lineRule="auto"/>
        <w:ind w:left="709"/>
        <w:jc w:val="both"/>
        <w:rPr>
          <w:rFonts w:ascii="Arial" w:eastAsia="Times New Roman" w:hAnsi="Arial" w:cs="Arial"/>
          <w:lang w:eastAsia="hr-HR"/>
        </w:rPr>
      </w:pPr>
    </w:p>
    <w:p w14:paraId="24978506" w14:textId="77777777" w:rsidR="00BD087F" w:rsidRPr="00BD087F" w:rsidRDefault="00BD087F" w:rsidP="00BD087F">
      <w:pPr>
        <w:jc w:val="center"/>
        <w:outlineLvl w:val="0"/>
        <w:rPr>
          <w:rFonts w:ascii="Arial" w:hAnsi="Arial" w:cs="Arial"/>
          <w:b/>
          <w:color w:val="000000"/>
          <w:sz w:val="22"/>
          <w:szCs w:val="22"/>
          <w:lang w:eastAsia="en-US"/>
        </w:rPr>
      </w:pPr>
      <w:r w:rsidRPr="00BD087F">
        <w:rPr>
          <w:rFonts w:ascii="Arial" w:hAnsi="Arial" w:cs="Arial"/>
          <w:b/>
          <w:color w:val="000000"/>
          <w:sz w:val="22"/>
          <w:szCs w:val="22"/>
        </w:rPr>
        <w:t>IV.</w:t>
      </w:r>
    </w:p>
    <w:p w14:paraId="63D707E0" w14:textId="77777777" w:rsidR="00BD087F" w:rsidRPr="00BD087F" w:rsidRDefault="00BD087F" w:rsidP="00BD087F">
      <w:pPr>
        <w:jc w:val="center"/>
        <w:outlineLvl w:val="0"/>
        <w:rPr>
          <w:rFonts w:ascii="Arial" w:hAnsi="Arial" w:cs="Arial"/>
          <w:b/>
          <w:color w:val="000000"/>
          <w:sz w:val="22"/>
          <w:szCs w:val="22"/>
        </w:rPr>
      </w:pPr>
    </w:p>
    <w:p w14:paraId="4B560E44" w14:textId="5C8BA631" w:rsidR="00BD087F" w:rsidRDefault="00BD087F" w:rsidP="00BD087F">
      <w:pPr>
        <w:autoSpaceDE w:val="0"/>
        <w:autoSpaceDN w:val="0"/>
        <w:adjustRightInd w:val="0"/>
        <w:ind w:right="40"/>
        <w:jc w:val="both"/>
        <w:rPr>
          <w:rFonts w:ascii="Arial" w:hAnsi="Arial" w:cs="Arial"/>
          <w:color w:val="000000"/>
          <w:sz w:val="22"/>
          <w:szCs w:val="22"/>
        </w:rPr>
      </w:pPr>
      <w:r w:rsidRPr="00BD087F">
        <w:rPr>
          <w:rFonts w:ascii="Arial" w:hAnsi="Arial" w:cs="Arial"/>
          <w:color w:val="000000"/>
          <w:sz w:val="22"/>
          <w:szCs w:val="22"/>
        </w:rPr>
        <w:t>Odluka kojom se utvrđuje da nije potrebno provesti stratešku procjenu utjecaja IDPPUGD, IDGUPGD te IDUPU „Babin Kuk“ na okoliš, donesena je na temelju procjene mogućih značajnih utjecaja Plana na okoliš, kao i na temelju pribavljenih mišljenja.</w:t>
      </w:r>
    </w:p>
    <w:p w14:paraId="74737AD7" w14:textId="77777777" w:rsidR="00BD087F" w:rsidRPr="00BD087F" w:rsidRDefault="00BD087F" w:rsidP="00BD087F">
      <w:pPr>
        <w:autoSpaceDE w:val="0"/>
        <w:autoSpaceDN w:val="0"/>
        <w:adjustRightInd w:val="0"/>
        <w:ind w:right="40"/>
        <w:jc w:val="both"/>
        <w:rPr>
          <w:rFonts w:ascii="Arial" w:hAnsi="Arial" w:cs="Arial"/>
          <w:color w:val="000000"/>
          <w:sz w:val="22"/>
          <w:szCs w:val="22"/>
        </w:rPr>
      </w:pPr>
    </w:p>
    <w:p w14:paraId="3F6E2424" w14:textId="0D3C9088" w:rsidR="00BD087F" w:rsidRDefault="00BD087F" w:rsidP="00BD087F">
      <w:pPr>
        <w:autoSpaceDE w:val="0"/>
        <w:autoSpaceDN w:val="0"/>
        <w:adjustRightInd w:val="0"/>
        <w:ind w:right="40"/>
        <w:jc w:val="both"/>
        <w:rPr>
          <w:rFonts w:ascii="Arial" w:hAnsi="Arial" w:cs="Arial"/>
          <w:color w:val="000000"/>
          <w:sz w:val="22"/>
          <w:szCs w:val="22"/>
        </w:rPr>
      </w:pPr>
      <w:r w:rsidRPr="00BD087F">
        <w:rPr>
          <w:rFonts w:ascii="Arial" w:hAnsi="Arial" w:cs="Arial"/>
          <w:color w:val="000000"/>
          <w:sz w:val="22"/>
          <w:szCs w:val="22"/>
        </w:rPr>
        <w:t xml:space="preserve">Naime, unutar predloženih izmjena i dopuna nalaze se već izgrađeni sadržaji i konzumirani prostori dok je na neizgrađenom dijelu i postojećim planovima planirana izgradnja, ali je nakon donošenja PPU-a Grada Dubrovnika i GUP-a Grada Dubrovnika te UPU-a „Babin Kuk“ došlo </w:t>
      </w:r>
      <w:r w:rsidRPr="00BD087F">
        <w:rPr>
          <w:rFonts w:ascii="Arial" w:hAnsi="Arial" w:cs="Arial"/>
          <w:color w:val="000000"/>
          <w:sz w:val="22"/>
          <w:szCs w:val="22"/>
        </w:rPr>
        <w:lastRenderedPageBreak/>
        <w:t>je do promjena u stavovima i promišljanjima o realizaciji pojedinih zahvata kao i potreba redefiniranja planskih postavki, a tiču se predjela Babin Kuk.</w:t>
      </w:r>
    </w:p>
    <w:p w14:paraId="67815FC9" w14:textId="77777777" w:rsidR="00BD087F" w:rsidRPr="00BD087F" w:rsidRDefault="00BD087F" w:rsidP="00BD087F">
      <w:pPr>
        <w:autoSpaceDE w:val="0"/>
        <w:autoSpaceDN w:val="0"/>
        <w:adjustRightInd w:val="0"/>
        <w:ind w:right="40"/>
        <w:jc w:val="both"/>
        <w:rPr>
          <w:rFonts w:ascii="Arial" w:hAnsi="Arial" w:cs="Arial"/>
          <w:color w:val="000000"/>
          <w:sz w:val="22"/>
          <w:szCs w:val="22"/>
        </w:rPr>
      </w:pPr>
    </w:p>
    <w:p w14:paraId="7F6D3FF5" w14:textId="69448C91" w:rsidR="00BD087F" w:rsidRDefault="00BD087F" w:rsidP="00BD087F">
      <w:pPr>
        <w:autoSpaceDE w:val="0"/>
        <w:autoSpaceDN w:val="0"/>
        <w:adjustRightInd w:val="0"/>
        <w:ind w:right="40"/>
        <w:jc w:val="both"/>
        <w:rPr>
          <w:rFonts w:ascii="Arial" w:hAnsi="Arial" w:cs="Arial"/>
          <w:color w:val="000000"/>
          <w:sz w:val="22"/>
          <w:szCs w:val="22"/>
        </w:rPr>
      </w:pPr>
      <w:r w:rsidRPr="00BD087F">
        <w:rPr>
          <w:rFonts w:ascii="Arial" w:hAnsi="Arial" w:cs="Arial"/>
          <w:color w:val="000000"/>
          <w:sz w:val="22"/>
          <w:szCs w:val="22"/>
        </w:rPr>
        <w:t>Obuhvat plana se ne nalazi u području ekološke mreže niti unutar zaštićenih područja temeljem Zakona o zaštiti prirode te sukladno prethodnom mišljenju Upravnog odjela za zaštitu okoliša, imovinsko-pravne i komunalne poslove u postupku ocjene o potrebi strateške procjene utjecaja na okoliš nije bilo osnove za provedbu prethodne ocjene prihvatljivosti IDPPUGD, IDGUPGD, te IDUPU „Babin Kuk“ za ekološku mrežu.</w:t>
      </w:r>
    </w:p>
    <w:p w14:paraId="05D17BC2" w14:textId="77777777" w:rsidR="00BD087F" w:rsidRPr="00BD087F" w:rsidRDefault="00BD087F" w:rsidP="00BD087F">
      <w:pPr>
        <w:autoSpaceDE w:val="0"/>
        <w:autoSpaceDN w:val="0"/>
        <w:adjustRightInd w:val="0"/>
        <w:ind w:right="40"/>
        <w:jc w:val="both"/>
        <w:rPr>
          <w:rFonts w:ascii="Arial" w:hAnsi="Arial" w:cs="Arial"/>
          <w:color w:val="000000"/>
          <w:sz w:val="22"/>
          <w:szCs w:val="22"/>
        </w:rPr>
      </w:pPr>
    </w:p>
    <w:p w14:paraId="1D3B93C4" w14:textId="77777777" w:rsidR="00BD087F" w:rsidRPr="00BD087F" w:rsidRDefault="00BD087F" w:rsidP="00BD087F">
      <w:pPr>
        <w:autoSpaceDE w:val="0"/>
        <w:autoSpaceDN w:val="0"/>
        <w:adjustRightInd w:val="0"/>
        <w:ind w:right="40"/>
        <w:jc w:val="both"/>
        <w:rPr>
          <w:rFonts w:ascii="Arial" w:hAnsi="Arial" w:cs="Arial"/>
          <w:color w:val="000000"/>
          <w:sz w:val="22"/>
          <w:szCs w:val="22"/>
        </w:rPr>
      </w:pPr>
      <w:r w:rsidRPr="00BD087F">
        <w:rPr>
          <w:rFonts w:ascii="Arial" w:hAnsi="Arial" w:cs="Arial"/>
          <w:color w:val="000000"/>
          <w:sz w:val="22"/>
          <w:szCs w:val="22"/>
        </w:rPr>
        <w:t>Za navedeno područje izrađena je Konzervatorsko-krajobrazna studija koja je propisala zaštitu kulturno-povijesnih, ambijentalnih i krajobraznih vrijednosti, kao i zaštitu vizura i vegetacije</w:t>
      </w:r>
      <w:r w:rsidRPr="00BD087F">
        <w:rPr>
          <w:rFonts w:ascii="Arial" w:hAnsi="Arial" w:cs="Arial"/>
          <w:sz w:val="22"/>
          <w:szCs w:val="22"/>
        </w:rPr>
        <w:t xml:space="preserve"> </w:t>
      </w:r>
      <w:r w:rsidRPr="00BD087F">
        <w:rPr>
          <w:rFonts w:ascii="Arial" w:hAnsi="Arial" w:cs="Arial"/>
          <w:color w:val="000000"/>
          <w:sz w:val="22"/>
          <w:szCs w:val="22"/>
        </w:rPr>
        <w:t xml:space="preserve">temeljem čega je </w:t>
      </w:r>
      <w:proofErr w:type="spellStart"/>
      <w:r w:rsidRPr="00BD087F">
        <w:rPr>
          <w:rFonts w:ascii="Arial" w:hAnsi="Arial" w:cs="Arial"/>
          <w:color w:val="000000"/>
          <w:sz w:val="22"/>
          <w:szCs w:val="22"/>
        </w:rPr>
        <w:t>izmjenjen</w:t>
      </w:r>
      <w:proofErr w:type="spellEnd"/>
      <w:r w:rsidRPr="00BD087F">
        <w:rPr>
          <w:rFonts w:ascii="Arial" w:hAnsi="Arial" w:cs="Arial"/>
          <w:color w:val="000000"/>
          <w:sz w:val="22"/>
          <w:szCs w:val="22"/>
        </w:rPr>
        <w:t xml:space="preserve"> Nacrt odluke o izradi IDPPUGD, IDGUPGD te IDUPU „Babin Kuk“.</w:t>
      </w:r>
    </w:p>
    <w:p w14:paraId="11A08020" w14:textId="77777777" w:rsidR="00BD087F" w:rsidRPr="00BD087F" w:rsidRDefault="00BD087F" w:rsidP="00BD087F">
      <w:pPr>
        <w:autoSpaceDE w:val="0"/>
        <w:autoSpaceDN w:val="0"/>
        <w:adjustRightInd w:val="0"/>
        <w:ind w:right="40"/>
        <w:jc w:val="both"/>
        <w:rPr>
          <w:rFonts w:ascii="Arial" w:hAnsi="Arial" w:cs="Arial"/>
          <w:color w:val="000000"/>
          <w:sz w:val="22"/>
          <w:szCs w:val="22"/>
        </w:rPr>
      </w:pPr>
      <w:r w:rsidRPr="00BD087F">
        <w:rPr>
          <w:rFonts w:ascii="Arial" w:hAnsi="Arial" w:cs="Arial"/>
          <w:color w:val="000000"/>
          <w:sz w:val="22"/>
          <w:szCs w:val="22"/>
        </w:rPr>
        <w:t xml:space="preserve">Jednako tako, Upravni odjel za zaštitu okoliša, imovinsko-pravne i komunalne poslove Dubrovačko-neretvanske županije dao je mišljenje da za planiranu izradu IDPPUGD, IDGUPGD te IDUPU „Babin Kuk“ nije potrebno provesti postupak strateške procjene utjecaja na okoliš uz  obvezu procjene utjecaja na okoliš, odnosno ocjenu o potrebi procjene utjecaja na okoliš za zahvate planirane unutar planskog područja ukoliko isti </w:t>
      </w:r>
      <w:proofErr w:type="spellStart"/>
      <w:r w:rsidRPr="00BD087F">
        <w:rPr>
          <w:rFonts w:ascii="Arial" w:hAnsi="Arial" w:cs="Arial"/>
          <w:color w:val="000000"/>
          <w:sz w:val="22"/>
          <w:szCs w:val="22"/>
        </w:rPr>
        <w:t>podlježu</w:t>
      </w:r>
      <w:proofErr w:type="spellEnd"/>
      <w:r w:rsidRPr="00BD087F">
        <w:rPr>
          <w:rFonts w:ascii="Arial" w:hAnsi="Arial" w:cs="Arial"/>
          <w:color w:val="000000"/>
          <w:sz w:val="22"/>
          <w:szCs w:val="22"/>
        </w:rPr>
        <w:t xml:space="preserve"> toj obvezi sukladno Uredbi o procjeni utjecaja zahvata na okoliš.</w:t>
      </w:r>
    </w:p>
    <w:p w14:paraId="55600EC3" w14:textId="77777777" w:rsidR="00BD087F" w:rsidRPr="00BD087F" w:rsidRDefault="00BD087F" w:rsidP="00BD087F">
      <w:pPr>
        <w:autoSpaceDE w:val="0"/>
        <w:autoSpaceDN w:val="0"/>
        <w:adjustRightInd w:val="0"/>
        <w:ind w:right="40"/>
        <w:jc w:val="both"/>
        <w:rPr>
          <w:rFonts w:ascii="Arial" w:hAnsi="Arial" w:cs="Arial"/>
          <w:color w:val="000000"/>
          <w:sz w:val="22"/>
          <w:szCs w:val="22"/>
        </w:rPr>
      </w:pPr>
    </w:p>
    <w:p w14:paraId="61231F16" w14:textId="5085763A" w:rsidR="00BD087F" w:rsidRDefault="00BD087F" w:rsidP="00BD087F">
      <w:pPr>
        <w:autoSpaceDE w:val="0"/>
        <w:autoSpaceDN w:val="0"/>
        <w:adjustRightInd w:val="0"/>
        <w:ind w:right="40"/>
        <w:jc w:val="both"/>
        <w:rPr>
          <w:rFonts w:ascii="Arial" w:hAnsi="Arial" w:cs="Arial"/>
          <w:color w:val="000000"/>
          <w:sz w:val="22"/>
          <w:szCs w:val="22"/>
        </w:rPr>
      </w:pPr>
      <w:r w:rsidRPr="00BD087F">
        <w:rPr>
          <w:rFonts w:ascii="Arial" w:hAnsi="Arial" w:cs="Arial"/>
          <w:color w:val="000000"/>
          <w:sz w:val="22"/>
          <w:szCs w:val="22"/>
        </w:rPr>
        <w:t xml:space="preserve">Mišljenje da za za planiranu izradu </w:t>
      </w:r>
      <w:proofErr w:type="spellStart"/>
      <w:r w:rsidRPr="00BD087F">
        <w:rPr>
          <w:rFonts w:ascii="Arial" w:hAnsi="Arial" w:cs="Arial"/>
          <w:color w:val="000000"/>
          <w:sz w:val="22"/>
          <w:szCs w:val="22"/>
        </w:rPr>
        <w:t>IDPPUGD</w:t>
      </w:r>
      <w:proofErr w:type="spellEnd"/>
      <w:r w:rsidRPr="00BD087F">
        <w:rPr>
          <w:rFonts w:ascii="Arial" w:hAnsi="Arial" w:cs="Arial"/>
          <w:color w:val="000000"/>
          <w:sz w:val="22"/>
          <w:szCs w:val="22"/>
        </w:rPr>
        <w:t>, IDGUPGD te IDUPU „Babin Kuk““ nije potrebno provesti stratešku procjenu utjecaja na okoliš dale su i Hrvatske vode</w:t>
      </w:r>
      <w:r w:rsidRPr="00BD087F">
        <w:rPr>
          <w:rFonts w:ascii="Arial" w:hAnsi="Arial" w:cs="Arial"/>
          <w:sz w:val="22"/>
          <w:szCs w:val="22"/>
        </w:rPr>
        <w:t xml:space="preserve"> </w:t>
      </w:r>
      <w:proofErr w:type="spellStart"/>
      <w:r w:rsidRPr="00BD087F">
        <w:rPr>
          <w:rFonts w:ascii="Arial" w:hAnsi="Arial" w:cs="Arial"/>
          <w:color w:val="000000"/>
          <w:sz w:val="22"/>
          <w:szCs w:val="22"/>
        </w:rPr>
        <w:t>Vodnogospodarski</w:t>
      </w:r>
      <w:proofErr w:type="spellEnd"/>
      <w:r w:rsidRPr="00BD087F">
        <w:rPr>
          <w:rFonts w:ascii="Arial" w:hAnsi="Arial" w:cs="Arial"/>
          <w:color w:val="000000"/>
          <w:sz w:val="22"/>
          <w:szCs w:val="22"/>
        </w:rPr>
        <w:t xml:space="preserve"> odjel za slivove južnog Jadrana. </w:t>
      </w:r>
    </w:p>
    <w:p w14:paraId="2B15641E" w14:textId="77777777" w:rsidR="00BD087F" w:rsidRPr="00BD087F" w:rsidRDefault="00BD087F" w:rsidP="00BD087F">
      <w:pPr>
        <w:autoSpaceDE w:val="0"/>
        <w:autoSpaceDN w:val="0"/>
        <w:adjustRightInd w:val="0"/>
        <w:ind w:right="40"/>
        <w:jc w:val="both"/>
        <w:rPr>
          <w:rFonts w:ascii="Arial" w:hAnsi="Arial" w:cs="Arial"/>
          <w:color w:val="000000"/>
          <w:sz w:val="22"/>
          <w:szCs w:val="22"/>
        </w:rPr>
      </w:pPr>
    </w:p>
    <w:p w14:paraId="1B6C7D70" w14:textId="77777777" w:rsidR="00BD087F" w:rsidRPr="00BD087F" w:rsidRDefault="00BD087F" w:rsidP="00BD087F">
      <w:pPr>
        <w:autoSpaceDE w:val="0"/>
        <w:autoSpaceDN w:val="0"/>
        <w:adjustRightInd w:val="0"/>
        <w:ind w:right="40"/>
        <w:jc w:val="both"/>
        <w:rPr>
          <w:rFonts w:ascii="Arial" w:hAnsi="Arial" w:cs="Arial"/>
          <w:sz w:val="22"/>
          <w:szCs w:val="22"/>
        </w:rPr>
      </w:pPr>
      <w:r w:rsidRPr="00BD087F">
        <w:rPr>
          <w:rFonts w:ascii="Arial" w:hAnsi="Arial" w:cs="Arial"/>
          <w:sz w:val="22"/>
          <w:szCs w:val="22"/>
        </w:rPr>
        <w:t>Slijedom svega navedenog zaključeno je da uz planiranu ugradnju dodatnih mjera zaštite okoliša u provedbene odredbe planova, a posebno mjera očuvanja krajobraznih vrijednosti, kao i mjera zaštite i očuvanja obalnog područja u izvornom stanju nije potrebno provesti stratešku procjenu utjecaja na okoliš za planiranu izradu IDPPUGD, IDGUPGD te IDUPU „Babin Kuk“.</w:t>
      </w:r>
    </w:p>
    <w:p w14:paraId="2C15017D" w14:textId="77777777" w:rsidR="00BD087F" w:rsidRPr="00BD087F" w:rsidRDefault="00BD087F" w:rsidP="00BD087F">
      <w:pPr>
        <w:jc w:val="both"/>
        <w:outlineLvl w:val="0"/>
        <w:rPr>
          <w:rFonts w:ascii="Arial" w:hAnsi="Arial" w:cs="Arial"/>
          <w:color w:val="000000"/>
          <w:sz w:val="22"/>
          <w:szCs w:val="22"/>
          <w:lang w:eastAsia="en-US"/>
        </w:rPr>
      </w:pPr>
    </w:p>
    <w:p w14:paraId="3CE6DD0C" w14:textId="77777777" w:rsidR="00BD087F" w:rsidRPr="00BD087F" w:rsidRDefault="00BD087F" w:rsidP="00BD087F">
      <w:pPr>
        <w:jc w:val="center"/>
        <w:outlineLvl w:val="0"/>
        <w:rPr>
          <w:rFonts w:ascii="Arial" w:hAnsi="Arial" w:cs="Arial"/>
          <w:b/>
          <w:color w:val="000000"/>
          <w:sz w:val="22"/>
          <w:szCs w:val="22"/>
        </w:rPr>
      </w:pPr>
      <w:r w:rsidRPr="00BD087F">
        <w:rPr>
          <w:rFonts w:ascii="Arial" w:hAnsi="Arial" w:cs="Arial"/>
          <w:b/>
          <w:color w:val="000000"/>
          <w:sz w:val="22"/>
          <w:szCs w:val="22"/>
        </w:rPr>
        <w:t>V.</w:t>
      </w:r>
    </w:p>
    <w:p w14:paraId="7FBAD784" w14:textId="77777777" w:rsidR="00BD087F" w:rsidRPr="00BD087F" w:rsidRDefault="00BD087F" w:rsidP="00BD087F">
      <w:pPr>
        <w:jc w:val="center"/>
        <w:rPr>
          <w:rFonts w:ascii="Arial" w:hAnsi="Arial" w:cs="Arial"/>
          <w:b/>
          <w:color w:val="000000"/>
          <w:sz w:val="22"/>
          <w:szCs w:val="22"/>
        </w:rPr>
      </w:pPr>
    </w:p>
    <w:p w14:paraId="3DEAF211" w14:textId="77777777" w:rsidR="00BD087F" w:rsidRPr="00BD087F" w:rsidRDefault="00BD087F" w:rsidP="00BD087F">
      <w:pPr>
        <w:jc w:val="both"/>
        <w:rPr>
          <w:rFonts w:ascii="Arial" w:hAnsi="Arial" w:cs="Arial"/>
          <w:color w:val="000000"/>
          <w:sz w:val="22"/>
          <w:szCs w:val="22"/>
        </w:rPr>
      </w:pPr>
      <w:r w:rsidRPr="00BD087F">
        <w:rPr>
          <w:rFonts w:ascii="Arial" w:hAnsi="Arial" w:cs="Arial"/>
          <w:color w:val="000000"/>
          <w:sz w:val="22"/>
          <w:szCs w:val="22"/>
        </w:rPr>
        <w:t>Upravni odjel za urbanizam, prostorno planiranje i zaštitu okoliša će sukladno članku 160. Zakona o zaštiti okoliša i članku 5. Uredbe o informiranju javnosti i zainteresirane javnosti u pitanjima zaštite okoliša („Narodne novine“ broj 64/08 i 80/13) po donošenju ove Odluke o istoj informirati javnost putem mrežnih stranica Grada Dubrovnika.</w:t>
      </w:r>
    </w:p>
    <w:p w14:paraId="79554D9D" w14:textId="6EAE8C97" w:rsidR="00BD087F" w:rsidRDefault="00BD087F" w:rsidP="00BD087F">
      <w:pPr>
        <w:jc w:val="both"/>
        <w:rPr>
          <w:rFonts w:ascii="Arial" w:hAnsi="Arial" w:cs="Arial"/>
          <w:color w:val="000000"/>
          <w:sz w:val="22"/>
          <w:szCs w:val="22"/>
        </w:rPr>
      </w:pPr>
    </w:p>
    <w:p w14:paraId="395477D0" w14:textId="77777777" w:rsidR="00BD087F" w:rsidRPr="00BD087F" w:rsidRDefault="00BD087F" w:rsidP="00BD087F">
      <w:pPr>
        <w:jc w:val="both"/>
        <w:rPr>
          <w:rFonts w:ascii="Arial" w:hAnsi="Arial" w:cs="Arial"/>
          <w:color w:val="000000"/>
          <w:sz w:val="22"/>
          <w:szCs w:val="22"/>
        </w:rPr>
      </w:pPr>
    </w:p>
    <w:p w14:paraId="588F7F43" w14:textId="77777777" w:rsidR="00BD087F" w:rsidRPr="00BD087F" w:rsidRDefault="00BD087F" w:rsidP="00BD087F">
      <w:pPr>
        <w:jc w:val="center"/>
        <w:outlineLvl w:val="0"/>
        <w:rPr>
          <w:rFonts w:ascii="Arial" w:hAnsi="Arial" w:cs="Arial"/>
          <w:b/>
          <w:color w:val="000000"/>
          <w:sz w:val="22"/>
          <w:szCs w:val="22"/>
        </w:rPr>
      </w:pPr>
      <w:r w:rsidRPr="00BD087F">
        <w:rPr>
          <w:rFonts w:ascii="Arial" w:hAnsi="Arial" w:cs="Arial"/>
          <w:b/>
          <w:color w:val="000000"/>
          <w:sz w:val="22"/>
          <w:szCs w:val="22"/>
        </w:rPr>
        <w:t>VI.</w:t>
      </w:r>
    </w:p>
    <w:p w14:paraId="141217AB" w14:textId="77777777" w:rsidR="00BD087F" w:rsidRPr="00BD087F" w:rsidRDefault="00BD087F" w:rsidP="00BD087F">
      <w:pPr>
        <w:jc w:val="center"/>
        <w:outlineLvl w:val="0"/>
        <w:rPr>
          <w:rFonts w:ascii="Arial" w:hAnsi="Arial" w:cs="Arial"/>
          <w:b/>
          <w:color w:val="000000"/>
          <w:sz w:val="22"/>
          <w:szCs w:val="22"/>
        </w:rPr>
      </w:pPr>
    </w:p>
    <w:p w14:paraId="1522A4EF" w14:textId="77777777" w:rsidR="00BD087F" w:rsidRPr="00BD087F" w:rsidRDefault="00BD087F" w:rsidP="00BD087F">
      <w:pPr>
        <w:jc w:val="both"/>
        <w:outlineLvl w:val="0"/>
        <w:rPr>
          <w:rFonts w:ascii="Arial" w:hAnsi="Arial" w:cs="Arial"/>
          <w:b/>
          <w:color w:val="000000"/>
          <w:sz w:val="22"/>
          <w:szCs w:val="22"/>
        </w:rPr>
      </w:pPr>
      <w:r w:rsidRPr="00BD087F">
        <w:rPr>
          <w:rFonts w:ascii="Arial" w:hAnsi="Arial" w:cs="Arial"/>
          <w:color w:val="000000"/>
          <w:sz w:val="22"/>
          <w:szCs w:val="22"/>
        </w:rPr>
        <w:t>Ova odluka stupa na snagu osmog dana od dana objave u „Službenom glasniku Grada Dubrovnika“.</w:t>
      </w:r>
    </w:p>
    <w:p w14:paraId="6D1E25EF" w14:textId="77777777" w:rsidR="00BD087F" w:rsidRPr="00BD087F" w:rsidRDefault="00BD087F" w:rsidP="00BD087F">
      <w:pPr>
        <w:rPr>
          <w:rFonts w:ascii="Arial" w:hAnsi="Arial" w:cs="Arial"/>
          <w:color w:val="000000"/>
          <w:sz w:val="22"/>
          <w:szCs w:val="22"/>
        </w:rPr>
      </w:pPr>
    </w:p>
    <w:p w14:paraId="38A23C1C" w14:textId="77777777" w:rsidR="00BD087F" w:rsidRPr="00BD087F" w:rsidRDefault="00BD087F" w:rsidP="00BD087F">
      <w:pPr>
        <w:rPr>
          <w:rFonts w:ascii="Arial" w:hAnsi="Arial" w:cs="Arial"/>
          <w:color w:val="000000"/>
          <w:sz w:val="22"/>
          <w:szCs w:val="22"/>
        </w:rPr>
      </w:pPr>
      <w:r w:rsidRPr="00BD087F">
        <w:rPr>
          <w:rFonts w:ascii="Arial" w:hAnsi="Arial" w:cs="Arial"/>
          <w:color w:val="000000"/>
          <w:sz w:val="22"/>
          <w:szCs w:val="22"/>
        </w:rPr>
        <w:t>KLASA: 351-01/21-01/13</w:t>
      </w:r>
    </w:p>
    <w:p w14:paraId="42E8C26F" w14:textId="77777777" w:rsidR="00BD087F" w:rsidRPr="00BD087F" w:rsidRDefault="00BD087F" w:rsidP="00BD087F">
      <w:pPr>
        <w:outlineLvl w:val="0"/>
        <w:rPr>
          <w:rFonts w:ascii="Arial" w:hAnsi="Arial" w:cs="Arial"/>
          <w:b/>
          <w:color w:val="000000"/>
          <w:sz w:val="22"/>
          <w:szCs w:val="22"/>
        </w:rPr>
      </w:pPr>
      <w:r w:rsidRPr="00BD087F">
        <w:rPr>
          <w:rFonts w:ascii="Arial" w:hAnsi="Arial" w:cs="Arial"/>
          <w:color w:val="000000"/>
          <w:sz w:val="22"/>
          <w:szCs w:val="22"/>
        </w:rPr>
        <w:t>URBROJ:</w:t>
      </w:r>
      <w:r w:rsidRPr="00BD087F">
        <w:rPr>
          <w:rFonts w:ascii="Arial" w:hAnsi="Arial" w:cs="Arial"/>
          <w:b/>
          <w:color w:val="000000"/>
          <w:sz w:val="22"/>
          <w:szCs w:val="22"/>
        </w:rPr>
        <w:t xml:space="preserve"> </w:t>
      </w:r>
      <w:r w:rsidRPr="00BD087F">
        <w:rPr>
          <w:rFonts w:ascii="Arial" w:hAnsi="Arial" w:cs="Arial"/>
          <w:color w:val="000000"/>
          <w:sz w:val="22"/>
          <w:szCs w:val="22"/>
        </w:rPr>
        <w:t>2117/01-01-21-14</w:t>
      </w:r>
      <w:r w:rsidRPr="00BD087F">
        <w:rPr>
          <w:rFonts w:ascii="Arial" w:hAnsi="Arial" w:cs="Arial"/>
          <w:b/>
          <w:color w:val="000000"/>
          <w:sz w:val="22"/>
          <w:szCs w:val="22"/>
        </w:rPr>
        <w:t xml:space="preserve">                                                            </w:t>
      </w:r>
      <w:r w:rsidRPr="00BD087F">
        <w:rPr>
          <w:rFonts w:ascii="Arial" w:hAnsi="Arial" w:cs="Arial"/>
          <w:b/>
          <w:color w:val="000000"/>
          <w:sz w:val="22"/>
          <w:szCs w:val="22"/>
        </w:rPr>
        <w:tab/>
      </w:r>
      <w:r w:rsidRPr="00BD087F">
        <w:rPr>
          <w:rFonts w:ascii="Arial" w:hAnsi="Arial" w:cs="Arial"/>
          <w:b/>
          <w:color w:val="000000"/>
          <w:sz w:val="22"/>
          <w:szCs w:val="22"/>
        </w:rPr>
        <w:tab/>
      </w:r>
      <w:r w:rsidRPr="00BD087F">
        <w:rPr>
          <w:rFonts w:ascii="Arial" w:hAnsi="Arial" w:cs="Arial"/>
          <w:b/>
          <w:color w:val="000000"/>
          <w:sz w:val="22"/>
          <w:szCs w:val="22"/>
        </w:rPr>
        <w:tab/>
      </w:r>
    </w:p>
    <w:p w14:paraId="7677E201" w14:textId="77777777" w:rsidR="00BD087F" w:rsidRPr="00BD087F" w:rsidRDefault="00BD087F" w:rsidP="00BD087F">
      <w:pPr>
        <w:rPr>
          <w:rFonts w:ascii="Arial" w:hAnsi="Arial" w:cs="Arial"/>
          <w:color w:val="000000"/>
          <w:sz w:val="22"/>
          <w:szCs w:val="22"/>
        </w:rPr>
      </w:pPr>
      <w:r w:rsidRPr="00BD087F">
        <w:rPr>
          <w:rFonts w:ascii="Arial" w:hAnsi="Arial" w:cs="Arial"/>
          <w:color w:val="000000"/>
          <w:sz w:val="22"/>
          <w:szCs w:val="22"/>
        </w:rPr>
        <w:t xml:space="preserve">Dubrovnik, 23. lipnja 2021.      </w:t>
      </w:r>
    </w:p>
    <w:p w14:paraId="061A9157" w14:textId="77777777" w:rsidR="00BD087F" w:rsidRPr="00BD087F" w:rsidRDefault="00BD087F" w:rsidP="00BD087F">
      <w:pPr>
        <w:rPr>
          <w:rFonts w:ascii="Arial" w:hAnsi="Arial" w:cs="Arial"/>
          <w:color w:val="000000"/>
          <w:sz w:val="22"/>
          <w:szCs w:val="22"/>
        </w:rPr>
      </w:pPr>
    </w:p>
    <w:p w14:paraId="444673D2" w14:textId="4530BF16" w:rsidR="00BD087F" w:rsidRPr="00BD087F" w:rsidRDefault="00BD087F" w:rsidP="00BD087F">
      <w:pPr>
        <w:rPr>
          <w:rFonts w:ascii="Arial" w:hAnsi="Arial" w:cs="Arial"/>
          <w:color w:val="000000"/>
          <w:sz w:val="22"/>
          <w:szCs w:val="22"/>
        </w:rPr>
      </w:pPr>
      <w:r>
        <w:rPr>
          <w:rFonts w:ascii="Arial" w:hAnsi="Arial" w:cs="Arial"/>
          <w:color w:val="000000"/>
          <w:sz w:val="22"/>
          <w:szCs w:val="22"/>
        </w:rPr>
        <w:t>Gradonačelnik</w:t>
      </w:r>
    </w:p>
    <w:p w14:paraId="7BDC1E25" w14:textId="5933E788" w:rsidR="00BD087F" w:rsidRDefault="00BD087F" w:rsidP="00BD087F">
      <w:pPr>
        <w:outlineLvl w:val="0"/>
        <w:rPr>
          <w:rFonts w:ascii="Arial" w:hAnsi="Arial" w:cs="Arial"/>
          <w:color w:val="000000"/>
          <w:sz w:val="22"/>
          <w:szCs w:val="22"/>
        </w:rPr>
      </w:pPr>
      <w:r w:rsidRPr="00BD087F">
        <w:rPr>
          <w:rFonts w:ascii="Arial" w:hAnsi="Arial" w:cs="Arial"/>
          <w:b/>
          <w:bCs/>
          <w:color w:val="000000"/>
          <w:sz w:val="22"/>
          <w:szCs w:val="22"/>
        </w:rPr>
        <w:t>Mato Franković</w:t>
      </w:r>
      <w:r>
        <w:rPr>
          <w:rFonts w:ascii="Arial" w:hAnsi="Arial" w:cs="Arial"/>
          <w:color w:val="000000"/>
          <w:sz w:val="22"/>
          <w:szCs w:val="22"/>
        </w:rPr>
        <w:t>, v. r.</w:t>
      </w:r>
    </w:p>
    <w:p w14:paraId="37463801" w14:textId="27F0DDC6" w:rsidR="00BD087F" w:rsidRPr="00BD087F" w:rsidRDefault="00BD087F" w:rsidP="00BD087F">
      <w:pPr>
        <w:outlineLvl w:val="0"/>
        <w:rPr>
          <w:rFonts w:ascii="Arial" w:hAnsi="Arial" w:cs="Arial"/>
          <w:color w:val="000000"/>
          <w:sz w:val="22"/>
          <w:szCs w:val="22"/>
        </w:rPr>
      </w:pPr>
      <w:r>
        <w:rPr>
          <w:rFonts w:ascii="Arial" w:hAnsi="Arial" w:cs="Arial"/>
          <w:color w:val="000000"/>
          <w:sz w:val="22"/>
          <w:szCs w:val="22"/>
        </w:rPr>
        <w:t>-----------------------------</w:t>
      </w:r>
    </w:p>
    <w:p w14:paraId="2177A4B5" w14:textId="05F6886D" w:rsidR="00BD087F" w:rsidRDefault="00BD087F" w:rsidP="00BD087F">
      <w:pPr>
        <w:rPr>
          <w:rFonts w:ascii="Arial" w:hAnsi="Arial" w:cs="Arial"/>
          <w:sz w:val="22"/>
          <w:szCs w:val="22"/>
        </w:rPr>
      </w:pPr>
    </w:p>
    <w:p w14:paraId="5DDC7AD0" w14:textId="5E78BE22" w:rsidR="00BD087F" w:rsidRDefault="00BD087F" w:rsidP="00BD087F">
      <w:pPr>
        <w:rPr>
          <w:rFonts w:ascii="Arial" w:hAnsi="Arial" w:cs="Arial"/>
          <w:sz w:val="22"/>
          <w:szCs w:val="22"/>
        </w:rPr>
      </w:pPr>
    </w:p>
    <w:p w14:paraId="5C44A06F" w14:textId="4FCB9C9D" w:rsidR="00BD087F" w:rsidRDefault="00BD087F" w:rsidP="00BD087F">
      <w:pPr>
        <w:rPr>
          <w:rFonts w:ascii="Arial" w:hAnsi="Arial" w:cs="Arial"/>
          <w:sz w:val="22"/>
          <w:szCs w:val="22"/>
        </w:rPr>
      </w:pPr>
    </w:p>
    <w:p w14:paraId="51440827" w14:textId="39F9A732" w:rsidR="00BD087F" w:rsidRDefault="00BD087F" w:rsidP="00BD087F">
      <w:pPr>
        <w:rPr>
          <w:rFonts w:ascii="Arial" w:hAnsi="Arial" w:cs="Arial"/>
          <w:sz w:val="22"/>
          <w:szCs w:val="22"/>
        </w:rPr>
      </w:pPr>
    </w:p>
    <w:p w14:paraId="398FF9A3" w14:textId="61E5E946" w:rsidR="00BD087F" w:rsidRPr="00F70315" w:rsidRDefault="00BD087F" w:rsidP="00BD087F">
      <w:pPr>
        <w:rPr>
          <w:rFonts w:ascii="Arial" w:hAnsi="Arial" w:cs="Arial"/>
          <w:b/>
          <w:bCs/>
          <w:sz w:val="22"/>
          <w:szCs w:val="22"/>
        </w:rPr>
      </w:pPr>
      <w:r w:rsidRPr="00F70315">
        <w:rPr>
          <w:rFonts w:ascii="Arial" w:hAnsi="Arial" w:cs="Arial"/>
          <w:b/>
          <w:bCs/>
          <w:sz w:val="22"/>
          <w:szCs w:val="22"/>
        </w:rPr>
        <w:t>76</w:t>
      </w:r>
    </w:p>
    <w:p w14:paraId="4C330064" w14:textId="5BA2CDA0" w:rsidR="00BD087F" w:rsidRDefault="00BD087F" w:rsidP="00BD087F">
      <w:pPr>
        <w:rPr>
          <w:rFonts w:ascii="Arial" w:hAnsi="Arial" w:cs="Arial"/>
          <w:sz w:val="22"/>
          <w:szCs w:val="22"/>
        </w:rPr>
      </w:pPr>
    </w:p>
    <w:p w14:paraId="0D45F6D2" w14:textId="77777777" w:rsidR="00F70315" w:rsidRDefault="00F70315" w:rsidP="006157C0">
      <w:pPr>
        <w:suppressAutoHyphens/>
        <w:jc w:val="both"/>
        <w:rPr>
          <w:rFonts w:ascii="Arial" w:hAnsi="Arial" w:cs="Arial"/>
          <w:sz w:val="22"/>
          <w:szCs w:val="22"/>
        </w:rPr>
      </w:pPr>
    </w:p>
    <w:p w14:paraId="25CAAE60" w14:textId="77777777" w:rsidR="00F70315" w:rsidRDefault="00F70315" w:rsidP="006157C0">
      <w:pPr>
        <w:suppressAutoHyphens/>
        <w:jc w:val="both"/>
        <w:rPr>
          <w:rFonts w:ascii="Arial" w:hAnsi="Arial" w:cs="Arial"/>
          <w:sz w:val="22"/>
          <w:szCs w:val="22"/>
        </w:rPr>
      </w:pPr>
    </w:p>
    <w:p w14:paraId="1E293831" w14:textId="77777777" w:rsidR="00F70315" w:rsidRDefault="00F70315" w:rsidP="006157C0">
      <w:pPr>
        <w:suppressAutoHyphens/>
        <w:jc w:val="both"/>
        <w:rPr>
          <w:rFonts w:ascii="Arial" w:hAnsi="Arial" w:cs="Arial"/>
          <w:sz w:val="22"/>
          <w:szCs w:val="22"/>
        </w:rPr>
      </w:pPr>
    </w:p>
    <w:p w14:paraId="5A43B571" w14:textId="6B90696C" w:rsidR="006157C0" w:rsidRDefault="006157C0" w:rsidP="006157C0">
      <w:pPr>
        <w:suppressAutoHyphens/>
        <w:jc w:val="both"/>
        <w:rPr>
          <w:rFonts w:ascii="Arial" w:hAnsi="Arial" w:cs="Arial"/>
          <w:sz w:val="22"/>
          <w:lang w:eastAsia="ar-SA"/>
        </w:rPr>
      </w:pPr>
      <w:bookmarkStart w:id="0" w:name="_GoBack"/>
      <w:r>
        <w:rPr>
          <w:rFonts w:ascii="Arial" w:hAnsi="Arial" w:cs="Arial"/>
          <w:sz w:val="22"/>
          <w:lang w:eastAsia="ar-SA"/>
        </w:rPr>
        <w:t>Na temelju članka 4. stavka 3. Zakona o službenicima i namještenicima u lokalnoj i područnoj (regionalnoj) samoupravi („Narodne novine“ broj 86/08., 61/11., 4/18., 96/18. i 112/19.), na prijedlog pročelnika Upravnog odjela za komunalne djelatnosti i mjesnu samoupravu i Upravnog odjela za promet, a nakon savjetovanja sa sindikalnim povjerenikom sukladno članku 150., a u svezi s člankom 153. stavak 3. Zakona o radu („Narodne novine“ broj 93/14., 127/17. i 98/19.), gradonačelnik Grada Dubrovnika donosi</w:t>
      </w:r>
    </w:p>
    <w:p w14:paraId="729495A7" w14:textId="2E5D6F44" w:rsidR="006157C0" w:rsidRDefault="006157C0" w:rsidP="006157C0">
      <w:pPr>
        <w:suppressAutoHyphens/>
        <w:jc w:val="both"/>
        <w:rPr>
          <w:rFonts w:ascii="Arial" w:hAnsi="Arial" w:cs="Arial"/>
          <w:sz w:val="22"/>
          <w:szCs w:val="22"/>
          <w:lang w:eastAsia="ar-SA"/>
        </w:rPr>
      </w:pPr>
    </w:p>
    <w:p w14:paraId="518257C6" w14:textId="77777777" w:rsidR="00F70315" w:rsidRDefault="00F70315" w:rsidP="006157C0">
      <w:pPr>
        <w:suppressAutoHyphens/>
        <w:jc w:val="both"/>
        <w:rPr>
          <w:rFonts w:ascii="Arial" w:hAnsi="Arial" w:cs="Arial"/>
          <w:sz w:val="22"/>
          <w:szCs w:val="22"/>
          <w:lang w:eastAsia="ar-SA"/>
        </w:rPr>
      </w:pPr>
    </w:p>
    <w:p w14:paraId="493E0D32" w14:textId="77777777" w:rsidR="006157C0" w:rsidRDefault="006157C0" w:rsidP="006157C0">
      <w:pPr>
        <w:suppressAutoHyphens/>
        <w:jc w:val="center"/>
        <w:rPr>
          <w:rFonts w:ascii="Arial" w:eastAsia="Calibri" w:hAnsi="Arial" w:cs="Arial"/>
          <w:b/>
          <w:bCs/>
          <w:sz w:val="22"/>
          <w:szCs w:val="22"/>
          <w:lang w:eastAsia="ar-SA"/>
        </w:rPr>
      </w:pPr>
      <w:r>
        <w:rPr>
          <w:rFonts w:ascii="Arial" w:eastAsia="Calibri" w:hAnsi="Arial" w:cs="Arial"/>
          <w:b/>
          <w:bCs/>
          <w:sz w:val="22"/>
          <w:szCs w:val="22"/>
          <w:lang w:eastAsia="ar-SA"/>
        </w:rPr>
        <w:t>PRAVILNIK</w:t>
      </w:r>
    </w:p>
    <w:p w14:paraId="6AC6C46D" w14:textId="77777777" w:rsidR="00F70315" w:rsidRDefault="006157C0" w:rsidP="00F70315">
      <w:pPr>
        <w:suppressAutoHyphens/>
        <w:jc w:val="center"/>
        <w:rPr>
          <w:rFonts w:ascii="Arial" w:eastAsia="Calibri" w:hAnsi="Arial" w:cs="Arial"/>
          <w:b/>
          <w:bCs/>
          <w:sz w:val="22"/>
          <w:szCs w:val="22"/>
          <w:lang w:eastAsia="ar-SA"/>
        </w:rPr>
      </w:pPr>
      <w:r>
        <w:rPr>
          <w:rFonts w:ascii="Arial" w:eastAsia="Calibri" w:hAnsi="Arial" w:cs="Arial"/>
          <w:b/>
          <w:bCs/>
          <w:sz w:val="22"/>
          <w:szCs w:val="22"/>
          <w:lang w:eastAsia="ar-SA"/>
        </w:rPr>
        <w:t xml:space="preserve">O IZMJENAMA I DOPUNAMA PRAVILNIKA O UNUTARNJEM REDU </w:t>
      </w:r>
    </w:p>
    <w:p w14:paraId="6C8D15CC" w14:textId="106E1921" w:rsidR="006157C0" w:rsidRDefault="006157C0" w:rsidP="00F70315">
      <w:pPr>
        <w:suppressAutoHyphens/>
        <w:jc w:val="center"/>
        <w:rPr>
          <w:rFonts w:ascii="Arial" w:eastAsia="Calibri" w:hAnsi="Arial" w:cs="Arial"/>
          <w:b/>
          <w:bCs/>
          <w:sz w:val="22"/>
          <w:szCs w:val="22"/>
          <w:lang w:eastAsia="ar-SA"/>
        </w:rPr>
      </w:pPr>
      <w:r>
        <w:rPr>
          <w:rFonts w:ascii="Arial" w:eastAsia="Calibri" w:hAnsi="Arial" w:cs="Arial"/>
          <w:b/>
          <w:bCs/>
          <w:sz w:val="22"/>
          <w:szCs w:val="22"/>
          <w:lang w:eastAsia="ar-SA"/>
        </w:rPr>
        <w:t>GRADSKE UPRAVE</w:t>
      </w:r>
    </w:p>
    <w:p w14:paraId="61498DCB" w14:textId="09769675" w:rsidR="006157C0" w:rsidRDefault="006157C0" w:rsidP="006157C0">
      <w:pPr>
        <w:suppressAutoHyphens/>
        <w:jc w:val="center"/>
        <w:rPr>
          <w:rFonts w:ascii="Arial" w:eastAsia="Calibri" w:hAnsi="Arial" w:cs="Arial"/>
          <w:b/>
          <w:sz w:val="22"/>
          <w:szCs w:val="22"/>
          <w:lang w:eastAsia="ar-SA"/>
        </w:rPr>
      </w:pPr>
    </w:p>
    <w:p w14:paraId="2576C5BF" w14:textId="77777777" w:rsidR="00F70315" w:rsidRDefault="00F70315" w:rsidP="006157C0">
      <w:pPr>
        <w:suppressAutoHyphens/>
        <w:jc w:val="center"/>
        <w:rPr>
          <w:rFonts w:ascii="Arial" w:eastAsia="Calibri" w:hAnsi="Arial" w:cs="Arial"/>
          <w:b/>
          <w:sz w:val="22"/>
          <w:szCs w:val="22"/>
          <w:lang w:eastAsia="ar-SA"/>
        </w:rPr>
      </w:pPr>
    </w:p>
    <w:p w14:paraId="7B8A1CC1" w14:textId="588CEF8D" w:rsidR="006157C0" w:rsidRDefault="006157C0" w:rsidP="006157C0">
      <w:pPr>
        <w:suppressAutoHyphens/>
        <w:jc w:val="center"/>
        <w:rPr>
          <w:rFonts w:ascii="Arial" w:eastAsia="Calibri" w:hAnsi="Arial" w:cs="Arial"/>
          <w:b/>
          <w:sz w:val="22"/>
          <w:szCs w:val="22"/>
          <w:lang w:eastAsia="ar-SA"/>
        </w:rPr>
      </w:pPr>
      <w:r>
        <w:rPr>
          <w:rFonts w:ascii="Arial" w:eastAsia="Calibri" w:hAnsi="Arial" w:cs="Arial"/>
          <w:b/>
          <w:sz w:val="22"/>
          <w:szCs w:val="22"/>
          <w:lang w:eastAsia="ar-SA"/>
        </w:rPr>
        <w:t>Članak 1.</w:t>
      </w:r>
    </w:p>
    <w:p w14:paraId="31CED2C9" w14:textId="77777777" w:rsidR="00F70315" w:rsidRDefault="00F70315" w:rsidP="006157C0">
      <w:pPr>
        <w:suppressAutoHyphens/>
        <w:jc w:val="center"/>
        <w:rPr>
          <w:rFonts w:ascii="Arial" w:eastAsia="Calibri" w:hAnsi="Arial" w:cs="Arial"/>
          <w:b/>
          <w:sz w:val="22"/>
          <w:szCs w:val="22"/>
          <w:lang w:eastAsia="ar-SA"/>
        </w:rPr>
      </w:pPr>
    </w:p>
    <w:p w14:paraId="7C7E1CCF" w14:textId="77777777" w:rsidR="006157C0" w:rsidRDefault="006157C0" w:rsidP="00F70315">
      <w:pPr>
        <w:suppressAutoHyphens/>
        <w:jc w:val="both"/>
        <w:rPr>
          <w:rFonts w:ascii="Arial" w:eastAsia="Calibri" w:hAnsi="Arial" w:cs="Arial"/>
          <w:sz w:val="22"/>
          <w:szCs w:val="22"/>
          <w:lang w:eastAsia="ar-SA"/>
        </w:rPr>
      </w:pPr>
      <w:r>
        <w:rPr>
          <w:rFonts w:ascii="Arial" w:eastAsia="Calibri" w:hAnsi="Arial" w:cs="Arial"/>
          <w:sz w:val="22"/>
          <w:szCs w:val="22"/>
          <w:lang w:eastAsia="ar-SA"/>
        </w:rPr>
        <w:t>Pravilnik o unutarnjem redu gradske uprave Grada Dubrovnika („Službeni glasnik“ Grada Dubrovnika broj 21/17., 1/18., 4/18., 8/18., 12/18., 13/18., 14/18., 21/18., 26/18., 8/19., 9/19., 14/19., 17/19., 1/20., 5/20., 11/20., 15/20., 1/21., 3/21. i 4/21.) mijenja se na način:</w:t>
      </w:r>
    </w:p>
    <w:p w14:paraId="509A368C" w14:textId="77777777" w:rsidR="00F70315" w:rsidRDefault="00F70315" w:rsidP="00F70315">
      <w:pPr>
        <w:suppressAutoHyphens/>
        <w:jc w:val="both"/>
        <w:rPr>
          <w:rFonts w:ascii="Arial" w:eastAsia="SimSun" w:hAnsi="Arial" w:cs="Arial"/>
          <w:kern w:val="2"/>
          <w:sz w:val="22"/>
          <w:szCs w:val="22"/>
          <w:lang w:eastAsia="hi-IN" w:bidi="hi-IN"/>
        </w:rPr>
      </w:pPr>
    </w:p>
    <w:p w14:paraId="0D24256B" w14:textId="1439C471" w:rsidR="006157C0" w:rsidRDefault="006157C0" w:rsidP="00F70315">
      <w:pPr>
        <w:suppressAutoHyphens/>
        <w:jc w:val="both"/>
        <w:rPr>
          <w:rFonts w:ascii="Arial" w:eastAsia="Calibri" w:hAnsi="Arial" w:cs="Arial"/>
          <w:color w:val="000000"/>
          <w:sz w:val="22"/>
          <w:szCs w:val="22"/>
          <w:lang w:eastAsia="ar-SA"/>
        </w:rPr>
      </w:pPr>
      <w:r>
        <w:rPr>
          <w:rFonts w:ascii="Arial" w:eastAsia="SimSun" w:hAnsi="Arial" w:cs="Arial"/>
          <w:kern w:val="2"/>
          <w:sz w:val="22"/>
          <w:szCs w:val="22"/>
          <w:lang w:eastAsia="hi-IN" w:bidi="hi-IN"/>
        </w:rPr>
        <w:t>U</w:t>
      </w:r>
      <w:r>
        <w:rPr>
          <w:rFonts w:ascii="Arial" w:eastAsia="Calibri" w:hAnsi="Arial" w:cs="Arial"/>
          <w:sz w:val="22"/>
          <w:szCs w:val="22"/>
          <w:lang w:eastAsia="ar-SA"/>
        </w:rPr>
        <w:t xml:space="preserve"> članku 23. u sistematizaciji radnih mjesta Upravnog odjela za komunalne djelatnosti i mjesnu samoupravu kod</w:t>
      </w:r>
      <w:r>
        <w:rPr>
          <w:rFonts w:ascii="Arial" w:eastAsia="SimSun" w:hAnsi="Arial" w:cs="Arial"/>
          <w:kern w:val="2"/>
          <w:sz w:val="22"/>
          <w:szCs w:val="22"/>
          <w:lang w:eastAsia="hi-IN" w:bidi="hi-IN"/>
        </w:rPr>
        <w:t xml:space="preserve"> radnog mjesta 11.26. Referent za komunalnu naknadu i spomeničku rentu </w:t>
      </w:r>
      <w:r>
        <w:rPr>
          <w:rFonts w:ascii="Arial" w:hAnsi="Arial" w:cs="Arial"/>
          <w:sz w:val="22"/>
        </w:rPr>
        <w:t xml:space="preserve">kod potrebno stručno znanje upisuje se „trgovačke“, te se </w:t>
      </w:r>
      <w:r>
        <w:rPr>
          <w:rFonts w:ascii="Arial" w:eastAsia="Calibri" w:hAnsi="Arial" w:cs="Arial"/>
          <w:color w:val="000000"/>
          <w:sz w:val="22"/>
          <w:szCs w:val="22"/>
          <w:lang w:eastAsia="ar-SA"/>
        </w:rPr>
        <w:t>mijenja broj izvršitelja na način da se briše broj „4“, a upisuje se broj „5“.</w:t>
      </w:r>
    </w:p>
    <w:p w14:paraId="0731E6CA" w14:textId="77777777" w:rsidR="00F70315" w:rsidRDefault="00F70315" w:rsidP="00F70315">
      <w:pPr>
        <w:suppressAutoHyphens/>
        <w:jc w:val="both"/>
        <w:rPr>
          <w:rFonts w:ascii="Arial" w:eastAsia="Calibri" w:hAnsi="Arial" w:cs="Arial"/>
          <w:color w:val="000000"/>
          <w:sz w:val="22"/>
          <w:szCs w:val="22"/>
          <w:lang w:eastAsia="ar-SA"/>
        </w:rPr>
      </w:pPr>
    </w:p>
    <w:p w14:paraId="3EBC22DB" w14:textId="206F8EA7" w:rsidR="006157C0" w:rsidRDefault="006157C0" w:rsidP="00F70315">
      <w:pPr>
        <w:suppressAutoHyphens/>
        <w:jc w:val="both"/>
        <w:rPr>
          <w:rFonts w:ascii="Arial" w:eastAsia="Calibri" w:hAnsi="Arial" w:cs="Arial"/>
          <w:color w:val="000000"/>
          <w:sz w:val="22"/>
          <w:szCs w:val="22"/>
          <w:lang w:eastAsia="ar-SA"/>
        </w:rPr>
      </w:pPr>
      <w:r>
        <w:rPr>
          <w:rFonts w:ascii="Arial" w:eastAsia="SimSun" w:hAnsi="Arial" w:cs="Arial"/>
          <w:kern w:val="2"/>
          <w:sz w:val="22"/>
          <w:szCs w:val="22"/>
          <w:lang w:eastAsia="hi-IN" w:bidi="hi-IN"/>
        </w:rPr>
        <w:t>U</w:t>
      </w:r>
      <w:r>
        <w:rPr>
          <w:rFonts w:ascii="Arial" w:eastAsia="Calibri" w:hAnsi="Arial" w:cs="Arial"/>
          <w:sz w:val="22"/>
          <w:szCs w:val="22"/>
          <w:lang w:eastAsia="ar-SA"/>
        </w:rPr>
        <w:t xml:space="preserve"> članku 23. u sistematizaciji radnih mjesta Upravnog odjela za promet kod</w:t>
      </w:r>
      <w:r>
        <w:rPr>
          <w:rFonts w:ascii="Arial" w:eastAsia="SimSun" w:hAnsi="Arial" w:cs="Arial"/>
          <w:kern w:val="2"/>
          <w:sz w:val="22"/>
          <w:szCs w:val="22"/>
          <w:lang w:eastAsia="hi-IN" w:bidi="hi-IN"/>
        </w:rPr>
        <w:t xml:space="preserve"> radnog mjesta 6.17. Referent – administrativni referent </w:t>
      </w:r>
      <w:r>
        <w:rPr>
          <w:rFonts w:ascii="Arial" w:eastAsia="Calibri" w:hAnsi="Arial" w:cs="Arial"/>
          <w:color w:val="000000"/>
          <w:sz w:val="22"/>
          <w:szCs w:val="22"/>
          <w:lang w:eastAsia="ar-SA"/>
        </w:rPr>
        <w:t>mijenja se broj izvršitelja na način da se briše broj „1“, a upisuje se broj „2“.</w:t>
      </w:r>
    </w:p>
    <w:p w14:paraId="72C06A24" w14:textId="77777777" w:rsidR="00F70315" w:rsidRDefault="00F70315" w:rsidP="00F70315">
      <w:pPr>
        <w:suppressAutoHyphens/>
        <w:jc w:val="both"/>
        <w:rPr>
          <w:rFonts w:ascii="Arial" w:eastAsia="Calibri" w:hAnsi="Arial" w:cs="Arial"/>
          <w:color w:val="000000"/>
          <w:sz w:val="22"/>
          <w:szCs w:val="22"/>
          <w:lang w:eastAsia="ar-SA"/>
        </w:rPr>
      </w:pPr>
    </w:p>
    <w:p w14:paraId="5292131C" w14:textId="5AB4E03C" w:rsidR="006157C0" w:rsidRDefault="006157C0" w:rsidP="00F70315">
      <w:pPr>
        <w:suppressAutoHyphens/>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Nastavno u tekstu je tabelarni prikaz izmjene sistematizacije radnih mjesta Upravnog odjela za komunalne djelatnosti i mjesnu samoupravu i Upravnog odjela za promet.</w:t>
      </w:r>
    </w:p>
    <w:p w14:paraId="680B530F" w14:textId="2297D2AB" w:rsidR="00F70315" w:rsidRDefault="00F70315" w:rsidP="006157C0">
      <w:pPr>
        <w:suppressAutoHyphens/>
        <w:jc w:val="both"/>
        <w:rPr>
          <w:rFonts w:ascii="Arial" w:eastAsia="Calibri" w:hAnsi="Arial" w:cs="Arial"/>
          <w:sz w:val="22"/>
          <w:szCs w:val="22"/>
          <w:lang w:eastAsia="ar-SA"/>
        </w:rPr>
      </w:pPr>
    </w:p>
    <w:p w14:paraId="35799FB2" w14:textId="77777777" w:rsidR="00F70315" w:rsidRDefault="00F70315" w:rsidP="006157C0">
      <w:pPr>
        <w:suppressAutoHyphens/>
        <w:jc w:val="both"/>
        <w:rPr>
          <w:rFonts w:ascii="Arial" w:eastAsia="Calibri" w:hAnsi="Arial" w:cs="Arial"/>
          <w:sz w:val="22"/>
          <w:szCs w:val="22"/>
          <w:lang w:eastAsia="ar-SA"/>
        </w:rPr>
      </w:pPr>
    </w:p>
    <w:p w14:paraId="48F3F40F" w14:textId="157E4A8E" w:rsidR="006157C0" w:rsidRDefault="006157C0" w:rsidP="006157C0">
      <w:pPr>
        <w:tabs>
          <w:tab w:val="left" w:pos="4335"/>
        </w:tabs>
        <w:suppressAutoHyphens/>
        <w:jc w:val="center"/>
        <w:rPr>
          <w:rFonts w:ascii="Arial" w:eastAsia="Calibri" w:hAnsi="Arial" w:cs="Arial"/>
          <w:b/>
          <w:sz w:val="22"/>
          <w:szCs w:val="22"/>
          <w:lang w:eastAsia="ar-SA"/>
        </w:rPr>
      </w:pPr>
      <w:r>
        <w:rPr>
          <w:rFonts w:ascii="Arial" w:eastAsia="Calibri" w:hAnsi="Arial" w:cs="Arial"/>
          <w:b/>
          <w:sz w:val="22"/>
          <w:szCs w:val="22"/>
          <w:lang w:eastAsia="ar-SA"/>
        </w:rPr>
        <w:t>Članak 2.</w:t>
      </w:r>
    </w:p>
    <w:p w14:paraId="28FEF6D7" w14:textId="77777777" w:rsidR="00F70315" w:rsidRDefault="00F70315" w:rsidP="006157C0">
      <w:pPr>
        <w:tabs>
          <w:tab w:val="left" w:pos="4335"/>
        </w:tabs>
        <w:suppressAutoHyphens/>
        <w:jc w:val="center"/>
        <w:rPr>
          <w:rFonts w:ascii="Arial" w:eastAsia="Calibri" w:hAnsi="Arial" w:cs="Arial"/>
          <w:b/>
          <w:sz w:val="22"/>
          <w:szCs w:val="22"/>
          <w:lang w:eastAsia="ar-SA"/>
        </w:rPr>
      </w:pPr>
    </w:p>
    <w:p w14:paraId="51E6C9F3" w14:textId="77777777" w:rsidR="006157C0" w:rsidRDefault="006157C0" w:rsidP="006157C0">
      <w:pPr>
        <w:suppressAutoHyphens/>
        <w:jc w:val="both"/>
        <w:rPr>
          <w:rFonts w:ascii="Arial" w:hAnsi="Arial" w:cs="Arial"/>
          <w:sz w:val="22"/>
          <w:szCs w:val="22"/>
          <w:lang w:eastAsia="ar-SA"/>
        </w:rPr>
      </w:pPr>
      <w:r>
        <w:rPr>
          <w:rFonts w:ascii="Arial" w:hAnsi="Arial" w:cs="Arial"/>
          <w:sz w:val="22"/>
          <w:szCs w:val="22"/>
          <w:lang w:eastAsia="ar-SA"/>
        </w:rPr>
        <w:t>Ovaj Pravilnik objaviti će se u Službenom glasniku Grada Dubrovnika i stupa na snagu osmog dana od dana objave.</w:t>
      </w:r>
    </w:p>
    <w:p w14:paraId="1CB338D4" w14:textId="77777777" w:rsidR="00F70315" w:rsidRDefault="00F70315" w:rsidP="006157C0">
      <w:pPr>
        <w:suppressAutoHyphens/>
        <w:jc w:val="both"/>
        <w:rPr>
          <w:rFonts w:ascii="Arial" w:hAnsi="Arial" w:cs="Arial"/>
          <w:sz w:val="22"/>
          <w:szCs w:val="22"/>
          <w:lang w:eastAsia="ar-SA"/>
        </w:rPr>
      </w:pPr>
    </w:p>
    <w:p w14:paraId="1DDE5BB3" w14:textId="585053FF" w:rsidR="006157C0" w:rsidRDefault="006157C0" w:rsidP="006157C0">
      <w:pPr>
        <w:suppressAutoHyphens/>
        <w:jc w:val="both"/>
        <w:rPr>
          <w:rFonts w:ascii="Arial" w:hAnsi="Arial" w:cs="Arial"/>
          <w:sz w:val="22"/>
          <w:szCs w:val="22"/>
          <w:lang w:eastAsia="ar-SA"/>
        </w:rPr>
      </w:pPr>
      <w:r>
        <w:rPr>
          <w:rFonts w:ascii="Arial" w:hAnsi="Arial" w:cs="Arial"/>
          <w:sz w:val="22"/>
          <w:szCs w:val="22"/>
          <w:lang w:eastAsia="ar-SA"/>
        </w:rPr>
        <w:t>Ovaj Pravilnik objaviti će se i na oglasnoj ploči Grada Dubrovnika.</w:t>
      </w:r>
    </w:p>
    <w:p w14:paraId="11E8BDF4" w14:textId="7E328D6D" w:rsidR="006157C0" w:rsidRDefault="006157C0" w:rsidP="006157C0">
      <w:pPr>
        <w:suppressAutoHyphens/>
        <w:jc w:val="both"/>
        <w:rPr>
          <w:rFonts w:ascii="Arial" w:hAnsi="Arial" w:cs="Arial"/>
          <w:sz w:val="22"/>
          <w:szCs w:val="22"/>
          <w:lang w:eastAsia="ar-SA"/>
        </w:rPr>
      </w:pPr>
    </w:p>
    <w:p w14:paraId="7468814F" w14:textId="77777777" w:rsidR="006157C0" w:rsidRDefault="006157C0" w:rsidP="006157C0">
      <w:pPr>
        <w:suppressAutoHyphens/>
        <w:jc w:val="both"/>
        <w:rPr>
          <w:rFonts w:ascii="Arial" w:hAnsi="Arial" w:cs="Arial"/>
          <w:sz w:val="22"/>
          <w:szCs w:val="22"/>
          <w:lang w:eastAsia="ar-SA"/>
        </w:rPr>
      </w:pPr>
    </w:p>
    <w:p w14:paraId="263398AE" w14:textId="77777777" w:rsidR="006157C0" w:rsidRDefault="006157C0" w:rsidP="006157C0">
      <w:pPr>
        <w:suppressAutoHyphens/>
        <w:jc w:val="both"/>
        <w:rPr>
          <w:rFonts w:ascii="Arial" w:hAnsi="Arial" w:cs="Arial"/>
          <w:sz w:val="22"/>
          <w:szCs w:val="22"/>
          <w:lang w:eastAsia="ar-SA"/>
        </w:rPr>
      </w:pPr>
      <w:r>
        <w:rPr>
          <w:rFonts w:ascii="Arial" w:hAnsi="Arial" w:cs="Arial"/>
          <w:sz w:val="22"/>
          <w:szCs w:val="22"/>
          <w:lang w:eastAsia="ar-SA"/>
        </w:rPr>
        <w:t>KLASA: 023-05/18-01/01</w:t>
      </w:r>
    </w:p>
    <w:p w14:paraId="24750E46" w14:textId="77777777" w:rsidR="006157C0" w:rsidRDefault="006157C0" w:rsidP="006157C0">
      <w:pPr>
        <w:suppressAutoHyphens/>
        <w:jc w:val="both"/>
        <w:rPr>
          <w:rFonts w:ascii="Arial" w:hAnsi="Arial" w:cs="Arial"/>
          <w:sz w:val="22"/>
          <w:szCs w:val="22"/>
          <w:lang w:eastAsia="ar-SA"/>
        </w:rPr>
      </w:pPr>
      <w:r>
        <w:rPr>
          <w:rFonts w:ascii="Arial" w:hAnsi="Arial" w:cs="Arial"/>
          <w:sz w:val="22"/>
          <w:szCs w:val="22"/>
          <w:lang w:eastAsia="ar-SA"/>
        </w:rPr>
        <w:t>URBROJ: 2117/01-01-21-132</w:t>
      </w:r>
    </w:p>
    <w:p w14:paraId="39B15CB6" w14:textId="77777777" w:rsidR="006157C0" w:rsidRDefault="006157C0" w:rsidP="006157C0">
      <w:pPr>
        <w:suppressAutoHyphens/>
        <w:jc w:val="both"/>
        <w:rPr>
          <w:rFonts w:ascii="Arial" w:hAnsi="Arial" w:cs="Arial"/>
          <w:sz w:val="22"/>
          <w:szCs w:val="22"/>
          <w:lang w:eastAsia="ar-SA"/>
        </w:rPr>
      </w:pPr>
      <w:r>
        <w:rPr>
          <w:rFonts w:ascii="Arial" w:hAnsi="Arial" w:cs="Arial"/>
          <w:sz w:val="22"/>
          <w:szCs w:val="22"/>
          <w:lang w:eastAsia="ar-SA"/>
        </w:rPr>
        <w:t xml:space="preserve">Dubrovnik, 30. lipnja 2021. </w:t>
      </w:r>
    </w:p>
    <w:p w14:paraId="07000924" w14:textId="77777777" w:rsidR="006157C0" w:rsidRDefault="006157C0" w:rsidP="006157C0">
      <w:pPr>
        <w:suppressAutoHyphens/>
        <w:ind w:left="4956" w:firstLine="709"/>
        <w:rPr>
          <w:rFonts w:ascii="Arial" w:hAnsi="Arial" w:cs="Arial"/>
          <w:sz w:val="22"/>
          <w:szCs w:val="22"/>
          <w:lang w:eastAsia="ar-SA"/>
        </w:rPr>
      </w:pPr>
      <w:r>
        <w:rPr>
          <w:rFonts w:ascii="Arial" w:hAnsi="Arial" w:cs="Arial"/>
          <w:sz w:val="22"/>
          <w:szCs w:val="22"/>
          <w:lang w:eastAsia="ar-SA"/>
        </w:rPr>
        <w:t xml:space="preserve">          </w:t>
      </w:r>
    </w:p>
    <w:p w14:paraId="5C7B078F" w14:textId="7B33683B" w:rsidR="006157C0" w:rsidRDefault="006157C0" w:rsidP="006157C0">
      <w:pPr>
        <w:suppressAutoHyphens/>
        <w:rPr>
          <w:rFonts w:ascii="Arial" w:hAnsi="Arial" w:cs="Arial"/>
          <w:sz w:val="22"/>
          <w:szCs w:val="22"/>
          <w:lang w:eastAsia="ar-SA"/>
        </w:rPr>
      </w:pPr>
      <w:r>
        <w:rPr>
          <w:rFonts w:ascii="Arial" w:hAnsi="Arial" w:cs="Arial"/>
          <w:sz w:val="22"/>
          <w:szCs w:val="22"/>
          <w:lang w:eastAsia="ar-SA"/>
        </w:rPr>
        <w:t xml:space="preserve">Gradonačelnik:     </w:t>
      </w:r>
    </w:p>
    <w:p w14:paraId="5CEFB050" w14:textId="632FE756" w:rsidR="006157C0" w:rsidRDefault="006157C0" w:rsidP="006157C0">
      <w:pPr>
        <w:suppressAutoHyphens/>
        <w:rPr>
          <w:rFonts w:ascii="Arial" w:hAnsi="Arial" w:cs="Arial"/>
          <w:sz w:val="22"/>
          <w:szCs w:val="22"/>
          <w:lang w:eastAsia="ar-SA"/>
        </w:rPr>
      </w:pPr>
      <w:r w:rsidRPr="006157C0">
        <w:rPr>
          <w:rFonts w:ascii="Arial" w:hAnsi="Arial" w:cs="Arial"/>
          <w:b/>
          <w:bCs/>
          <w:sz w:val="22"/>
          <w:szCs w:val="22"/>
          <w:lang w:eastAsia="ar-SA"/>
        </w:rPr>
        <w:t>Mato Franković</w:t>
      </w:r>
      <w:r>
        <w:rPr>
          <w:rFonts w:ascii="Arial" w:hAnsi="Arial" w:cs="Arial"/>
          <w:sz w:val="22"/>
          <w:szCs w:val="22"/>
          <w:lang w:eastAsia="ar-SA"/>
        </w:rPr>
        <w:t>, v. r.</w:t>
      </w:r>
    </w:p>
    <w:p w14:paraId="3FCABA24" w14:textId="59BDAFEE" w:rsidR="006157C0" w:rsidRDefault="006157C0" w:rsidP="006157C0">
      <w:pPr>
        <w:suppressAutoHyphens/>
        <w:rPr>
          <w:rFonts w:ascii="Arial" w:hAnsi="Arial" w:cs="Arial"/>
          <w:sz w:val="22"/>
          <w:szCs w:val="22"/>
          <w:lang w:eastAsia="ar-SA"/>
        </w:rPr>
      </w:pPr>
      <w:r>
        <w:rPr>
          <w:rFonts w:ascii="Arial" w:hAnsi="Arial" w:cs="Arial"/>
          <w:sz w:val="22"/>
          <w:szCs w:val="22"/>
          <w:lang w:eastAsia="ar-SA"/>
        </w:rPr>
        <w:t>-----------------------------</w:t>
      </w:r>
    </w:p>
    <w:p w14:paraId="724BCB8B" w14:textId="77777777" w:rsidR="006157C0" w:rsidRDefault="006157C0" w:rsidP="006157C0">
      <w:pPr>
        <w:suppressAutoHyphens/>
        <w:rPr>
          <w:rFonts w:ascii="Arial" w:hAnsi="Arial" w:cs="Arial"/>
          <w:sz w:val="22"/>
          <w:szCs w:val="22"/>
          <w:lang w:eastAsia="ar-SA"/>
        </w:rPr>
      </w:pPr>
    </w:p>
    <w:p w14:paraId="60CC9592" w14:textId="2F2C299D" w:rsidR="006157C0" w:rsidRDefault="006157C0" w:rsidP="006157C0">
      <w:pPr>
        <w:suppressAutoHyphens/>
        <w:rPr>
          <w:rFonts w:ascii="Arial" w:hAnsi="Arial" w:cs="Arial"/>
          <w:sz w:val="22"/>
          <w:szCs w:val="22"/>
          <w:lang w:eastAsia="ar-SA"/>
        </w:rPr>
      </w:pPr>
    </w:p>
    <w:p w14:paraId="4C45444D" w14:textId="185A16C4" w:rsidR="006157C0" w:rsidRDefault="006157C0" w:rsidP="006157C0">
      <w:pPr>
        <w:suppressAutoHyphens/>
        <w:rPr>
          <w:rFonts w:ascii="Arial" w:hAnsi="Arial" w:cs="Arial"/>
          <w:sz w:val="22"/>
          <w:szCs w:val="22"/>
          <w:lang w:eastAsia="ar-SA"/>
        </w:rPr>
      </w:pPr>
    </w:p>
    <w:p w14:paraId="53281A0B" w14:textId="447C04B8" w:rsidR="006157C0" w:rsidRDefault="006157C0" w:rsidP="006157C0">
      <w:pPr>
        <w:suppressAutoHyphens/>
        <w:rPr>
          <w:rFonts w:ascii="Arial" w:hAnsi="Arial" w:cs="Arial"/>
          <w:sz w:val="22"/>
          <w:szCs w:val="22"/>
          <w:lang w:eastAsia="ar-SA"/>
        </w:rPr>
      </w:pPr>
    </w:p>
    <w:p w14:paraId="64CDCFD2" w14:textId="46AAA858" w:rsidR="006157C0" w:rsidRDefault="006157C0" w:rsidP="006157C0">
      <w:pPr>
        <w:suppressAutoHyphens/>
        <w:rPr>
          <w:rFonts w:ascii="Arial" w:hAnsi="Arial" w:cs="Arial"/>
          <w:sz w:val="22"/>
          <w:szCs w:val="22"/>
          <w:lang w:eastAsia="ar-SA"/>
        </w:rPr>
      </w:pPr>
    </w:p>
    <w:p w14:paraId="1C0917E1" w14:textId="23E5D966" w:rsidR="006157C0" w:rsidRDefault="006157C0" w:rsidP="006157C0">
      <w:pPr>
        <w:suppressAutoHyphens/>
        <w:rPr>
          <w:rFonts w:ascii="Arial" w:hAnsi="Arial" w:cs="Arial"/>
          <w:sz w:val="22"/>
          <w:szCs w:val="22"/>
          <w:lang w:eastAsia="ar-SA"/>
        </w:rPr>
      </w:pPr>
    </w:p>
    <w:p w14:paraId="43D1DC8C" w14:textId="6506AD11" w:rsidR="006157C0" w:rsidRDefault="006157C0" w:rsidP="006157C0">
      <w:pPr>
        <w:suppressAutoHyphens/>
        <w:rPr>
          <w:rFonts w:ascii="Arial" w:hAnsi="Arial" w:cs="Arial"/>
          <w:sz w:val="22"/>
          <w:szCs w:val="22"/>
          <w:lang w:eastAsia="ar-SA"/>
        </w:rPr>
      </w:pPr>
    </w:p>
    <w:p w14:paraId="4C2A4695" w14:textId="0CE2A111" w:rsidR="006157C0" w:rsidRDefault="006157C0" w:rsidP="006157C0">
      <w:pPr>
        <w:suppressAutoHyphens/>
        <w:rPr>
          <w:rFonts w:ascii="Arial" w:hAnsi="Arial" w:cs="Arial"/>
          <w:sz w:val="22"/>
          <w:szCs w:val="22"/>
          <w:lang w:eastAsia="ar-SA"/>
        </w:rPr>
      </w:pPr>
    </w:p>
    <w:p w14:paraId="6C2B4D65" w14:textId="5444FD2C" w:rsidR="006157C0" w:rsidRDefault="006157C0" w:rsidP="006157C0">
      <w:pPr>
        <w:suppressAutoHyphens/>
        <w:rPr>
          <w:rFonts w:ascii="Arial" w:hAnsi="Arial" w:cs="Arial"/>
          <w:sz w:val="22"/>
          <w:szCs w:val="22"/>
          <w:lang w:eastAsia="ar-SA"/>
        </w:rPr>
      </w:pPr>
    </w:p>
    <w:p w14:paraId="49AB2754" w14:textId="77777777" w:rsidR="006157C0" w:rsidRDefault="006157C0" w:rsidP="006157C0">
      <w:pPr>
        <w:suppressAutoHyphens/>
        <w:rPr>
          <w:rFonts w:ascii="Arial" w:hAnsi="Arial" w:cs="Arial"/>
          <w:sz w:val="22"/>
          <w:szCs w:val="22"/>
          <w:lang w:eastAsia="ar-SA"/>
        </w:rPr>
        <w:sectPr w:rsidR="006157C0" w:rsidSect="00F70315">
          <w:pgSz w:w="11906" w:h="16838" w:code="9"/>
          <w:pgMar w:top="1276" w:right="1416" w:bottom="1134" w:left="1418" w:header="720" w:footer="720" w:gutter="0"/>
          <w:cols w:space="720"/>
          <w:docGrid w:linePitch="326"/>
        </w:sectPr>
      </w:pPr>
    </w:p>
    <w:p w14:paraId="3CD4B417" w14:textId="77777777" w:rsidR="006157C0" w:rsidRDefault="006157C0" w:rsidP="006157C0">
      <w:pPr>
        <w:numPr>
          <w:ilvl w:val="0"/>
          <w:numId w:val="6"/>
        </w:numPr>
        <w:suppressAutoHyphens/>
        <w:spacing w:after="120" w:line="276" w:lineRule="auto"/>
        <w:contextualSpacing/>
        <w:rPr>
          <w:rFonts w:ascii="Arial" w:eastAsia="Calibri" w:hAnsi="Arial" w:cs="Arial"/>
          <w:b/>
          <w:sz w:val="22"/>
          <w:szCs w:val="22"/>
          <w:u w:val="single"/>
          <w:lang w:eastAsia="ar-SA"/>
        </w:rPr>
      </w:pPr>
      <w:r>
        <w:rPr>
          <w:rFonts w:ascii="Arial" w:eastAsia="Calibri" w:hAnsi="Arial" w:cs="Arial"/>
          <w:b/>
          <w:sz w:val="22"/>
          <w:szCs w:val="22"/>
          <w:u w:val="single"/>
          <w:lang w:eastAsia="ar-SA"/>
        </w:rPr>
        <w:lastRenderedPageBreak/>
        <w:t>Upravni odjel za komunalne djelatnosti i mjesnu samoupravu</w:t>
      </w:r>
    </w:p>
    <w:p w14:paraId="470DA751" w14:textId="77777777" w:rsidR="006157C0" w:rsidRDefault="006157C0" w:rsidP="006157C0">
      <w:pPr>
        <w:suppressAutoHyphens/>
        <w:spacing w:after="120" w:line="276" w:lineRule="auto"/>
        <w:contextualSpacing/>
        <w:rPr>
          <w:rFonts w:ascii="Arial" w:eastAsia="Calibri" w:hAnsi="Arial" w:cs="Arial"/>
          <w:b/>
          <w:sz w:val="22"/>
          <w:szCs w:val="22"/>
          <w:u w:val="single"/>
          <w:lang w:eastAsia="ar-SA"/>
        </w:rPr>
      </w:pPr>
    </w:p>
    <w:tbl>
      <w:tblPr>
        <w:tblW w:w="13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67"/>
        <w:gridCol w:w="675"/>
        <w:gridCol w:w="1560"/>
        <w:gridCol w:w="1984"/>
        <w:gridCol w:w="992"/>
        <w:gridCol w:w="1985"/>
        <w:gridCol w:w="567"/>
        <w:gridCol w:w="2268"/>
        <w:gridCol w:w="6"/>
        <w:gridCol w:w="1554"/>
      </w:tblGrid>
      <w:tr w:rsidR="006157C0" w14:paraId="52E8E547" w14:textId="77777777" w:rsidTr="006157C0">
        <w:tc>
          <w:tcPr>
            <w:tcW w:w="1101" w:type="dxa"/>
            <w:tcBorders>
              <w:top w:val="single" w:sz="18" w:space="0" w:color="000000"/>
              <w:left w:val="single" w:sz="18" w:space="0" w:color="000000"/>
              <w:bottom w:val="single" w:sz="18" w:space="0" w:color="000000"/>
              <w:right w:val="single" w:sz="6" w:space="0" w:color="000000"/>
            </w:tcBorders>
            <w:shd w:val="clear" w:color="auto" w:fill="D9D9D9"/>
          </w:tcPr>
          <w:p w14:paraId="71D89F32" w14:textId="77777777" w:rsidR="006157C0" w:rsidRDefault="006157C0">
            <w:pPr>
              <w:jc w:val="center"/>
              <w:rPr>
                <w:rFonts w:ascii="Arial" w:eastAsia="Calibri" w:hAnsi="Arial" w:cs="Arial"/>
                <w:color w:val="000000"/>
                <w:sz w:val="20"/>
                <w:szCs w:val="20"/>
                <w:lang w:eastAsia="en-US"/>
              </w:rPr>
            </w:pPr>
            <w:r>
              <w:rPr>
                <w:rFonts w:ascii="Arial" w:eastAsia="Calibri" w:hAnsi="Arial" w:cs="Arial"/>
                <w:color w:val="000000"/>
                <w:sz w:val="20"/>
                <w:szCs w:val="20"/>
                <w:lang w:eastAsia="en-US"/>
              </w:rPr>
              <w:t>BROJ RADNOG MJESTA</w:t>
            </w:r>
          </w:p>
          <w:p w14:paraId="1E603A07" w14:textId="77777777" w:rsidR="006157C0" w:rsidRDefault="006157C0">
            <w:pPr>
              <w:jc w:val="center"/>
              <w:rPr>
                <w:rFonts w:ascii="Arial" w:eastAsia="Calibri" w:hAnsi="Arial" w:cs="Arial"/>
                <w:color w:val="000000"/>
                <w:sz w:val="20"/>
                <w:szCs w:val="20"/>
                <w:lang w:eastAsia="en-US"/>
              </w:rPr>
            </w:pPr>
          </w:p>
        </w:tc>
        <w:tc>
          <w:tcPr>
            <w:tcW w:w="1842" w:type="dxa"/>
            <w:gridSpan w:val="2"/>
            <w:tcBorders>
              <w:top w:val="single" w:sz="18" w:space="0" w:color="000000"/>
              <w:left w:val="single" w:sz="6" w:space="0" w:color="000000"/>
              <w:bottom w:val="single" w:sz="18" w:space="0" w:color="000000"/>
              <w:right w:val="single" w:sz="6" w:space="0" w:color="000000"/>
            </w:tcBorders>
            <w:shd w:val="clear" w:color="auto" w:fill="D9D9D9"/>
            <w:hideMark/>
          </w:tcPr>
          <w:p w14:paraId="6C9ED191" w14:textId="77777777" w:rsidR="006157C0" w:rsidRDefault="006157C0">
            <w:pPr>
              <w:jc w:val="center"/>
              <w:rPr>
                <w:rFonts w:ascii="Arial" w:eastAsia="Calibri" w:hAnsi="Arial" w:cs="Arial"/>
                <w:b/>
                <w:color w:val="000000"/>
                <w:sz w:val="20"/>
                <w:szCs w:val="20"/>
                <w:lang w:eastAsia="en-US"/>
              </w:rPr>
            </w:pPr>
            <w:r>
              <w:rPr>
                <w:rFonts w:ascii="Arial" w:eastAsia="Calibri" w:hAnsi="Arial" w:cs="Arial"/>
                <w:b/>
                <w:color w:val="000000"/>
                <w:sz w:val="20"/>
                <w:szCs w:val="20"/>
                <w:lang w:eastAsia="en-US"/>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hideMark/>
          </w:tcPr>
          <w:p w14:paraId="23DA9C44" w14:textId="77777777" w:rsidR="006157C0" w:rsidRDefault="006157C0">
            <w:pPr>
              <w:jc w:val="center"/>
              <w:rPr>
                <w:rFonts w:ascii="Arial" w:eastAsia="Calibri" w:hAnsi="Arial" w:cs="Arial"/>
                <w:color w:val="000000"/>
                <w:sz w:val="20"/>
                <w:szCs w:val="20"/>
                <w:lang w:eastAsia="en-US"/>
              </w:rPr>
            </w:pPr>
            <w:r>
              <w:rPr>
                <w:rFonts w:ascii="Arial" w:eastAsia="Calibri" w:hAnsi="Arial" w:cs="Arial"/>
                <w:color w:val="000000"/>
                <w:sz w:val="20"/>
                <w:szCs w:val="20"/>
                <w:lang w:eastAsia="en-US"/>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hideMark/>
          </w:tcPr>
          <w:p w14:paraId="14A9A875" w14:textId="77777777" w:rsidR="006157C0" w:rsidRDefault="006157C0">
            <w:pPr>
              <w:jc w:val="center"/>
              <w:rPr>
                <w:rFonts w:ascii="Arial" w:eastAsia="Calibri" w:hAnsi="Arial" w:cs="Arial"/>
                <w:color w:val="000000"/>
                <w:sz w:val="20"/>
                <w:szCs w:val="20"/>
                <w:lang w:eastAsia="en-US"/>
              </w:rPr>
            </w:pPr>
            <w:r>
              <w:rPr>
                <w:rFonts w:ascii="Arial" w:eastAsia="Calibri" w:hAnsi="Arial" w:cs="Arial"/>
                <w:color w:val="000000"/>
                <w:sz w:val="20"/>
                <w:szCs w:val="20"/>
                <w:lang w:eastAsia="en-US"/>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hideMark/>
          </w:tcPr>
          <w:p w14:paraId="4BB05C7B" w14:textId="77777777" w:rsidR="006157C0" w:rsidRDefault="006157C0">
            <w:pPr>
              <w:jc w:val="center"/>
              <w:rPr>
                <w:rFonts w:ascii="Arial" w:eastAsia="Calibri" w:hAnsi="Arial" w:cs="Arial"/>
                <w:color w:val="000000"/>
                <w:sz w:val="20"/>
                <w:szCs w:val="20"/>
                <w:lang w:eastAsia="en-US"/>
              </w:rPr>
            </w:pPr>
            <w:r>
              <w:rPr>
                <w:rFonts w:ascii="Arial" w:eastAsia="Calibri" w:hAnsi="Arial" w:cs="Arial"/>
                <w:color w:val="000000"/>
                <w:sz w:val="20"/>
                <w:szCs w:val="20"/>
                <w:lang w:eastAsia="en-US"/>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hideMark/>
          </w:tcPr>
          <w:p w14:paraId="47D8BB91" w14:textId="77777777" w:rsidR="006157C0" w:rsidRDefault="006157C0">
            <w:pPr>
              <w:jc w:val="center"/>
              <w:rPr>
                <w:rFonts w:ascii="Arial" w:eastAsia="Calibri" w:hAnsi="Arial" w:cs="Arial"/>
                <w:color w:val="000000"/>
                <w:sz w:val="20"/>
                <w:szCs w:val="20"/>
                <w:lang w:eastAsia="en-US"/>
              </w:rPr>
            </w:pPr>
            <w:r>
              <w:rPr>
                <w:rFonts w:ascii="Arial" w:eastAsia="Calibri" w:hAnsi="Arial" w:cs="Arial"/>
                <w:color w:val="000000"/>
                <w:sz w:val="20"/>
                <w:szCs w:val="20"/>
                <w:lang w:eastAsia="en-US"/>
              </w:rPr>
              <w:t>KLASIFIKACIJSKI RANG</w:t>
            </w:r>
          </w:p>
        </w:tc>
        <w:tc>
          <w:tcPr>
            <w:tcW w:w="2841" w:type="dxa"/>
            <w:gridSpan w:val="3"/>
            <w:tcBorders>
              <w:top w:val="single" w:sz="18" w:space="0" w:color="000000"/>
              <w:left w:val="single" w:sz="6" w:space="0" w:color="000000"/>
              <w:bottom w:val="single" w:sz="18" w:space="0" w:color="000000"/>
              <w:right w:val="single" w:sz="6" w:space="0" w:color="000000"/>
            </w:tcBorders>
            <w:shd w:val="clear" w:color="auto" w:fill="D9D9D9"/>
            <w:hideMark/>
          </w:tcPr>
          <w:p w14:paraId="60A07E31" w14:textId="77777777" w:rsidR="006157C0" w:rsidRDefault="006157C0">
            <w:pPr>
              <w:jc w:val="center"/>
              <w:rPr>
                <w:rFonts w:ascii="Arial" w:eastAsia="Calibri" w:hAnsi="Arial" w:cs="Arial"/>
                <w:color w:val="000000"/>
                <w:sz w:val="20"/>
                <w:szCs w:val="20"/>
                <w:lang w:eastAsia="en-US"/>
              </w:rPr>
            </w:pPr>
            <w:r>
              <w:rPr>
                <w:rFonts w:ascii="Arial" w:eastAsia="Calibri" w:hAnsi="Arial" w:cs="Arial"/>
                <w:color w:val="000000"/>
                <w:sz w:val="20"/>
                <w:szCs w:val="20"/>
                <w:lang w:eastAsia="en-US"/>
              </w:rPr>
              <w:t>NAZIV UNUTARNJE USTROJSTVENE JEDINICE</w:t>
            </w:r>
          </w:p>
        </w:tc>
        <w:tc>
          <w:tcPr>
            <w:tcW w:w="1554" w:type="dxa"/>
            <w:tcBorders>
              <w:top w:val="single" w:sz="18" w:space="0" w:color="000000"/>
              <w:left w:val="single" w:sz="6" w:space="0" w:color="000000"/>
              <w:bottom w:val="single" w:sz="18" w:space="0" w:color="000000"/>
              <w:right w:val="single" w:sz="18" w:space="0" w:color="000000"/>
            </w:tcBorders>
            <w:shd w:val="clear" w:color="auto" w:fill="D9D9D9"/>
            <w:hideMark/>
          </w:tcPr>
          <w:p w14:paraId="081619D0" w14:textId="77777777" w:rsidR="006157C0" w:rsidRDefault="006157C0">
            <w:pPr>
              <w:jc w:val="center"/>
              <w:rPr>
                <w:rFonts w:ascii="Arial" w:eastAsia="Calibri" w:hAnsi="Arial" w:cs="Arial"/>
                <w:b/>
                <w:color w:val="000000"/>
                <w:sz w:val="20"/>
                <w:szCs w:val="20"/>
                <w:lang w:eastAsia="en-US"/>
              </w:rPr>
            </w:pPr>
            <w:r>
              <w:rPr>
                <w:rFonts w:ascii="Arial" w:eastAsia="Calibri" w:hAnsi="Arial" w:cs="Arial"/>
                <w:b/>
                <w:color w:val="000000"/>
                <w:sz w:val="20"/>
                <w:szCs w:val="20"/>
                <w:lang w:eastAsia="en-US"/>
              </w:rPr>
              <w:t>BROJ IZVRŠITELJA</w:t>
            </w:r>
          </w:p>
        </w:tc>
      </w:tr>
      <w:tr w:rsidR="006157C0" w14:paraId="309EA42B" w14:textId="77777777" w:rsidTr="006157C0">
        <w:trPr>
          <w:trHeight w:val="1399"/>
        </w:trPr>
        <w:tc>
          <w:tcPr>
            <w:tcW w:w="1101" w:type="dxa"/>
            <w:tcBorders>
              <w:top w:val="single" w:sz="18" w:space="0" w:color="000000"/>
              <w:left w:val="single" w:sz="18" w:space="0" w:color="000000"/>
              <w:bottom w:val="single" w:sz="18" w:space="0" w:color="000000"/>
              <w:right w:val="single" w:sz="6" w:space="0" w:color="000000"/>
            </w:tcBorders>
            <w:shd w:val="clear" w:color="auto" w:fill="D9D9D9"/>
          </w:tcPr>
          <w:p w14:paraId="4BB0AEC8" w14:textId="77777777" w:rsidR="006157C0" w:rsidRDefault="006157C0">
            <w:pPr>
              <w:jc w:val="center"/>
              <w:rPr>
                <w:rFonts w:ascii="Arial" w:eastAsia="Calibri" w:hAnsi="Arial" w:cs="Arial"/>
                <w:sz w:val="20"/>
                <w:szCs w:val="20"/>
                <w:lang w:eastAsia="en-US"/>
              </w:rPr>
            </w:pPr>
          </w:p>
          <w:p w14:paraId="542E0E44"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11.26.</w:t>
            </w:r>
          </w:p>
          <w:p w14:paraId="05E617DB" w14:textId="77777777" w:rsidR="006157C0" w:rsidRDefault="006157C0">
            <w:pPr>
              <w:jc w:val="center"/>
              <w:rPr>
                <w:rFonts w:ascii="Arial" w:eastAsia="Calibri" w:hAnsi="Arial" w:cs="Arial"/>
                <w:sz w:val="20"/>
                <w:szCs w:val="20"/>
                <w:lang w:eastAsia="en-US"/>
              </w:rPr>
            </w:pPr>
          </w:p>
        </w:tc>
        <w:tc>
          <w:tcPr>
            <w:tcW w:w="1842"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672DD52B" w14:textId="77777777" w:rsidR="006157C0" w:rsidRDefault="006157C0">
            <w:pPr>
              <w:jc w:val="center"/>
              <w:rPr>
                <w:rFonts w:ascii="Arial" w:eastAsia="Calibri" w:hAnsi="Arial" w:cs="Arial"/>
                <w:sz w:val="20"/>
                <w:szCs w:val="20"/>
                <w:lang w:eastAsia="en-US"/>
              </w:rPr>
            </w:pPr>
          </w:p>
          <w:p w14:paraId="6457BDB1"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Referent za komunalnu naknadu i spomeničku rentu</w:t>
            </w:r>
          </w:p>
          <w:p w14:paraId="15151ECC" w14:textId="77777777" w:rsidR="006157C0" w:rsidRDefault="006157C0">
            <w:pPr>
              <w:jc w:val="center"/>
              <w:rPr>
                <w:rFonts w:ascii="Arial" w:eastAsia="Calibri" w:hAnsi="Arial" w:cs="Arial"/>
                <w:b/>
                <w:sz w:val="20"/>
                <w:szCs w:val="20"/>
                <w:lang w:eastAsia="en-US"/>
              </w:rPr>
            </w:pP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664B365F" w14:textId="77777777" w:rsidR="006157C0" w:rsidRDefault="006157C0">
            <w:pPr>
              <w:jc w:val="center"/>
              <w:rPr>
                <w:rFonts w:ascii="Arial" w:eastAsia="Calibri" w:hAnsi="Arial" w:cs="Arial"/>
                <w:sz w:val="20"/>
                <w:szCs w:val="20"/>
                <w:lang w:eastAsia="en-US"/>
              </w:rPr>
            </w:pPr>
          </w:p>
          <w:p w14:paraId="6E71D88A"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III.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208D13E8" w14:textId="77777777" w:rsidR="006157C0" w:rsidRDefault="006157C0">
            <w:pPr>
              <w:jc w:val="center"/>
              <w:rPr>
                <w:rFonts w:ascii="Arial" w:eastAsia="Calibri" w:hAnsi="Arial" w:cs="Arial"/>
                <w:sz w:val="20"/>
                <w:szCs w:val="20"/>
                <w:lang w:eastAsia="en-US"/>
              </w:rPr>
            </w:pPr>
          </w:p>
          <w:p w14:paraId="5F4162CD"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Referent</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6A78432A" w14:textId="77777777" w:rsidR="006157C0" w:rsidRDefault="006157C0">
            <w:pPr>
              <w:jc w:val="center"/>
              <w:rPr>
                <w:rFonts w:ascii="Arial" w:eastAsia="Calibri" w:hAnsi="Arial" w:cs="Arial"/>
                <w:sz w:val="20"/>
                <w:szCs w:val="20"/>
                <w:lang w:eastAsia="en-US"/>
              </w:rPr>
            </w:pPr>
          </w:p>
          <w:p w14:paraId="22B5834B"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287A9057" w14:textId="77777777" w:rsidR="006157C0" w:rsidRDefault="006157C0">
            <w:pPr>
              <w:jc w:val="center"/>
              <w:rPr>
                <w:rFonts w:ascii="Arial" w:eastAsia="Calibri" w:hAnsi="Arial" w:cs="Arial"/>
                <w:sz w:val="20"/>
                <w:szCs w:val="20"/>
                <w:lang w:eastAsia="en-US"/>
              </w:rPr>
            </w:pPr>
          </w:p>
          <w:p w14:paraId="01002703"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11.</w:t>
            </w:r>
          </w:p>
          <w:p w14:paraId="7DE5438D" w14:textId="77777777" w:rsidR="006157C0" w:rsidRDefault="006157C0">
            <w:pPr>
              <w:jc w:val="center"/>
              <w:rPr>
                <w:rFonts w:ascii="Arial" w:eastAsia="Calibri" w:hAnsi="Arial" w:cs="Arial"/>
                <w:sz w:val="20"/>
                <w:szCs w:val="20"/>
                <w:lang w:eastAsia="en-US"/>
              </w:rPr>
            </w:pPr>
          </w:p>
        </w:tc>
        <w:tc>
          <w:tcPr>
            <w:tcW w:w="2835"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5F5D7188" w14:textId="77777777" w:rsidR="006157C0" w:rsidRDefault="006157C0">
            <w:pPr>
              <w:jc w:val="center"/>
              <w:rPr>
                <w:rFonts w:ascii="Arial" w:eastAsia="Calibri" w:hAnsi="Arial" w:cs="Arial"/>
                <w:sz w:val="20"/>
                <w:szCs w:val="20"/>
                <w:lang w:eastAsia="en-US"/>
              </w:rPr>
            </w:pPr>
          </w:p>
          <w:p w14:paraId="1ED956C9"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ODJEK ZA RAZREZ I NAPLATU KOMUNALNIH PRISTOJBI</w:t>
            </w:r>
          </w:p>
        </w:tc>
        <w:tc>
          <w:tcPr>
            <w:tcW w:w="1560" w:type="dxa"/>
            <w:gridSpan w:val="2"/>
            <w:tcBorders>
              <w:top w:val="single" w:sz="18" w:space="0" w:color="000000"/>
              <w:left w:val="single" w:sz="6" w:space="0" w:color="000000"/>
              <w:bottom w:val="single" w:sz="18" w:space="0" w:color="000000"/>
              <w:right w:val="single" w:sz="18" w:space="0" w:color="000000"/>
            </w:tcBorders>
            <w:shd w:val="clear" w:color="auto" w:fill="D9D9D9"/>
          </w:tcPr>
          <w:p w14:paraId="12E31179" w14:textId="77777777" w:rsidR="006157C0" w:rsidRDefault="006157C0">
            <w:pPr>
              <w:jc w:val="center"/>
              <w:rPr>
                <w:rFonts w:ascii="Arial" w:eastAsia="Calibri" w:hAnsi="Arial" w:cs="Arial"/>
                <w:sz w:val="20"/>
                <w:szCs w:val="20"/>
                <w:lang w:eastAsia="en-US"/>
              </w:rPr>
            </w:pPr>
          </w:p>
          <w:p w14:paraId="2C220821"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5</w:t>
            </w:r>
          </w:p>
        </w:tc>
      </w:tr>
      <w:tr w:rsidR="006157C0" w14:paraId="3C32E45D" w14:textId="77777777" w:rsidTr="006157C0">
        <w:tc>
          <w:tcPr>
            <w:tcW w:w="13859" w:type="dxa"/>
            <w:gridSpan w:val="11"/>
            <w:tcBorders>
              <w:top w:val="single" w:sz="18" w:space="0" w:color="000000"/>
              <w:left w:val="single" w:sz="18" w:space="0" w:color="000000"/>
              <w:bottom w:val="single" w:sz="18" w:space="0" w:color="000000"/>
              <w:right w:val="single" w:sz="18" w:space="0" w:color="000000"/>
            </w:tcBorders>
          </w:tcPr>
          <w:p w14:paraId="510CD8B7" w14:textId="77777777" w:rsidR="006157C0" w:rsidRDefault="006157C0">
            <w:pPr>
              <w:jc w:val="center"/>
              <w:rPr>
                <w:rFonts w:ascii="Arial" w:eastAsia="Calibri" w:hAnsi="Arial" w:cs="Arial"/>
                <w:b/>
                <w:sz w:val="20"/>
                <w:szCs w:val="20"/>
                <w:lang w:eastAsia="en-US"/>
              </w:rPr>
            </w:pPr>
          </w:p>
          <w:p w14:paraId="74E2CF2D"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Opis poslova radnog mjesta</w:t>
            </w:r>
          </w:p>
        </w:tc>
      </w:tr>
      <w:tr w:rsidR="006157C0" w14:paraId="69F37D12" w14:textId="77777777" w:rsidTr="006157C0">
        <w:tc>
          <w:tcPr>
            <w:tcW w:w="10031" w:type="dxa"/>
            <w:gridSpan w:val="8"/>
            <w:tcBorders>
              <w:top w:val="single" w:sz="18" w:space="0" w:color="000000"/>
              <w:left w:val="single" w:sz="2" w:space="0" w:color="000000"/>
              <w:bottom w:val="single" w:sz="2" w:space="0" w:color="000000"/>
              <w:right w:val="single" w:sz="2" w:space="0" w:color="000000"/>
            </w:tcBorders>
          </w:tcPr>
          <w:p w14:paraId="076F96BC" w14:textId="77777777" w:rsidR="006157C0" w:rsidRDefault="006157C0">
            <w:pPr>
              <w:rPr>
                <w:rFonts w:ascii="Arial" w:eastAsia="Calibri" w:hAnsi="Arial" w:cs="Arial"/>
                <w:b/>
                <w:sz w:val="20"/>
                <w:szCs w:val="20"/>
                <w:lang w:eastAsia="en-US"/>
              </w:rPr>
            </w:pPr>
          </w:p>
          <w:p w14:paraId="5EF660B1"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Opis poslova i zadataka</w:t>
            </w:r>
          </w:p>
        </w:tc>
        <w:tc>
          <w:tcPr>
            <w:tcW w:w="3828" w:type="dxa"/>
            <w:gridSpan w:val="3"/>
            <w:tcBorders>
              <w:top w:val="single" w:sz="18" w:space="0" w:color="000000"/>
              <w:left w:val="single" w:sz="2" w:space="0" w:color="000000"/>
              <w:bottom w:val="single" w:sz="2" w:space="0" w:color="000000"/>
              <w:right w:val="single" w:sz="2" w:space="0" w:color="000000"/>
            </w:tcBorders>
            <w:hideMark/>
          </w:tcPr>
          <w:p w14:paraId="2CE8618F"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Približni postotak vremena potreban za obavljanje pojedinog posla</w:t>
            </w:r>
          </w:p>
        </w:tc>
      </w:tr>
      <w:tr w:rsidR="006157C0" w14:paraId="5E1A56AE" w14:textId="77777777" w:rsidTr="006157C0">
        <w:tc>
          <w:tcPr>
            <w:tcW w:w="10031" w:type="dxa"/>
            <w:gridSpan w:val="8"/>
            <w:tcBorders>
              <w:top w:val="single" w:sz="2" w:space="0" w:color="000000"/>
              <w:left w:val="single" w:sz="2" w:space="0" w:color="000000"/>
              <w:bottom w:val="single" w:sz="2" w:space="0" w:color="000000"/>
              <w:right w:val="single" w:sz="2" w:space="0" w:color="000000"/>
            </w:tcBorders>
            <w:hideMark/>
          </w:tcPr>
          <w:p w14:paraId="3D11F860" w14:textId="77777777" w:rsidR="006157C0" w:rsidRDefault="006157C0">
            <w:pPr>
              <w:rPr>
                <w:rFonts w:ascii="Arial" w:eastAsia="Calibri" w:hAnsi="Arial" w:cs="Arial"/>
                <w:sz w:val="20"/>
                <w:szCs w:val="20"/>
                <w:lang w:eastAsia="en-US"/>
              </w:rPr>
            </w:pPr>
            <w:r>
              <w:rPr>
                <w:rFonts w:ascii="Arial" w:eastAsia="SimSun" w:hAnsi="Arial" w:cs="Arial"/>
                <w:kern w:val="2"/>
                <w:sz w:val="20"/>
                <w:szCs w:val="20"/>
                <w:shd w:val="clear" w:color="auto" w:fill="FFFFFF"/>
                <w:lang w:eastAsia="hi-IN" w:bidi="hi-IN"/>
              </w:rPr>
              <w:t>Na terenu utvrđuje obveznike komunalne naknade i spomeničke rente i izrađuje zapisnike o izvršenim očevidima, redovito praćenje stanja prostora i objekata na terenu, te vođenje evidencije o istima.</w:t>
            </w:r>
          </w:p>
        </w:tc>
        <w:tc>
          <w:tcPr>
            <w:tcW w:w="3828" w:type="dxa"/>
            <w:gridSpan w:val="3"/>
            <w:tcBorders>
              <w:top w:val="single" w:sz="2" w:space="0" w:color="000000"/>
              <w:left w:val="single" w:sz="2" w:space="0" w:color="000000"/>
              <w:bottom w:val="single" w:sz="2" w:space="0" w:color="000000"/>
              <w:right w:val="single" w:sz="2" w:space="0" w:color="000000"/>
            </w:tcBorders>
          </w:tcPr>
          <w:p w14:paraId="757256BC" w14:textId="77777777" w:rsidR="006157C0" w:rsidRDefault="006157C0">
            <w:pPr>
              <w:jc w:val="both"/>
              <w:rPr>
                <w:rFonts w:ascii="Arial" w:eastAsia="Calibri" w:hAnsi="Arial" w:cs="Arial"/>
                <w:sz w:val="20"/>
                <w:szCs w:val="20"/>
                <w:lang w:eastAsia="en-US"/>
              </w:rPr>
            </w:pPr>
          </w:p>
          <w:p w14:paraId="3E765EA9" w14:textId="77777777" w:rsidR="006157C0" w:rsidRDefault="006157C0">
            <w:pPr>
              <w:jc w:val="both"/>
              <w:rPr>
                <w:rFonts w:ascii="Arial" w:eastAsia="Calibri" w:hAnsi="Arial" w:cs="Arial"/>
                <w:sz w:val="20"/>
                <w:szCs w:val="20"/>
                <w:lang w:eastAsia="en-US"/>
              </w:rPr>
            </w:pPr>
            <w:r>
              <w:rPr>
                <w:rFonts w:ascii="Arial" w:eastAsia="Calibri" w:hAnsi="Arial" w:cs="Arial"/>
                <w:sz w:val="20"/>
                <w:szCs w:val="20"/>
                <w:lang w:eastAsia="en-US"/>
              </w:rPr>
              <w:t>80%</w:t>
            </w:r>
          </w:p>
        </w:tc>
      </w:tr>
      <w:tr w:rsidR="006157C0" w14:paraId="61B619A7" w14:textId="77777777" w:rsidTr="006157C0">
        <w:tc>
          <w:tcPr>
            <w:tcW w:w="10031" w:type="dxa"/>
            <w:gridSpan w:val="8"/>
            <w:tcBorders>
              <w:top w:val="single" w:sz="2" w:space="0" w:color="000000"/>
              <w:left w:val="single" w:sz="2" w:space="0" w:color="000000"/>
              <w:bottom w:val="single" w:sz="2" w:space="0" w:color="000000"/>
              <w:right w:val="single" w:sz="2" w:space="0" w:color="000000"/>
            </w:tcBorders>
            <w:hideMark/>
          </w:tcPr>
          <w:p w14:paraId="337C3085" w14:textId="77777777" w:rsidR="006157C0" w:rsidRDefault="006157C0">
            <w:pPr>
              <w:rPr>
                <w:rFonts w:ascii="Arial" w:eastAsia="Calibri" w:hAnsi="Arial" w:cs="Arial"/>
                <w:sz w:val="20"/>
                <w:szCs w:val="20"/>
                <w:lang w:eastAsia="en-US"/>
              </w:rPr>
            </w:pPr>
            <w:r>
              <w:rPr>
                <w:rFonts w:ascii="Arial" w:eastAsia="Calibri" w:hAnsi="Arial" w:cs="Arial"/>
                <w:sz w:val="20"/>
                <w:szCs w:val="20"/>
                <w:lang w:eastAsia="en-US"/>
              </w:rPr>
              <w:t>Suradnja sa drugim odsjecima, kao i s drugim tijelima.</w:t>
            </w:r>
          </w:p>
        </w:tc>
        <w:tc>
          <w:tcPr>
            <w:tcW w:w="3828" w:type="dxa"/>
            <w:gridSpan w:val="3"/>
            <w:tcBorders>
              <w:top w:val="single" w:sz="2" w:space="0" w:color="000000"/>
              <w:left w:val="single" w:sz="2" w:space="0" w:color="000000"/>
              <w:bottom w:val="single" w:sz="2" w:space="0" w:color="000000"/>
              <w:right w:val="single" w:sz="2" w:space="0" w:color="000000"/>
            </w:tcBorders>
          </w:tcPr>
          <w:p w14:paraId="3E5E39F4" w14:textId="77777777" w:rsidR="006157C0" w:rsidRDefault="006157C0">
            <w:pPr>
              <w:jc w:val="both"/>
              <w:rPr>
                <w:rFonts w:ascii="Arial" w:eastAsia="Calibri" w:hAnsi="Arial" w:cs="Arial"/>
                <w:sz w:val="20"/>
                <w:szCs w:val="20"/>
                <w:lang w:eastAsia="en-US"/>
              </w:rPr>
            </w:pPr>
          </w:p>
          <w:p w14:paraId="3FE22519" w14:textId="77777777" w:rsidR="006157C0" w:rsidRDefault="006157C0">
            <w:pPr>
              <w:jc w:val="both"/>
              <w:rPr>
                <w:rFonts w:ascii="Arial" w:eastAsia="Calibri" w:hAnsi="Arial" w:cs="Arial"/>
                <w:sz w:val="20"/>
                <w:szCs w:val="20"/>
                <w:lang w:eastAsia="en-US"/>
              </w:rPr>
            </w:pPr>
            <w:r>
              <w:rPr>
                <w:rFonts w:ascii="Arial" w:eastAsia="Calibri" w:hAnsi="Arial" w:cs="Arial"/>
                <w:sz w:val="20"/>
                <w:szCs w:val="20"/>
                <w:lang w:eastAsia="en-US"/>
              </w:rPr>
              <w:t>5%</w:t>
            </w:r>
          </w:p>
        </w:tc>
      </w:tr>
      <w:tr w:rsidR="006157C0" w14:paraId="67610802" w14:textId="77777777" w:rsidTr="006157C0">
        <w:tc>
          <w:tcPr>
            <w:tcW w:w="10031" w:type="dxa"/>
            <w:gridSpan w:val="8"/>
            <w:tcBorders>
              <w:top w:val="single" w:sz="2" w:space="0" w:color="000000"/>
              <w:left w:val="single" w:sz="2" w:space="0" w:color="000000"/>
              <w:bottom w:val="single" w:sz="2" w:space="0" w:color="000000"/>
              <w:right w:val="single" w:sz="2" w:space="0" w:color="000000"/>
            </w:tcBorders>
            <w:hideMark/>
          </w:tcPr>
          <w:p w14:paraId="22031940" w14:textId="77777777" w:rsidR="006157C0" w:rsidRDefault="006157C0">
            <w:pPr>
              <w:rPr>
                <w:rFonts w:ascii="Arial" w:eastAsia="Calibri" w:hAnsi="Arial" w:cs="Arial"/>
                <w:sz w:val="20"/>
                <w:szCs w:val="20"/>
                <w:lang w:eastAsia="en-US"/>
              </w:rPr>
            </w:pPr>
            <w:r>
              <w:rPr>
                <w:rFonts w:ascii="Arial" w:eastAsia="Calibri" w:hAnsi="Arial" w:cs="Arial"/>
                <w:sz w:val="20"/>
                <w:szCs w:val="20"/>
                <w:lang w:eastAsia="en-US"/>
              </w:rPr>
              <w:t>Komunikacija sa strankama.</w:t>
            </w:r>
          </w:p>
        </w:tc>
        <w:tc>
          <w:tcPr>
            <w:tcW w:w="3828" w:type="dxa"/>
            <w:gridSpan w:val="3"/>
            <w:tcBorders>
              <w:top w:val="single" w:sz="2" w:space="0" w:color="000000"/>
              <w:left w:val="single" w:sz="2" w:space="0" w:color="000000"/>
              <w:bottom w:val="single" w:sz="2" w:space="0" w:color="000000"/>
              <w:right w:val="single" w:sz="2" w:space="0" w:color="000000"/>
            </w:tcBorders>
          </w:tcPr>
          <w:p w14:paraId="6BEC7035" w14:textId="77777777" w:rsidR="006157C0" w:rsidRDefault="006157C0">
            <w:pPr>
              <w:jc w:val="both"/>
              <w:rPr>
                <w:rFonts w:ascii="Arial" w:eastAsia="Calibri" w:hAnsi="Arial" w:cs="Arial"/>
                <w:sz w:val="20"/>
                <w:szCs w:val="20"/>
                <w:lang w:eastAsia="en-US"/>
              </w:rPr>
            </w:pPr>
          </w:p>
          <w:p w14:paraId="689997CA" w14:textId="77777777" w:rsidR="006157C0" w:rsidRDefault="006157C0">
            <w:pPr>
              <w:jc w:val="both"/>
              <w:rPr>
                <w:rFonts w:ascii="Arial" w:eastAsia="Calibri" w:hAnsi="Arial" w:cs="Arial"/>
                <w:sz w:val="20"/>
                <w:szCs w:val="20"/>
                <w:lang w:eastAsia="en-US"/>
              </w:rPr>
            </w:pPr>
            <w:r>
              <w:rPr>
                <w:rFonts w:ascii="Arial" w:eastAsia="Calibri" w:hAnsi="Arial" w:cs="Arial"/>
                <w:sz w:val="20"/>
                <w:szCs w:val="20"/>
                <w:lang w:eastAsia="en-US"/>
              </w:rPr>
              <w:t>5%</w:t>
            </w:r>
          </w:p>
        </w:tc>
      </w:tr>
      <w:tr w:rsidR="006157C0" w14:paraId="5F238E8F" w14:textId="77777777" w:rsidTr="006157C0">
        <w:tc>
          <w:tcPr>
            <w:tcW w:w="10031" w:type="dxa"/>
            <w:gridSpan w:val="8"/>
            <w:tcBorders>
              <w:top w:val="single" w:sz="2" w:space="0" w:color="000000"/>
              <w:left w:val="single" w:sz="2" w:space="0" w:color="000000"/>
              <w:bottom w:val="single" w:sz="2" w:space="0" w:color="000000"/>
              <w:right w:val="single" w:sz="2" w:space="0" w:color="000000"/>
            </w:tcBorders>
          </w:tcPr>
          <w:p w14:paraId="107D1696" w14:textId="77777777" w:rsidR="006157C0" w:rsidRDefault="006157C0">
            <w:pPr>
              <w:rPr>
                <w:rFonts w:ascii="Arial" w:eastAsia="Calibri" w:hAnsi="Arial" w:cs="Arial"/>
                <w:sz w:val="20"/>
                <w:szCs w:val="20"/>
                <w:lang w:eastAsia="en-US"/>
              </w:rPr>
            </w:pPr>
          </w:p>
          <w:p w14:paraId="29D83483" w14:textId="77777777" w:rsidR="006157C0" w:rsidRDefault="006157C0">
            <w:pPr>
              <w:rPr>
                <w:rFonts w:ascii="Arial" w:eastAsia="Calibri" w:hAnsi="Arial" w:cs="Arial"/>
                <w:sz w:val="20"/>
                <w:szCs w:val="20"/>
                <w:lang w:eastAsia="en-US"/>
              </w:rPr>
            </w:pPr>
            <w:r>
              <w:rPr>
                <w:rFonts w:ascii="Arial" w:eastAsia="Calibri" w:hAnsi="Arial" w:cs="Arial"/>
                <w:sz w:val="20"/>
                <w:szCs w:val="20"/>
                <w:lang w:eastAsia="en-US"/>
              </w:rPr>
              <w:t>Drugi poslovi po nalogu voditelja odsjeka i pročelnika.</w:t>
            </w:r>
          </w:p>
        </w:tc>
        <w:tc>
          <w:tcPr>
            <w:tcW w:w="3828" w:type="dxa"/>
            <w:gridSpan w:val="3"/>
            <w:tcBorders>
              <w:top w:val="single" w:sz="2" w:space="0" w:color="000000"/>
              <w:left w:val="single" w:sz="2" w:space="0" w:color="000000"/>
              <w:bottom w:val="single" w:sz="2" w:space="0" w:color="000000"/>
              <w:right w:val="single" w:sz="2" w:space="0" w:color="000000"/>
            </w:tcBorders>
          </w:tcPr>
          <w:p w14:paraId="66634C05" w14:textId="77777777" w:rsidR="006157C0" w:rsidRDefault="006157C0">
            <w:pPr>
              <w:jc w:val="both"/>
              <w:rPr>
                <w:rFonts w:ascii="Arial" w:eastAsia="Calibri" w:hAnsi="Arial" w:cs="Arial"/>
                <w:sz w:val="20"/>
                <w:szCs w:val="20"/>
                <w:lang w:eastAsia="en-US"/>
              </w:rPr>
            </w:pPr>
          </w:p>
          <w:p w14:paraId="0A685222" w14:textId="77777777" w:rsidR="006157C0" w:rsidRDefault="006157C0">
            <w:pPr>
              <w:jc w:val="both"/>
              <w:rPr>
                <w:rFonts w:ascii="Arial" w:eastAsia="Calibri" w:hAnsi="Arial" w:cs="Arial"/>
                <w:sz w:val="20"/>
                <w:szCs w:val="20"/>
                <w:lang w:eastAsia="en-US"/>
              </w:rPr>
            </w:pPr>
            <w:r>
              <w:rPr>
                <w:rFonts w:ascii="Arial" w:eastAsia="Calibri" w:hAnsi="Arial" w:cs="Arial"/>
                <w:sz w:val="20"/>
                <w:szCs w:val="20"/>
                <w:lang w:eastAsia="en-US"/>
              </w:rPr>
              <w:t>10%</w:t>
            </w:r>
          </w:p>
        </w:tc>
      </w:tr>
      <w:tr w:rsidR="006157C0" w14:paraId="2CBE6513" w14:textId="77777777" w:rsidTr="006157C0">
        <w:tc>
          <w:tcPr>
            <w:tcW w:w="13859" w:type="dxa"/>
            <w:gridSpan w:val="11"/>
            <w:tcBorders>
              <w:top w:val="single" w:sz="18" w:space="0" w:color="000000"/>
              <w:left w:val="single" w:sz="18" w:space="0" w:color="000000"/>
              <w:bottom w:val="single" w:sz="18" w:space="0" w:color="000000"/>
              <w:right w:val="single" w:sz="18" w:space="0" w:color="000000"/>
            </w:tcBorders>
          </w:tcPr>
          <w:p w14:paraId="7220E43B" w14:textId="77777777" w:rsidR="006157C0" w:rsidRDefault="006157C0">
            <w:pPr>
              <w:jc w:val="center"/>
              <w:rPr>
                <w:rFonts w:ascii="Arial" w:eastAsia="Calibri" w:hAnsi="Arial" w:cs="Arial"/>
                <w:b/>
                <w:sz w:val="20"/>
                <w:szCs w:val="20"/>
                <w:lang w:eastAsia="en-US"/>
              </w:rPr>
            </w:pPr>
          </w:p>
          <w:p w14:paraId="72E094EE"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Opis razine standardnih mjerila za klasifikaciju radnih mjesta</w:t>
            </w:r>
          </w:p>
        </w:tc>
      </w:tr>
      <w:tr w:rsidR="006157C0" w14:paraId="57F8A3BB" w14:textId="77777777" w:rsidTr="006157C0">
        <w:trPr>
          <w:trHeight w:val="528"/>
        </w:trPr>
        <w:tc>
          <w:tcPr>
            <w:tcW w:w="2268" w:type="dxa"/>
            <w:gridSpan w:val="2"/>
            <w:tcBorders>
              <w:top w:val="single" w:sz="18" w:space="0" w:color="000000"/>
              <w:left w:val="single" w:sz="4" w:space="0" w:color="000000"/>
              <w:bottom w:val="single" w:sz="4" w:space="0" w:color="auto"/>
              <w:right w:val="single" w:sz="4" w:space="0" w:color="000000"/>
            </w:tcBorders>
          </w:tcPr>
          <w:p w14:paraId="1F385210"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Potrebno stručno znanje:</w:t>
            </w:r>
          </w:p>
          <w:p w14:paraId="4EB0E037" w14:textId="77777777" w:rsidR="006157C0" w:rsidRDefault="006157C0">
            <w:pPr>
              <w:rPr>
                <w:rFonts w:ascii="Arial" w:eastAsia="Calibri" w:hAnsi="Arial" w:cs="Arial"/>
                <w:b/>
                <w:sz w:val="20"/>
                <w:szCs w:val="20"/>
                <w:lang w:eastAsia="en-US"/>
              </w:rPr>
            </w:pPr>
          </w:p>
        </w:tc>
        <w:tc>
          <w:tcPr>
            <w:tcW w:w="11591" w:type="dxa"/>
            <w:gridSpan w:val="9"/>
            <w:tcBorders>
              <w:top w:val="single" w:sz="18" w:space="0" w:color="000000"/>
              <w:left w:val="single" w:sz="4" w:space="0" w:color="000000"/>
              <w:bottom w:val="single" w:sz="4" w:space="0" w:color="auto"/>
              <w:right w:val="single" w:sz="4" w:space="0" w:color="000000"/>
            </w:tcBorders>
          </w:tcPr>
          <w:p w14:paraId="729684DB" w14:textId="77777777" w:rsidR="006157C0" w:rsidRDefault="006157C0">
            <w:pPr>
              <w:rPr>
                <w:rFonts w:ascii="Arial" w:eastAsia="Calibri" w:hAnsi="Arial" w:cs="Arial"/>
                <w:sz w:val="20"/>
                <w:szCs w:val="20"/>
                <w:lang w:eastAsia="en-US"/>
              </w:rPr>
            </w:pPr>
            <w:r>
              <w:rPr>
                <w:rFonts w:ascii="Arial" w:eastAsia="Calibri" w:hAnsi="Arial" w:cs="Arial"/>
                <w:sz w:val="20"/>
                <w:szCs w:val="20"/>
                <w:lang w:eastAsia="en-US"/>
              </w:rPr>
              <w:t>Srednja stručna sprema pravne, ekonomske, trgovačke ili tehničke spreme, ili gimnazija, najmanje jedna godina radnog iskustva na odgovarajućim poslovima, položen državni stručni ispit, poznavanje jednog svjetskog jezika, poznavanje rada na računalu.</w:t>
            </w:r>
          </w:p>
          <w:p w14:paraId="1373AE76" w14:textId="77777777" w:rsidR="006157C0" w:rsidRDefault="006157C0">
            <w:pPr>
              <w:rPr>
                <w:rFonts w:ascii="Arial" w:eastAsia="Calibri" w:hAnsi="Arial" w:cs="Arial"/>
                <w:sz w:val="20"/>
                <w:szCs w:val="20"/>
                <w:lang w:eastAsia="en-US"/>
              </w:rPr>
            </w:pPr>
          </w:p>
        </w:tc>
      </w:tr>
      <w:tr w:rsidR="006157C0" w14:paraId="6AE49436" w14:textId="77777777" w:rsidTr="006157C0">
        <w:tc>
          <w:tcPr>
            <w:tcW w:w="2268" w:type="dxa"/>
            <w:gridSpan w:val="2"/>
            <w:tcBorders>
              <w:top w:val="single" w:sz="4" w:space="0" w:color="000000"/>
              <w:left w:val="single" w:sz="4" w:space="0" w:color="000000"/>
              <w:bottom w:val="single" w:sz="4" w:space="0" w:color="auto"/>
              <w:right w:val="single" w:sz="4" w:space="0" w:color="000000"/>
            </w:tcBorders>
            <w:hideMark/>
          </w:tcPr>
          <w:p w14:paraId="78AE25FB"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Stupanj složenosti poslova:</w:t>
            </w:r>
          </w:p>
        </w:tc>
        <w:tc>
          <w:tcPr>
            <w:tcW w:w="11591" w:type="dxa"/>
            <w:gridSpan w:val="9"/>
            <w:tcBorders>
              <w:top w:val="single" w:sz="4" w:space="0" w:color="000000"/>
              <w:left w:val="single" w:sz="4" w:space="0" w:color="000000"/>
              <w:bottom w:val="single" w:sz="4" w:space="0" w:color="auto"/>
              <w:right w:val="single" w:sz="4" w:space="0" w:color="000000"/>
            </w:tcBorders>
            <w:hideMark/>
          </w:tcPr>
          <w:p w14:paraId="4BF40159" w14:textId="77777777" w:rsidR="006157C0" w:rsidRDefault="006157C0">
            <w:pPr>
              <w:rPr>
                <w:rFonts w:ascii="Arial" w:eastAsia="Calibri" w:hAnsi="Arial" w:cs="Arial"/>
                <w:sz w:val="20"/>
                <w:szCs w:val="20"/>
                <w:lang w:eastAsia="en-US"/>
              </w:rPr>
            </w:pPr>
            <w:r>
              <w:rPr>
                <w:rFonts w:ascii="Arial" w:eastAsia="Calibri" w:hAnsi="Arial" w:cs="Arial"/>
                <w:sz w:val="20"/>
                <w:szCs w:val="20"/>
                <w:lang w:eastAsia="en-US"/>
              </w:rPr>
              <w:t>Jednostavni i uglavnom rutinski poslovi koji zahtijevaju primjenu precizno utvrđenih postupaka, metoda rada i stručnih tehnika.</w:t>
            </w:r>
          </w:p>
        </w:tc>
      </w:tr>
      <w:tr w:rsidR="006157C0" w14:paraId="1C37D086" w14:textId="77777777" w:rsidTr="006157C0">
        <w:tc>
          <w:tcPr>
            <w:tcW w:w="2268" w:type="dxa"/>
            <w:gridSpan w:val="2"/>
            <w:tcBorders>
              <w:top w:val="single" w:sz="4" w:space="0" w:color="000000"/>
              <w:left w:val="single" w:sz="4" w:space="0" w:color="000000"/>
              <w:bottom w:val="single" w:sz="4" w:space="0" w:color="auto"/>
              <w:right w:val="single" w:sz="4" w:space="0" w:color="000000"/>
            </w:tcBorders>
            <w:hideMark/>
          </w:tcPr>
          <w:p w14:paraId="5E16D680"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Stupanj samostalnosti:</w:t>
            </w:r>
          </w:p>
        </w:tc>
        <w:tc>
          <w:tcPr>
            <w:tcW w:w="11591" w:type="dxa"/>
            <w:gridSpan w:val="9"/>
            <w:tcBorders>
              <w:top w:val="single" w:sz="4" w:space="0" w:color="000000"/>
              <w:left w:val="single" w:sz="4" w:space="0" w:color="000000"/>
              <w:bottom w:val="single" w:sz="4" w:space="0" w:color="auto"/>
              <w:right w:val="single" w:sz="4" w:space="0" w:color="000000"/>
            </w:tcBorders>
            <w:hideMark/>
          </w:tcPr>
          <w:p w14:paraId="2D2FC225" w14:textId="77777777" w:rsidR="006157C0" w:rsidRDefault="006157C0">
            <w:pPr>
              <w:rPr>
                <w:rFonts w:ascii="Arial" w:eastAsia="Calibri" w:hAnsi="Arial" w:cs="Arial"/>
                <w:sz w:val="20"/>
                <w:szCs w:val="20"/>
                <w:lang w:eastAsia="en-US"/>
              </w:rPr>
            </w:pPr>
            <w:r>
              <w:rPr>
                <w:rFonts w:ascii="Arial" w:eastAsia="Calibri" w:hAnsi="Arial" w:cs="Arial"/>
                <w:sz w:val="20"/>
                <w:szCs w:val="20"/>
                <w:lang w:eastAsia="en-US"/>
              </w:rPr>
              <w:t>Poslovi se obavljaju uz stalni nadzor i upute nadređenog službenika.</w:t>
            </w:r>
          </w:p>
        </w:tc>
      </w:tr>
      <w:tr w:rsidR="006157C0" w14:paraId="6853200F" w14:textId="77777777" w:rsidTr="006157C0">
        <w:tc>
          <w:tcPr>
            <w:tcW w:w="2268" w:type="dxa"/>
            <w:gridSpan w:val="2"/>
            <w:tcBorders>
              <w:top w:val="single" w:sz="4" w:space="0" w:color="000000"/>
              <w:left w:val="single" w:sz="4" w:space="0" w:color="000000"/>
              <w:bottom w:val="single" w:sz="4" w:space="0" w:color="auto"/>
              <w:right w:val="single" w:sz="4" w:space="0" w:color="000000"/>
            </w:tcBorders>
            <w:hideMark/>
          </w:tcPr>
          <w:p w14:paraId="2447584F"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Stupanj odgovornosti:</w:t>
            </w:r>
          </w:p>
        </w:tc>
        <w:tc>
          <w:tcPr>
            <w:tcW w:w="11591" w:type="dxa"/>
            <w:gridSpan w:val="9"/>
            <w:tcBorders>
              <w:top w:val="single" w:sz="4" w:space="0" w:color="000000"/>
              <w:left w:val="single" w:sz="4" w:space="0" w:color="000000"/>
              <w:bottom w:val="single" w:sz="4" w:space="0" w:color="auto"/>
              <w:right w:val="single" w:sz="4" w:space="0" w:color="000000"/>
            </w:tcBorders>
            <w:hideMark/>
          </w:tcPr>
          <w:p w14:paraId="601387F1" w14:textId="77777777" w:rsidR="006157C0" w:rsidRDefault="006157C0">
            <w:pPr>
              <w:jc w:val="both"/>
              <w:rPr>
                <w:rFonts w:ascii="Arial" w:eastAsia="Calibri" w:hAnsi="Arial" w:cs="Arial"/>
                <w:sz w:val="20"/>
                <w:szCs w:val="20"/>
                <w:lang w:eastAsia="en-US"/>
              </w:rPr>
            </w:pPr>
            <w:r>
              <w:rPr>
                <w:rFonts w:ascii="Arial" w:eastAsia="Calibri" w:hAnsi="Arial" w:cs="Arial"/>
                <w:sz w:val="20"/>
                <w:szCs w:val="20"/>
                <w:lang w:eastAsia="en-US"/>
              </w:rPr>
              <w:t xml:space="preserve">Stupanj odgovornosti uključuje odgovornost za materijalne resurse s kojima službenik radi uz pravilnu primjenu izričito propisanih postupaka, metoda rada i stručnih tehnika. </w:t>
            </w:r>
          </w:p>
        </w:tc>
      </w:tr>
      <w:tr w:rsidR="006157C0" w14:paraId="515CA476" w14:textId="77777777" w:rsidTr="006157C0">
        <w:tc>
          <w:tcPr>
            <w:tcW w:w="2268" w:type="dxa"/>
            <w:gridSpan w:val="2"/>
            <w:tcBorders>
              <w:top w:val="single" w:sz="4" w:space="0" w:color="000000"/>
              <w:left w:val="single" w:sz="4" w:space="0" w:color="000000"/>
              <w:bottom w:val="single" w:sz="4" w:space="0" w:color="auto"/>
              <w:right w:val="single" w:sz="4" w:space="0" w:color="000000"/>
            </w:tcBorders>
            <w:hideMark/>
          </w:tcPr>
          <w:p w14:paraId="5801D4C9"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 xml:space="preserve">Stupanj učestalosti stručnih komunikacija: </w:t>
            </w:r>
          </w:p>
        </w:tc>
        <w:tc>
          <w:tcPr>
            <w:tcW w:w="11591" w:type="dxa"/>
            <w:gridSpan w:val="9"/>
            <w:tcBorders>
              <w:top w:val="single" w:sz="4" w:space="0" w:color="000000"/>
              <w:left w:val="single" w:sz="4" w:space="0" w:color="000000"/>
              <w:bottom w:val="single" w:sz="4" w:space="0" w:color="auto"/>
              <w:right w:val="single" w:sz="4" w:space="0" w:color="000000"/>
            </w:tcBorders>
          </w:tcPr>
          <w:p w14:paraId="594D0E17" w14:textId="77777777" w:rsidR="006157C0" w:rsidRDefault="006157C0">
            <w:pPr>
              <w:jc w:val="both"/>
              <w:rPr>
                <w:rFonts w:ascii="Arial" w:eastAsia="Calibri" w:hAnsi="Arial" w:cs="Arial"/>
                <w:sz w:val="20"/>
                <w:szCs w:val="20"/>
                <w:lang w:eastAsia="en-US"/>
              </w:rPr>
            </w:pPr>
            <w:r>
              <w:rPr>
                <w:rFonts w:ascii="Arial" w:eastAsia="Calibri" w:hAnsi="Arial" w:cs="Arial"/>
                <w:sz w:val="20"/>
                <w:szCs w:val="20"/>
                <w:lang w:eastAsia="en-US"/>
              </w:rPr>
              <w:t>Stupanj stručne komunikacije uključuje kontakte unutar nižih unutarnjih ustrojstvenih jedinica upravnog tijela.</w:t>
            </w:r>
          </w:p>
          <w:p w14:paraId="7C2277D8" w14:textId="77777777" w:rsidR="006157C0" w:rsidRDefault="006157C0">
            <w:pPr>
              <w:rPr>
                <w:rFonts w:ascii="Arial" w:eastAsia="Calibri" w:hAnsi="Arial" w:cs="Arial"/>
                <w:sz w:val="20"/>
                <w:szCs w:val="20"/>
                <w:lang w:eastAsia="en-US"/>
              </w:rPr>
            </w:pPr>
          </w:p>
        </w:tc>
      </w:tr>
    </w:tbl>
    <w:p w14:paraId="6A1E1A9B" w14:textId="77777777" w:rsidR="006157C0" w:rsidRDefault="006157C0" w:rsidP="006157C0">
      <w:pPr>
        <w:numPr>
          <w:ilvl w:val="0"/>
          <w:numId w:val="6"/>
        </w:numPr>
        <w:suppressAutoHyphens/>
        <w:spacing w:after="120" w:line="276" w:lineRule="auto"/>
        <w:contextualSpacing/>
        <w:rPr>
          <w:rFonts w:ascii="Arial" w:eastAsia="Calibri" w:hAnsi="Arial" w:cs="Arial"/>
          <w:b/>
          <w:sz w:val="22"/>
          <w:szCs w:val="22"/>
          <w:u w:val="single"/>
          <w:lang w:eastAsia="ar-SA"/>
        </w:rPr>
      </w:pPr>
      <w:r>
        <w:rPr>
          <w:rFonts w:ascii="Arial" w:eastAsia="Calibri" w:hAnsi="Arial" w:cs="Arial"/>
          <w:b/>
          <w:sz w:val="22"/>
          <w:szCs w:val="22"/>
          <w:u w:val="single"/>
          <w:lang w:eastAsia="ar-SA"/>
        </w:rPr>
        <w:lastRenderedPageBreak/>
        <w:t>Upravni odjel za promet</w:t>
      </w:r>
    </w:p>
    <w:p w14:paraId="1FEFA10D" w14:textId="77777777" w:rsidR="006157C0" w:rsidRDefault="006157C0" w:rsidP="006157C0">
      <w:pPr>
        <w:suppressAutoHyphens/>
        <w:spacing w:after="120" w:line="276" w:lineRule="auto"/>
        <w:ind w:left="720"/>
        <w:contextualSpacing/>
        <w:rPr>
          <w:rFonts w:ascii="Arial" w:eastAsia="Calibri" w:hAnsi="Arial" w:cs="Arial"/>
          <w:b/>
          <w:sz w:val="22"/>
          <w:szCs w:val="22"/>
          <w:u w:val="single"/>
          <w:lang w:eastAsia="ar-SA"/>
        </w:rPr>
      </w:pPr>
    </w:p>
    <w:tbl>
      <w:tblPr>
        <w:tblW w:w="138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1069"/>
        <w:gridCol w:w="1383"/>
        <w:gridCol w:w="1483"/>
        <w:gridCol w:w="1895"/>
        <w:gridCol w:w="950"/>
        <w:gridCol w:w="1850"/>
        <w:gridCol w:w="593"/>
        <w:gridCol w:w="1997"/>
        <w:gridCol w:w="1494"/>
      </w:tblGrid>
      <w:tr w:rsidR="006157C0" w14:paraId="0A0F9D86" w14:textId="77777777" w:rsidTr="006157C0">
        <w:tc>
          <w:tcPr>
            <w:tcW w:w="1179" w:type="dxa"/>
            <w:tcBorders>
              <w:top w:val="single" w:sz="18" w:space="0" w:color="000000"/>
              <w:left w:val="single" w:sz="18" w:space="0" w:color="000000"/>
              <w:bottom w:val="single" w:sz="18" w:space="0" w:color="000000"/>
              <w:right w:val="single" w:sz="6" w:space="0" w:color="000000"/>
            </w:tcBorders>
            <w:shd w:val="clear" w:color="auto" w:fill="D9D9D9"/>
          </w:tcPr>
          <w:p w14:paraId="4702230C"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BROJ RADNOG MJESTA</w:t>
            </w:r>
          </w:p>
          <w:p w14:paraId="38076D75" w14:textId="77777777" w:rsidR="006157C0" w:rsidRDefault="006157C0">
            <w:pPr>
              <w:jc w:val="center"/>
              <w:rPr>
                <w:rFonts w:ascii="Arial" w:eastAsia="Calibri" w:hAnsi="Arial" w:cs="Arial"/>
                <w:sz w:val="20"/>
                <w:szCs w:val="20"/>
                <w:lang w:eastAsia="en-US"/>
              </w:rPr>
            </w:pPr>
          </w:p>
        </w:tc>
        <w:tc>
          <w:tcPr>
            <w:tcW w:w="2452" w:type="dxa"/>
            <w:gridSpan w:val="2"/>
            <w:tcBorders>
              <w:top w:val="single" w:sz="18" w:space="0" w:color="000000"/>
              <w:left w:val="single" w:sz="6" w:space="0" w:color="000000"/>
              <w:bottom w:val="single" w:sz="18" w:space="0" w:color="000000"/>
              <w:right w:val="single" w:sz="6" w:space="0" w:color="000000"/>
            </w:tcBorders>
            <w:shd w:val="clear" w:color="auto" w:fill="D9D9D9"/>
            <w:hideMark/>
          </w:tcPr>
          <w:p w14:paraId="0FFF0324"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NAZIV RADNOG MJESTA</w:t>
            </w:r>
          </w:p>
        </w:tc>
        <w:tc>
          <w:tcPr>
            <w:tcW w:w="1483" w:type="dxa"/>
            <w:tcBorders>
              <w:top w:val="single" w:sz="18" w:space="0" w:color="000000"/>
              <w:left w:val="single" w:sz="6" w:space="0" w:color="000000"/>
              <w:bottom w:val="single" w:sz="18" w:space="0" w:color="000000"/>
              <w:right w:val="single" w:sz="6" w:space="0" w:color="000000"/>
            </w:tcBorders>
            <w:shd w:val="clear" w:color="auto" w:fill="D9D9D9"/>
            <w:hideMark/>
          </w:tcPr>
          <w:p w14:paraId="45282331"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KATEGORIJA</w:t>
            </w:r>
          </w:p>
        </w:tc>
        <w:tc>
          <w:tcPr>
            <w:tcW w:w="1895" w:type="dxa"/>
            <w:tcBorders>
              <w:top w:val="single" w:sz="18" w:space="0" w:color="000000"/>
              <w:left w:val="single" w:sz="6" w:space="0" w:color="000000"/>
              <w:bottom w:val="single" w:sz="18" w:space="0" w:color="000000"/>
              <w:right w:val="single" w:sz="6" w:space="0" w:color="000000"/>
            </w:tcBorders>
            <w:shd w:val="clear" w:color="auto" w:fill="D9D9D9"/>
            <w:hideMark/>
          </w:tcPr>
          <w:p w14:paraId="2FDAE199"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POTKATEGORIJA</w:t>
            </w:r>
          </w:p>
        </w:tc>
        <w:tc>
          <w:tcPr>
            <w:tcW w:w="950" w:type="dxa"/>
            <w:tcBorders>
              <w:top w:val="single" w:sz="18" w:space="0" w:color="000000"/>
              <w:left w:val="single" w:sz="6" w:space="0" w:color="000000"/>
              <w:bottom w:val="single" w:sz="18" w:space="0" w:color="000000"/>
              <w:right w:val="single" w:sz="6" w:space="0" w:color="000000"/>
            </w:tcBorders>
            <w:shd w:val="clear" w:color="auto" w:fill="D9D9D9"/>
            <w:hideMark/>
          </w:tcPr>
          <w:p w14:paraId="7B0D7967"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RAZINA</w:t>
            </w:r>
          </w:p>
        </w:tc>
        <w:tc>
          <w:tcPr>
            <w:tcW w:w="1850" w:type="dxa"/>
            <w:tcBorders>
              <w:top w:val="single" w:sz="18" w:space="0" w:color="000000"/>
              <w:left w:val="single" w:sz="6" w:space="0" w:color="000000"/>
              <w:bottom w:val="single" w:sz="18" w:space="0" w:color="000000"/>
              <w:right w:val="single" w:sz="6" w:space="0" w:color="000000"/>
            </w:tcBorders>
            <w:shd w:val="clear" w:color="auto" w:fill="D9D9D9"/>
            <w:hideMark/>
          </w:tcPr>
          <w:p w14:paraId="4EF767EB"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KLASIFIKACIJSKI RANG</w:t>
            </w:r>
          </w:p>
        </w:tc>
        <w:tc>
          <w:tcPr>
            <w:tcW w:w="2590" w:type="dxa"/>
            <w:gridSpan w:val="2"/>
            <w:tcBorders>
              <w:top w:val="single" w:sz="18" w:space="0" w:color="000000"/>
              <w:left w:val="single" w:sz="6" w:space="0" w:color="000000"/>
              <w:bottom w:val="single" w:sz="18" w:space="0" w:color="000000"/>
              <w:right w:val="single" w:sz="6" w:space="0" w:color="000000"/>
            </w:tcBorders>
            <w:shd w:val="clear" w:color="auto" w:fill="D9D9D9"/>
            <w:hideMark/>
          </w:tcPr>
          <w:p w14:paraId="045A73D2"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NAZIV UNUTARNJE USTROJSTVENE JEDINICE</w:t>
            </w:r>
          </w:p>
        </w:tc>
        <w:tc>
          <w:tcPr>
            <w:tcW w:w="1494" w:type="dxa"/>
            <w:tcBorders>
              <w:top w:val="single" w:sz="18" w:space="0" w:color="000000"/>
              <w:left w:val="single" w:sz="6" w:space="0" w:color="000000"/>
              <w:bottom w:val="single" w:sz="18" w:space="0" w:color="000000"/>
              <w:right w:val="single" w:sz="18" w:space="0" w:color="000000"/>
            </w:tcBorders>
            <w:shd w:val="clear" w:color="auto" w:fill="D9D9D9"/>
            <w:hideMark/>
          </w:tcPr>
          <w:p w14:paraId="1D1A03C7"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BROJ IZVRŠITELJA</w:t>
            </w:r>
          </w:p>
        </w:tc>
      </w:tr>
      <w:tr w:rsidR="006157C0" w14:paraId="3C204A22" w14:textId="77777777" w:rsidTr="006157C0">
        <w:tc>
          <w:tcPr>
            <w:tcW w:w="1179" w:type="dxa"/>
            <w:tcBorders>
              <w:top w:val="single" w:sz="18" w:space="0" w:color="000000"/>
              <w:left w:val="single" w:sz="18" w:space="0" w:color="000000"/>
              <w:bottom w:val="single" w:sz="18" w:space="0" w:color="000000"/>
              <w:right w:val="single" w:sz="6" w:space="0" w:color="000000"/>
            </w:tcBorders>
            <w:shd w:val="clear" w:color="auto" w:fill="D9D9D9"/>
          </w:tcPr>
          <w:p w14:paraId="141AC1F3" w14:textId="77777777" w:rsidR="006157C0" w:rsidRDefault="006157C0">
            <w:pPr>
              <w:jc w:val="center"/>
              <w:rPr>
                <w:rFonts w:ascii="Arial" w:eastAsia="Calibri" w:hAnsi="Arial" w:cs="Arial"/>
                <w:sz w:val="20"/>
                <w:szCs w:val="20"/>
                <w:lang w:eastAsia="en-US"/>
              </w:rPr>
            </w:pPr>
          </w:p>
          <w:p w14:paraId="618F3774"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6.17.</w:t>
            </w:r>
          </w:p>
          <w:p w14:paraId="4E4F557A" w14:textId="77777777" w:rsidR="006157C0" w:rsidRDefault="006157C0">
            <w:pPr>
              <w:rPr>
                <w:rFonts w:ascii="Arial" w:eastAsia="Calibri" w:hAnsi="Arial" w:cs="Arial"/>
                <w:sz w:val="20"/>
                <w:szCs w:val="20"/>
                <w:lang w:eastAsia="en-US"/>
              </w:rPr>
            </w:pPr>
          </w:p>
        </w:tc>
        <w:tc>
          <w:tcPr>
            <w:tcW w:w="2452"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548EF838" w14:textId="77777777" w:rsidR="006157C0" w:rsidRDefault="006157C0">
            <w:pPr>
              <w:jc w:val="center"/>
              <w:rPr>
                <w:rFonts w:ascii="Arial" w:eastAsia="Calibri" w:hAnsi="Arial" w:cs="Arial"/>
                <w:b/>
                <w:sz w:val="20"/>
                <w:szCs w:val="20"/>
                <w:lang w:eastAsia="en-US"/>
              </w:rPr>
            </w:pPr>
          </w:p>
          <w:p w14:paraId="0BD56074"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Referent – administrativni referent</w:t>
            </w:r>
          </w:p>
        </w:tc>
        <w:tc>
          <w:tcPr>
            <w:tcW w:w="1483" w:type="dxa"/>
            <w:tcBorders>
              <w:top w:val="single" w:sz="18" w:space="0" w:color="000000"/>
              <w:left w:val="single" w:sz="6" w:space="0" w:color="000000"/>
              <w:bottom w:val="single" w:sz="18" w:space="0" w:color="000000"/>
              <w:right w:val="single" w:sz="6" w:space="0" w:color="000000"/>
            </w:tcBorders>
            <w:shd w:val="clear" w:color="auto" w:fill="D9D9D9"/>
          </w:tcPr>
          <w:p w14:paraId="13E1E908" w14:textId="77777777" w:rsidR="006157C0" w:rsidRDefault="006157C0">
            <w:pPr>
              <w:jc w:val="center"/>
              <w:rPr>
                <w:rFonts w:ascii="Arial" w:eastAsia="Calibri" w:hAnsi="Arial" w:cs="Arial"/>
                <w:sz w:val="20"/>
                <w:szCs w:val="20"/>
                <w:lang w:eastAsia="en-US"/>
              </w:rPr>
            </w:pPr>
          </w:p>
          <w:p w14:paraId="5CB595CC"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III.</w:t>
            </w:r>
          </w:p>
        </w:tc>
        <w:tc>
          <w:tcPr>
            <w:tcW w:w="1895" w:type="dxa"/>
            <w:tcBorders>
              <w:top w:val="single" w:sz="18" w:space="0" w:color="000000"/>
              <w:left w:val="single" w:sz="6" w:space="0" w:color="000000"/>
              <w:bottom w:val="single" w:sz="18" w:space="0" w:color="000000"/>
              <w:right w:val="single" w:sz="6" w:space="0" w:color="000000"/>
            </w:tcBorders>
            <w:shd w:val="clear" w:color="auto" w:fill="D9D9D9"/>
          </w:tcPr>
          <w:p w14:paraId="3D408E4C" w14:textId="77777777" w:rsidR="006157C0" w:rsidRDefault="006157C0">
            <w:pPr>
              <w:jc w:val="center"/>
              <w:rPr>
                <w:rFonts w:ascii="Arial" w:eastAsia="Calibri" w:hAnsi="Arial" w:cs="Arial"/>
                <w:sz w:val="20"/>
                <w:szCs w:val="20"/>
                <w:lang w:eastAsia="en-US"/>
              </w:rPr>
            </w:pPr>
          </w:p>
          <w:p w14:paraId="709FD59E"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Referent</w:t>
            </w:r>
          </w:p>
        </w:tc>
        <w:tc>
          <w:tcPr>
            <w:tcW w:w="950" w:type="dxa"/>
            <w:tcBorders>
              <w:top w:val="single" w:sz="18" w:space="0" w:color="000000"/>
              <w:left w:val="single" w:sz="6" w:space="0" w:color="000000"/>
              <w:bottom w:val="single" w:sz="18" w:space="0" w:color="000000"/>
              <w:right w:val="single" w:sz="6" w:space="0" w:color="000000"/>
            </w:tcBorders>
            <w:shd w:val="clear" w:color="auto" w:fill="D9D9D9"/>
          </w:tcPr>
          <w:p w14:paraId="3ED310B3" w14:textId="77777777" w:rsidR="006157C0" w:rsidRDefault="006157C0">
            <w:pPr>
              <w:jc w:val="center"/>
              <w:rPr>
                <w:rFonts w:ascii="Arial" w:eastAsia="Calibri" w:hAnsi="Arial" w:cs="Arial"/>
                <w:sz w:val="20"/>
                <w:szCs w:val="20"/>
                <w:lang w:eastAsia="en-US"/>
              </w:rPr>
            </w:pPr>
          </w:p>
          <w:p w14:paraId="42347812"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1850" w:type="dxa"/>
            <w:tcBorders>
              <w:top w:val="single" w:sz="18" w:space="0" w:color="000000"/>
              <w:left w:val="single" w:sz="6" w:space="0" w:color="000000"/>
              <w:bottom w:val="single" w:sz="18" w:space="0" w:color="000000"/>
              <w:right w:val="single" w:sz="6" w:space="0" w:color="000000"/>
            </w:tcBorders>
            <w:shd w:val="clear" w:color="auto" w:fill="D9D9D9"/>
          </w:tcPr>
          <w:p w14:paraId="71EF2A98" w14:textId="77777777" w:rsidR="006157C0" w:rsidRDefault="006157C0">
            <w:pPr>
              <w:jc w:val="center"/>
              <w:rPr>
                <w:rFonts w:ascii="Arial" w:eastAsia="Calibri" w:hAnsi="Arial" w:cs="Arial"/>
                <w:sz w:val="20"/>
                <w:szCs w:val="20"/>
                <w:lang w:eastAsia="en-US"/>
              </w:rPr>
            </w:pPr>
          </w:p>
          <w:p w14:paraId="7F42042C" w14:textId="77777777" w:rsidR="006157C0" w:rsidRDefault="006157C0">
            <w:pPr>
              <w:jc w:val="center"/>
              <w:rPr>
                <w:rFonts w:ascii="Arial" w:eastAsia="Calibri" w:hAnsi="Arial" w:cs="Arial"/>
                <w:sz w:val="20"/>
                <w:szCs w:val="20"/>
                <w:lang w:eastAsia="en-US"/>
              </w:rPr>
            </w:pPr>
            <w:r>
              <w:rPr>
                <w:rFonts w:ascii="Arial" w:eastAsia="Calibri" w:hAnsi="Arial" w:cs="Arial"/>
                <w:sz w:val="20"/>
                <w:szCs w:val="20"/>
                <w:lang w:eastAsia="en-US"/>
              </w:rPr>
              <w:t>11.</w:t>
            </w:r>
          </w:p>
        </w:tc>
        <w:tc>
          <w:tcPr>
            <w:tcW w:w="2590"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22A70F09" w14:textId="77777777" w:rsidR="006157C0" w:rsidRDefault="006157C0">
            <w:pPr>
              <w:jc w:val="center"/>
              <w:rPr>
                <w:rFonts w:ascii="Arial" w:eastAsia="Calibri" w:hAnsi="Arial" w:cs="Arial"/>
                <w:sz w:val="20"/>
                <w:szCs w:val="20"/>
                <w:lang w:eastAsia="en-US"/>
              </w:rPr>
            </w:pPr>
          </w:p>
        </w:tc>
        <w:tc>
          <w:tcPr>
            <w:tcW w:w="1494" w:type="dxa"/>
            <w:tcBorders>
              <w:top w:val="single" w:sz="18" w:space="0" w:color="000000"/>
              <w:left w:val="single" w:sz="6" w:space="0" w:color="000000"/>
              <w:bottom w:val="single" w:sz="18" w:space="0" w:color="000000"/>
              <w:right w:val="single" w:sz="18" w:space="0" w:color="000000"/>
            </w:tcBorders>
            <w:shd w:val="clear" w:color="auto" w:fill="D9D9D9"/>
          </w:tcPr>
          <w:p w14:paraId="7DF89A44" w14:textId="77777777" w:rsidR="006157C0" w:rsidRDefault="006157C0">
            <w:pPr>
              <w:jc w:val="center"/>
              <w:rPr>
                <w:rFonts w:ascii="Arial" w:eastAsia="Calibri" w:hAnsi="Arial" w:cs="Arial"/>
                <w:b/>
                <w:sz w:val="20"/>
                <w:szCs w:val="20"/>
                <w:lang w:eastAsia="en-US"/>
              </w:rPr>
            </w:pPr>
          </w:p>
          <w:p w14:paraId="45432647"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2</w:t>
            </w:r>
          </w:p>
        </w:tc>
      </w:tr>
      <w:tr w:rsidR="006157C0" w14:paraId="6A7501B5" w14:textId="77777777" w:rsidTr="006157C0">
        <w:tc>
          <w:tcPr>
            <w:tcW w:w="13893" w:type="dxa"/>
            <w:gridSpan w:val="10"/>
            <w:tcBorders>
              <w:top w:val="single" w:sz="18" w:space="0" w:color="000000"/>
              <w:left w:val="single" w:sz="18" w:space="0" w:color="000000"/>
              <w:bottom w:val="single" w:sz="18" w:space="0" w:color="000000"/>
              <w:right w:val="single" w:sz="18" w:space="0" w:color="000000"/>
            </w:tcBorders>
          </w:tcPr>
          <w:p w14:paraId="3DC8DA1C" w14:textId="77777777" w:rsidR="006157C0" w:rsidRDefault="006157C0">
            <w:pPr>
              <w:jc w:val="center"/>
              <w:rPr>
                <w:rFonts w:ascii="Arial" w:eastAsia="Calibri" w:hAnsi="Arial" w:cs="Arial"/>
                <w:b/>
                <w:sz w:val="20"/>
                <w:szCs w:val="20"/>
                <w:lang w:eastAsia="en-US"/>
              </w:rPr>
            </w:pPr>
          </w:p>
          <w:p w14:paraId="5D644341"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Opis poslova radnog mjesta</w:t>
            </w:r>
          </w:p>
        </w:tc>
      </w:tr>
      <w:tr w:rsidR="006157C0" w14:paraId="25B3DD3C" w14:textId="77777777" w:rsidTr="006157C0">
        <w:tc>
          <w:tcPr>
            <w:tcW w:w="10402" w:type="dxa"/>
            <w:gridSpan w:val="8"/>
            <w:tcBorders>
              <w:top w:val="single" w:sz="18" w:space="0" w:color="000000"/>
              <w:left w:val="single" w:sz="2" w:space="0" w:color="000000"/>
              <w:bottom w:val="single" w:sz="2" w:space="0" w:color="000000"/>
              <w:right w:val="single" w:sz="2" w:space="0" w:color="000000"/>
            </w:tcBorders>
          </w:tcPr>
          <w:p w14:paraId="25CF6894" w14:textId="77777777" w:rsidR="006157C0" w:rsidRDefault="006157C0">
            <w:pPr>
              <w:rPr>
                <w:rFonts w:ascii="Arial" w:eastAsia="Calibri" w:hAnsi="Arial" w:cs="Arial"/>
                <w:b/>
                <w:sz w:val="20"/>
                <w:szCs w:val="20"/>
                <w:lang w:eastAsia="en-US"/>
              </w:rPr>
            </w:pPr>
          </w:p>
          <w:p w14:paraId="20EBB7DB"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Opis poslova i zadataka</w:t>
            </w:r>
          </w:p>
        </w:tc>
        <w:tc>
          <w:tcPr>
            <w:tcW w:w="3491" w:type="dxa"/>
            <w:gridSpan w:val="2"/>
            <w:tcBorders>
              <w:top w:val="single" w:sz="18" w:space="0" w:color="000000"/>
              <w:left w:val="single" w:sz="2" w:space="0" w:color="000000"/>
              <w:bottom w:val="single" w:sz="2" w:space="0" w:color="000000"/>
              <w:right w:val="single" w:sz="2" w:space="0" w:color="000000"/>
            </w:tcBorders>
            <w:hideMark/>
          </w:tcPr>
          <w:p w14:paraId="0DF907FB"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Približni postotak vremena potreban za obavljanje pojedinog posla</w:t>
            </w:r>
          </w:p>
        </w:tc>
      </w:tr>
      <w:tr w:rsidR="006157C0" w14:paraId="725D5BE1" w14:textId="77777777" w:rsidTr="006157C0">
        <w:tc>
          <w:tcPr>
            <w:tcW w:w="10402" w:type="dxa"/>
            <w:gridSpan w:val="8"/>
            <w:tcBorders>
              <w:top w:val="single" w:sz="2" w:space="0" w:color="000000"/>
              <w:left w:val="single" w:sz="2" w:space="0" w:color="000000"/>
              <w:bottom w:val="single" w:sz="2" w:space="0" w:color="000000"/>
              <w:right w:val="single" w:sz="2" w:space="0" w:color="000000"/>
            </w:tcBorders>
            <w:hideMark/>
          </w:tcPr>
          <w:p w14:paraId="003B115B" w14:textId="77777777" w:rsidR="006157C0" w:rsidRDefault="006157C0">
            <w:pPr>
              <w:suppressAutoHyphens/>
              <w:rPr>
                <w:rFonts w:ascii="Arial" w:eastAsia="Calibri" w:hAnsi="Arial" w:cs="Arial"/>
                <w:sz w:val="20"/>
                <w:szCs w:val="20"/>
                <w:lang w:eastAsia="ar-SA"/>
              </w:rPr>
            </w:pPr>
            <w:r>
              <w:rPr>
                <w:rFonts w:ascii="Arial" w:eastAsia="Calibri" w:hAnsi="Arial" w:cs="Arial"/>
                <w:sz w:val="20"/>
                <w:szCs w:val="20"/>
                <w:lang w:eastAsia="ar-SA"/>
              </w:rPr>
              <w:t>Izdavanje rješenja za prometovanje pješačkim zonama i rješenja za izvanrednu uporabu javne prometne površine.</w:t>
            </w:r>
          </w:p>
        </w:tc>
        <w:tc>
          <w:tcPr>
            <w:tcW w:w="3491" w:type="dxa"/>
            <w:gridSpan w:val="2"/>
            <w:tcBorders>
              <w:top w:val="single" w:sz="2" w:space="0" w:color="000000"/>
              <w:left w:val="single" w:sz="2" w:space="0" w:color="000000"/>
              <w:bottom w:val="single" w:sz="2" w:space="0" w:color="000000"/>
              <w:right w:val="single" w:sz="2" w:space="0" w:color="000000"/>
            </w:tcBorders>
          </w:tcPr>
          <w:p w14:paraId="75157944" w14:textId="77777777" w:rsidR="006157C0" w:rsidRDefault="006157C0">
            <w:pPr>
              <w:jc w:val="both"/>
              <w:rPr>
                <w:rFonts w:ascii="Arial" w:eastAsia="Calibri" w:hAnsi="Arial" w:cs="Arial"/>
                <w:sz w:val="20"/>
                <w:szCs w:val="20"/>
                <w:lang w:eastAsia="en-US"/>
              </w:rPr>
            </w:pPr>
          </w:p>
          <w:p w14:paraId="53DA2229" w14:textId="77777777" w:rsidR="006157C0" w:rsidRDefault="006157C0">
            <w:pPr>
              <w:jc w:val="both"/>
              <w:rPr>
                <w:rFonts w:ascii="Arial" w:eastAsia="Calibri" w:hAnsi="Arial" w:cs="Arial"/>
                <w:sz w:val="20"/>
                <w:szCs w:val="20"/>
                <w:lang w:eastAsia="en-US"/>
              </w:rPr>
            </w:pPr>
            <w:r>
              <w:rPr>
                <w:rFonts w:ascii="Arial" w:eastAsia="Calibri" w:hAnsi="Arial" w:cs="Arial"/>
                <w:sz w:val="20"/>
                <w:szCs w:val="20"/>
                <w:lang w:eastAsia="en-US"/>
              </w:rPr>
              <w:t>70 %</w:t>
            </w:r>
          </w:p>
        </w:tc>
      </w:tr>
      <w:tr w:rsidR="006157C0" w14:paraId="3920D0AD" w14:textId="77777777" w:rsidTr="006157C0">
        <w:tc>
          <w:tcPr>
            <w:tcW w:w="10402" w:type="dxa"/>
            <w:gridSpan w:val="8"/>
            <w:tcBorders>
              <w:top w:val="single" w:sz="2" w:space="0" w:color="000000"/>
              <w:left w:val="single" w:sz="2" w:space="0" w:color="000000"/>
              <w:bottom w:val="single" w:sz="2" w:space="0" w:color="000000"/>
              <w:right w:val="single" w:sz="2" w:space="0" w:color="000000"/>
            </w:tcBorders>
            <w:hideMark/>
          </w:tcPr>
          <w:p w14:paraId="029AB08B" w14:textId="77777777" w:rsidR="006157C0" w:rsidRDefault="006157C0">
            <w:pPr>
              <w:suppressAutoHyphens/>
              <w:rPr>
                <w:rFonts w:ascii="Arial" w:eastAsia="Calibri" w:hAnsi="Arial" w:cs="Arial"/>
                <w:b/>
                <w:sz w:val="20"/>
                <w:szCs w:val="20"/>
                <w:lang w:eastAsia="en-US"/>
              </w:rPr>
            </w:pPr>
            <w:r>
              <w:rPr>
                <w:rFonts w:ascii="Arial" w:eastAsia="Calibri" w:hAnsi="Arial" w:cs="Arial"/>
                <w:sz w:val="20"/>
                <w:szCs w:val="20"/>
                <w:lang w:eastAsia="ar-SA"/>
              </w:rPr>
              <w:t>Vođenje upisnika zahtjeva za izdavanje naprijed navedenih dozvola – otvara predmet, vođenje evidencije o izdanim dozvolama i arhiviranje istih.</w:t>
            </w:r>
          </w:p>
        </w:tc>
        <w:tc>
          <w:tcPr>
            <w:tcW w:w="3491" w:type="dxa"/>
            <w:gridSpan w:val="2"/>
            <w:tcBorders>
              <w:top w:val="single" w:sz="2" w:space="0" w:color="000000"/>
              <w:left w:val="single" w:sz="2" w:space="0" w:color="000000"/>
              <w:bottom w:val="single" w:sz="2" w:space="0" w:color="000000"/>
              <w:right w:val="single" w:sz="2" w:space="0" w:color="000000"/>
            </w:tcBorders>
          </w:tcPr>
          <w:p w14:paraId="037363E5" w14:textId="77777777" w:rsidR="006157C0" w:rsidRDefault="006157C0">
            <w:pPr>
              <w:jc w:val="both"/>
              <w:rPr>
                <w:rFonts w:ascii="Arial" w:eastAsia="Calibri" w:hAnsi="Arial" w:cs="Arial"/>
                <w:sz w:val="20"/>
                <w:szCs w:val="20"/>
                <w:lang w:eastAsia="en-US"/>
              </w:rPr>
            </w:pPr>
          </w:p>
          <w:p w14:paraId="7CCBFFCA" w14:textId="77777777" w:rsidR="006157C0" w:rsidRDefault="006157C0">
            <w:pPr>
              <w:jc w:val="both"/>
              <w:rPr>
                <w:rFonts w:ascii="Arial" w:eastAsia="Calibri" w:hAnsi="Arial" w:cs="Arial"/>
                <w:sz w:val="20"/>
                <w:szCs w:val="20"/>
                <w:lang w:eastAsia="en-US"/>
              </w:rPr>
            </w:pPr>
            <w:r>
              <w:rPr>
                <w:rFonts w:ascii="Arial" w:eastAsia="Calibri" w:hAnsi="Arial" w:cs="Arial"/>
                <w:sz w:val="20"/>
                <w:szCs w:val="20"/>
                <w:lang w:eastAsia="en-US"/>
              </w:rPr>
              <w:t>20 %</w:t>
            </w:r>
          </w:p>
        </w:tc>
      </w:tr>
      <w:tr w:rsidR="006157C0" w14:paraId="21E38634" w14:textId="77777777" w:rsidTr="006157C0">
        <w:tc>
          <w:tcPr>
            <w:tcW w:w="10402" w:type="dxa"/>
            <w:gridSpan w:val="8"/>
            <w:tcBorders>
              <w:top w:val="single" w:sz="2" w:space="0" w:color="000000"/>
              <w:left w:val="single" w:sz="2" w:space="0" w:color="000000"/>
              <w:bottom w:val="single" w:sz="2" w:space="0" w:color="000000"/>
              <w:right w:val="single" w:sz="2" w:space="0" w:color="000000"/>
            </w:tcBorders>
          </w:tcPr>
          <w:p w14:paraId="3AF2418F" w14:textId="77777777" w:rsidR="006157C0" w:rsidRDefault="006157C0">
            <w:pPr>
              <w:rPr>
                <w:rFonts w:ascii="Arial" w:eastAsia="Calibri" w:hAnsi="Arial" w:cs="Arial"/>
                <w:sz w:val="20"/>
                <w:szCs w:val="20"/>
                <w:lang w:eastAsia="en-US"/>
              </w:rPr>
            </w:pPr>
          </w:p>
          <w:p w14:paraId="7AC9D413" w14:textId="77777777" w:rsidR="006157C0" w:rsidRDefault="006157C0">
            <w:pPr>
              <w:rPr>
                <w:rFonts w:ascii="Arial" w:eastAsia="Calibri" w:hAnsi="Arial" w:cs="Arial"/>
                <w:sz w:val="20"/>
                <w:szCs w:val="20"/>
                <w:lang w:eastAsia="en-US"/>
              </w:rPr>
            </w:pPr>
            <w:r>
              <w:rPr>
                <w:rFonts w:ascii="Arial" w:eastAsia="Calibri" w:hAnsi="Arial" w:cs="Arial"/>
                <w:sz w:val="20"/>
                <w:szCs w:val="20"/>
                <w:lang w:eastAsia="en-US"/>
              </w:rPr>
              <w:t>Drugi poslovi po nalogu pročelnika</w:t>
            </w:r>
          </w:p>
        </w:tc>
        <w:tc>
          <w:tcPr>
            <w:tcW w:w="3491" w:type="dxa"/>
            <w:gridSpan w:val="2"/>
            <w:tcBorders>
              <w:top w:val="single" w:sz="2" w:space="0" w:color="000000"/>
              <w:left w:val="single" w:sz="2" w:space="0" w:color="000000"/>
              <w:bottom w:val="single" w:sz="2" w:space="0" w:color="000000"/>
              <w:right w:val="single" w:sz="2" w:space="0" w:color="000000"/>
            </w:tcBorders>
          </w:tcPr>
          <w:p w14:paraId="2BD9E7E5" w14:textId="77777777" w:rsidR="006157C0" w:rsidRDefault="006157C0">
            <w:pPr>
              <w:jc w:val="both"/>
              <w:rPr>
                <w:rFonts w:ascii="Arial" w:eastAsia="Calibri" w:hAnsi="Arial" w:cs="Arial"/>
                <w:sz w:val="20"/>
                <w:szCs w:val="20"/>
                <w:lang w:eastAsia="en-US"/>
              </w:rPr>
            </w:pPr>
          </w:p>
          <w:p w14:paraId="61A213EE" w14:textId="77777777" w:rsidR="006157C0" w:rsidRDefault="006157C0">
            <w:pPr>
              <w:jc w:val="both"/>
              <w:rPr>
                <w:rFonts w:ascii="Arial" w:eastAsia="Calibri" w:hAnsi="Arial" w:cs="Arial"/>
                <w:sz w:val="20"/>
                <w:szCs w:val="20"/>
                <w:lang w:eastAsia="en-US"/>
              </w:rPr>
            </w:pPr>
            <w:r>
              <w:rPr>
                <w:rFonts w:ascii="Arial" w:eastAsia="Calibri" w:hAnsi="Arial" w:cs="Arial"/>
                <w:sz w:val="20"/>
                <w:szCs w:val="20"/>
                <w:lang w:eastAsia="en-US"/>
              </w:rPr>
              <w:t>10 %</w:t>
            </w:r>
          </w:p>
        </w:tc>
      </w:tr>
      <w:tr w:rsidR="006157C0" w14:paraId="57EDF4E5" w14:textId="77777777" w:rsidTr="006157C0">
        <w:tc>
          <w:tcPr>
            <w:tcW w:w="13893" w:type="dxa"/>
            <w:gridSpan w:val="10"/>
            <w:tcBorders>
              <w:top w:val="single" w:sz="18" w:space="0" w:color="000000"/>
              <w:left w:val="single" w:sz="18" w:space="0" w:color="000000"/>
              <w:bottom w:val="single" w:sz="18" w:space="0" w:color="000000"/>
              <w:right w:val="single" w:sz="18" w:space="0" w:color="000000"/>
            </w:tcBorders>
          </w:tcPr>
          <w:p w14:paraId="30A02C38" w14:textId="77777777" w:rsidR="006157C0" w:rsidRDefault="006157C0">
            <w:pPr>
              <w:jc w:val="center"/>
              <w:rPr>
                <w:rFonts w:ascii="Arial" w:eastAsia="Calibri" w:hAnsi="Arial" w:cs="Arial"/>
                <w:b/>
                <w:sz w:val="20"/>
                <w:szCs w:val="20"/>
                <w:lang w:eastAsia="en-US"/>
              </w:rPr>
            </w:pPr>
          </w:p>
          <w:p w14:paraId="0BCD2415" w14:textId="77777777" w:rsidR="006157C0" w:rsidRDefault="006157C0">
            <w:pPr>
              <w:jc w:val="center"/>
              <w:rPr>
                <w:rFonts w:ascii="Arial" w:eastAsia="Calibri" w:hAnsi="Arial" w:cs="Arial"/>
                <w:b/>
                <w:sz w:val="20"/>
                <w:szCs w:val="20"/>
                <w:lang w:eastAsia="en-US"/>
              </w:rPr>
            </w:pPr>
            <w:r>
              <w:rPr>
                <w:rFonts w:ascii="Arial" w:eastAsia="Calibri" w:hAnsi="Arial" w:cs="Arial"/>
                <w:b/>
                <w:sz w:val="20"/>
                <w:szCs w:val="20"/>
                <w:lang w:eastAsia="en-US"/>
              </w:rPr>
              <w:t>Opis razine standardnih mjerila za klasifikaciju radnih mjesta</w:t>
            </w:r>
          </w:p>
        </w:tc>
      </w:tr>
      <w:tr w:rsidR="006157C0" w14:paraId="0E303D1F" w14:textId="77777777" w:rsidTr="006157C0">
        <w:tc>
          <w:tcPr>
            <w:tcW w:w="2248" w:type="dxa"/>
            <w:gridSpan w:val="2"/>
            <w:tcBorders>
              <w:top w:val="single" w:sz="18" w:space="0" w:color="000000"/>
              <w:left w:val="single" w:sz="4" w:space="0" w:color="000000"/>
              <w:bottom w:val="single" w:sz="4" w:space="0" w:color="auto"/>
              <w:right w:val="single" w:sz="4" w:space="0" w:color="000000"/>
            </w:tcBorders>
          </w:tcPr>
          <w:p w14:paraId="5ED8E907"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Potrebno stručno znanje:</w:t>
            </w:r>
          </w:p>
          <w:p w14:paraId="4270AAB4" w14:textId="77777777" w:rsidR="006157C0" w:rsidRDefault="006157C0">
            <w:pPr>
              <w:rPr>
                <w:rFonts w:ascii="Arial" w:eastAsia="Calibri" w:hAnsi="Arial" w:cs="Arial"/>
                <w:b/>
                <w:sz w:val="20"/>
                <w:szCs w:val="20"/>
                <w:lang w:eastAsia="en-US"/>
              </w:rPr>
            </w:pPr>
          </w:p>
        </w:tc>
        <w:tc>
          <w:tcPr>
            <w:tcW w:w="11645" w:type="dxa"/>
            <w:gridSpan w:val="8"/>
            <w:tcBorders>
              <w:top w:val="single" w:sz="18" w:space="0" w:color="000000"/>
              <w:left w:val="single" w:sz="4" w:space="0" w:color="000000"/>
              <w:bottom w:val="single" w:sz="4" w:space="0" w:color="auto"/>
              <w:right w:val="single" w:sz="4" w:space="0" w:color="000000"/>
            </w:tcBorders>
            <w:hideMark/>
          </w:tcPr>
          <w:p w14:paraId="77518A36" w14:textId="77777777" w:rsidR="006157C0" w:rsidRDefault="006157C0">
            <w:pPr>
              <w:suppressAutoHyphens/>
              <w:jc w:val="both"/>
              <w:rPr>
                <w:rFonts w:ascii="Arial" w:eastAsia="Calibri" w:hAnsi="Arial" w:cs="Arial"/>
                <w:sz w:val="20"/>
                <w:szCs w:val="20"/>
                <w:lang w:eastAsia="en-US"/>
              </w:rPr>
            </w:pPr>
            <w:r>
              <w:rPr>
                <w:rFonts w:ascii="Arial" w:hAnsi="Arial" w:cs="Arial"/>
                <w:bCs/>
                <w:sz w:val="20"/>
                <w:szCs w:val="20"/>
                <w:lang w:eastAsia="ar-SA"/>
              </w:rPr>
              <w:t xml:space="preserve">Srednja stručna sprema pravne, ekonomske ili građevinske struke, najmanje jedna godina radnog iskustva na odgovarajućim poslovima, </w:t>
            </w:r>
            <w:r>
              <w:rPr>
                <w:rFonts w:ascii="Arial" w:hAnsi="Arial" w:cs="Arial"/>
                <w:sz w:val="20"/>
                <w:szCs w:val="20"/>
                <w:lang w:eastAsia="ar-SA"/>
              </w:rPr>
              <w:t>položen državni stručni ispit, poznavanje rada na računalu, poznavanje jednog svjetskog jezika</w:t>
            </w:r>
          </w:p>
        </w:tc>
      </w:tr>
      <w:tr w:rsidR="006157C0" w14:paraId="49C49FAA" w14:textId="77777777" w:rsidTr="006157C0">
        <w:tc>
          <w:tcPr>
            <w:tcW w:w="2248" w:type="dxa"/>
            <w:gridSpan w:val="2"/>
            <w:tcBorders>
              <w:top w:val="single" w:sz="4" w:space="0" w:color="000000"/>
              <w:left w:val="single" w:sz="4" w:space="0" w:color="000000"/>
              <w:bottom w:val="single" w:sz="4" w:space="0" w:color="auto"/>
              <w:right w:val="single" w:sz="4" w:space="0" w:color="000000"/>
            </w:tcBorders>
            <w:hideMark/>
          </w:tcPr>
          <w:p w14:paraId="6BA57958"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Stupanj složenosti poslova:</w:t>
            </w:r>
          </w:p>
        </w:tc>
        <w:tc>
          <w:tcPr>
            <w:tcW w:w="11645" w:type="dxa"/>
            <w:gridSpan w:val="8"/>
            <w:tcBorders>
              <w:top w:val="single" w:sz="4" w:space="0" w:color="000000"/>
              <w:left w:val="single" w:sz="4" w:space="0" w:color="000000"/>
              <w:bottom w:val="single" w:sz="4" w:space="0" w:color="auto"/>
              <w:right w:val="single" w:sz="4" w:space="0" w:color="000000"/>
            </w:tcBorders>
            <w:hideMark/>
          </w:tcPr>
          <w:p w14:paraId="462D0FD1" w14:textId="77777777" w:rsidR="006157C0" w:rsidRDefault="006157C0">
            <w:pPr>
              <w:rPr>
                <w:rFonts w:ascii="Arial" w:eastAsia="Calibri" w:hAnsi="Arial" w:cs="Arial"/>
                <w:sz w:val="20"/>
                <w:szCs w:val="20"/>
                <w:lang w:eastAsia="en-US"/>
              </w:rPr>
            </w:pPr>
            <w:r>
              <w:rPr>
                <w:rFonts w:ascii="Arial" w:eastAsia="Calibri" w:hAnsi="Arial" w:cs="Arial"/>
                <w:sz w:val="20"/>
                <w:szCs w:val="20"/>
                <w:lang w:eastAsia="en-US"/>
              </w:rPr>
              <w:t>Jednostavni i uglavnom rutinski poslovi koji zahtijevaju primjenu precizno utvrđenih postupaka, metoda rada i stručnih tehnika.</w:t>
            </w:r>
          </w:p>
        </w:tc>
      </w:tr>
      <w:tr w:rsidR="006157C0" w14:paraId="5FC4E124" w14:textId="77777777" w:rsidTr="006157C0">
        <w:tc>
          <w:tcPr>
            <w:tcW w:w="2248" w:type="dxa"/>
            <w:gridSpan w:val="2"/>
            <w:tcBorders>
              <w:top w:val="single" w:sz="4" w:space="0" w:color="000000"/>
              <w:left w:val="single" w:sz="4" w:space="0" w:color="000000"/>
              <w:bottom w:val="single" w:sz="4" w:space="0" w:color="auto"/>
              <w:right w:val="single" w:sz="4" w:space="0" w:color="000000"/>
            </w:tcBorders>
            <w:hideMark/>
          </w:tcPr>
          <w:p w14:paraId="172E1553"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Stupanj samostalnosti:</w:t>
            </w:r>
          </w:p>
        </w:tc>
        <w:tc>
          <w:tcPr>
            <w:tcW w:w="11645" w:type="dxa"/>
            <w:gridSpan w:val="8"/>
            <w:tcBorders>
              <w:top w:val="single" w:sz="4" w:space="0" w:color="000000"/>
              <w:left w:val="single" w:sz="4" w:space="0" w:color="000000"/>
              <w:bottom w:val="single" w:sz="4" w:space="0" w:color="auto"/>
              <w:right w:val="single" w:sz="4" w:space="0" w:color="000000"/>
            </w:tcBorders>
          </w:tcPr>
          <w:p w14:paraId="5DF4DF73" w14:textId="77777777" w:rsidR="006157C0" w:rsidRDefault="006157C0">
            <w:pPr>
              <w:rPr>
                <w:rFonts w:ascii="Arial" w:eastAsia="Calibri" w:hAnsi="Arial" w:cs="Arial"/>
                <w:sz w:val="20"/>
                <w:szCs w:val="20"/>
                <w:lang w:eastAsia="en-US"/>
              </w:rPr>
            </w:pPr>
          </w:p>
          <w:p w14:paraId="162D37DD" w14:textId="77777777" w:rsidR="006157C0" w:rsidRDefault="006157C0">
            <w:pPr>
              <w:rPr>
                <w:rFonts w:ascii="Arial" w:eastAsia="Calibri" w:hAnsi="Arial" w:cs="Arial"/>
                <w:sz w:val="20"/>
                <w:szCs w:val="20"/>
                <w:lang w:eastAsia="en-US"/>
              </w:rPr>
            </w:pPr>
            <w:r>
              <w:rPr>
                <w:rFonts w:ascii="Arial" w:eastAsia="Calibri" w:hAnsi="Arial" w:cs="Arial"/>
                <w:sz w:val="20"/>
                <w:szCs w:val="20"/>
                <w:lang w:eastAsia="en-US"/>
              </w:rPr>
              <w:t>Poslovi se obavljaju uz stalni nadzor i upute nadređenog službenika.</w:t>
            </w:r>
          </w:p>
        </w:tc>
      </w:tr>
      <w:tr w:rsidR="006157C0" w14:paraId="291DD016" w14:textId="77777777" w:rsidTr="006157C0">
        <w:tc>
          <w:tcPr>
            <w:tcW w:w="2248" w:type="dxa"/>
            <w:gridSpan w:val="2"/>
            <w:tcBorders>
              <w:top w:val="single" w:sz="4" w:space="0" w:color="000000"/>
              <w:left w:val="single" w:sz="4" w:space="0" w:color="000000"/>
              <w:bottom w:val="single" w:sz="4" w:space="0" w:color="auto"/>
              <w:right w:val="single" w:sz="4" w:space="0" w:color="000000"/>
            </w:tcBorders>
          </w:tcPr>
          <w:p w14:paraId="1EFE0356" w14:textId="77777777" w:rsidR="006157C0" w:rsidRDefault="006157C0">
            <w:pPr>
              <w:rPr>
                <w:rFonts w:ascii="Arial" w:eastAsia="Calibri" w:hAnsi="Arial" w:cs="Arial"/>
                <w:b/>
                <w:sz w:val="20"/>
                <w:szCs w:val="20"/>
                <w:lang w:eastAsia="en-US"/>
              </w:rPr>
            </w:pPr>
          </w:p>
          <w:p w14:paraId="11D2CB3E"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Stupanj odgovornosti:</w:t>
            </w:r>
          </w:p>
        </w:tc>
        <w:tc>
          <w:tcPr>
            <w:tcW w:w="11645" w:type="dxa"/>
            <w:gridSpan w:val="8"/>
            <w:tcBorders>
              <w:top w:val="single" w:sz="4" w:space="0" w:color="000000"/>
              <w:left w:val="single" w:sz="4" w:space="0" w:color="000000"/>
              <w:bottom w:val="single" w:sz="4" w:space="0" w:color="auto"/>
              <w:right w:val="single" w:sz="4" w:space="0" w:color="000000"/>
            </w:tcBorders>
          </w:tcPr>
          <w:p w14:paraId="5ECBCA8F" w14:textId="77777777" w:rsidR="006157C0" w:rsidRDefault="006157C0">
            <w:pPr>
              <w:rPr>
                <w:rFonts w:ascii="Arial" w:eastAsia="Calibri" w:hAnsi="Arial" w:cs="Arial"/>
                <w:sz w:val="20"/>
                <w:szCs w:val="20"/>
                <w:lang w:eastAsia="en-US"/>
              </w:rPr>
            </w:pPr>
          </w:p>
          <w:p w14:paraId="4B26C343" w14:textId="77777777" w:rsidR="006157C0" w:rsidRDefault="006157C0">
            <w:pPr>
              <w:jc w:val="both"/>
              <w:rPr>
                <w:rFonts w:ascii="Arial" w:eastAsia="Calibri" w:hAnsi="Arial" w:cs="Arial"/>
                <w:sz w:val="20"/>
                <w:szCs w:val="20"/>
                <w:lang w:eastAsia="en-US"/>
              </w:rPr>
            </w:pPr>
            <w:r>
              <w:rPr>
                <w:rFonts w:ascii="Arial" w:eastAsia="Calibri" w:hAnsi="Arial" w:cs="Arial"/>
                <w:sz w:val="20"/>
                <w:szCs w:val="20"/>
                <w:lang w:eastAsia="en-US"/>
              </w:rPr>
              <w:t xml:space="preserve">Stupanj odgovornosti uključuje odgovornost za materijalne resurse s kojima službenik radi uz pravilnu primjenu izričito propisanih postupaka, metoda rada i stručnih tehnika </w:t>
            </w:r>
          </w:p>
        </w:tc>
      </w:tr>
      <w:tr w:rsidR="006157C0" w14:paraId="2DF45934" w14:textId="77777777" w:rsidTr="006157C0">
        <w:tc>
          <w:tcPr>
            <w:tcW w:w="2248" w:type="dxa"/>
            <w:gridSpan w:val="2"/>
            <w:tcBorders>
              <w:top w:val="single" w:sz="4" w:space="0" w:color="000000"/>
              <w:left w:val="single" w:sz="4" w:space="0" w:color="000000"/>
              <w:bottom w:val="single" w:sz="4" w:space="0" w:color="auto"/>
              <w:right w:val="single" w:sz="4" w:space="0" w:color="000000"/>
            </w:tcBorders>
            <w:hideMark/>
          </w:tcPr>
          <w:p w14:paraId="77C4A14C" w14:textId="77777777" w:rsidR="006157C0" w:rsidRDefault="006157C0">
            <w:pPr>
              <w:rPr>
                <w:rFonts w:ascii="Arial" w:eastAsia="Calibri" w:hAnsi="Arial" w:cs="Arial"/>
                <w:b/>
                <w:sz w:val="20"/>
                <w:szCs w:val="20"/>
                <w:lang w:eastAsia="en-US"/>
              </w:rPr>
            </w:pPr>
            <w:r>
              <w:rPr>
                <w:rFonts w:ascii="Arial" w:eastAsia="Calibri" w:hAnsi="Arial" w:cs="Arial"/>
                <w:b/>
                <w:sz w:val="20"/>
                <w:szCs w:val="20"/>
                <w:lang w:eastAsia="en-US"/>
              </w:rPr>
              <w:t xml:space="preserve">Stupanj učestalosti stručnih komunikacija: </w:t>
            </w:r>
          </w:p>
        </w:tc>
        <w:tc>
          <w:tcPr>
            <w:tcW w:w="11645" w:type="dxa"/>
            <w:gridSpan w:val="8"/>
            <w:tcBorders>
              <w:top w:val="single" w:sz="4" w:space="0" w:color="000000"/>
              <w:left w:val="single" w:sz="4" w:space="0" w:color="000000"/>
              <w:bottom w:val="single" w:sz="4" w:space="0" w:color="auto"/>
              <w:right w:val="single" w:sz="4" w:space="0" w:color="000000"/>
            </w:tcBorders>
          </w:tcPr>
          <w:p w14:paraId="4D6CE17C" w14:textId="77777777" w:rsidR="006157C0" w:rsidRDefault="006157C0">
            <w:pPr>
              <w:jc w:val="both"/>
              <w:rPr>
                <w:rFonts w:ascii="Arial" w:eastAsia="Calibri" w:hAnsi="Arial" w:cs="Arial"/>
                <w:sz w:val="20"/>
                <w:szCs w:val="20"/>
                <w:lang w:eastAsia="en-US"/>
              </w:rPr>
            </w:pPr>
            <w:r>
              <w:rPr>
                <w:rFonts w:ascii="Arial" w:eastAsia="Calibri" w:hAnsi="Arial" w:cs="Arial"/>
                <w:sz w:val="20"/>
                <w:szCs w:val="20"/>
                <w:lang w:eastAsia="en-US"/>
              </w:rPr>
              <w:t>Stupanj stručne komunikacije uključuje kontakte unutar nižih unutarnjih ustrojstvenih jedinica upravnog tijela.</w:t>
            </w:r>
          </w:p>
          <w:p w14:paraId="65133C12" w14:textId="77777777" w:rsidR="006157C0" w:rsidRDefault="006157C0">
            <w:pPr>
              <w:rPr>
                <w:rFonts w:ascii="Arial" w:eastAsia="Calibri" w:hAnsi="Arial" w:cs="Arial"/>
                <w:sz w:val="20"/>
                <w:szCs w:val="20"/>
                <w:lang w:eastAsia="en-US"/>
              </w:rPr>
            </w:pPr>
          </w:p>
        </w:tc>
      </w:tr>
    </w:tbl>
    <w:p w14:paraId="120EF17E" w14:textId="77777777" w:rsidR="006157C0" w:rsidRDefault="006157C0" w:rsidP="006157C0">
      <w:pPr>
        <w:suppressAutoHyphens/>
        <w:spacing w:after="120" w:line="276" w:lineRule="auto"/>
        <w:ind w:left="720"/>
        <w:contextualSpacing/>
        <w:rPr>
          <w:rFonts w:ascii="Arial" w:eastAsia="Calibri" w:hAnsi="Arial" w:cs="Arial"/>
          <w:b/>
          <w:sz w:val="22"/>
          <w:szCs w:val="22"/>
          <w:u w:val="single"/>
          <w:lang w:eastAsia="ar-SA"/>
        </w:rPr>
      </w:pPr>
    </w:p>
    <w:p w14:paraId="62531AD4" w14:textId="77777777" w:rsidR="006157C0" w:rsidRDefault="006157C0" w:rsidP="006157C0">
      <w:pPr>
        <w:suppressAutoHyphens/>
        <w:spacing w:after="120" w:line="276" w:lineRule="auto"/>
        <w:contextualSpacing/>
        <w:rPr>
          <w:rFonts w:ascii="Arial" w:eastAsia="Calibri" w:hAnsi="Arial" w:cs="Arial"/>
          <w:b/>
          <w:sz w:val="22"/>
          <w:szCs w:val="22"/>
          <w:u w:val="single"/>
          <w:lang w:eastAsia="ar-SA"/>
        </w:rPr>
      </w:pPr>
    </w:p>
    <w:p w14:paraId="69224B53" w14:textId="77777777" w:rsidR="00BD087F" w:rsidRDefault="00BD087F" w:rsidP="00BD087F">
      <w:pPr>
        <w:rPr>
          <w:rFonts w:ascii="Arial" w:hAnsi="Arial" w:cs="Arial"/>
          <w:sz w:val="22"/>
          <w:szCs w:val="22"/>
        </w:rPr>
      </w:pPr>
    </w:p>
    <w:bookmarkEnd w:id="0"/>
    <w:p w14:paraId="03532195" w14:textId="77777777" w:rsidR="00BD087F" w:rsidRPr="00BD087F" w:rsidRDefault="00BD087F" w:rsidP="00BD087F">
      <w:pPr>
        <w:rPr>
          <w:rFonts w:ascii="Arial" w:hAnsi="Arial" w:cs="Arial"/>
          <w:sz w:val="22"/>
          <w:szCs w:val="22"/>
        </w:rPr>
      </w:pPr>
    </w:p>
    <w:sectPr w:rsidR="00BD087F" w:rsidRPr="00BD087F" w:rsidSect="006157C0">
      <w:pgSz w:w="16838" w:h="11906" w:orient="landscape"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26BAA"/>
    <w:multiLevelType w:val="hybridMultilevel"/>
    <w:tmpl w:val="359E6B68"/>
    <w:lvl w:ilvl="0" w:tplc="4C7A3892">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 w15:restartNumberingAfterBreak="0">
    <w:nsid w:val="357879CB"/>
    <w:multiLevelType w:val="hybridMultilevel"/>
    <w:tmpl w:val="8A4E6B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DAF073D"/>
    <w:multiLevelType w:val="hybridMultilevel"/>
    <w:tmpl w:val="AA60DAA0"/>
    <w:lvl w:ilvl="0" w:tplc="4C7A3892">
      <w:start w:val="1"/>
      <w:numFmt w:val="bullet"/>
      <w:lvlText w:val=""/>
      <w:lvlJc w:val="left"/>
      <w:pPr>
        <w:ind w:left="142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740C60"/>
    <w:multiLevelType w:val="hybridMultilevel"/>
    <w:tmpl w:val="ACFA6DCA"/>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6E1B3E80"/>
    <w:multiLevelType w:val="hybridMultilevel"/>
    <w:tmpl w:val="2C96BB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2"/>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7F"/>
    <w:rsid w:val="006157C0"/>
    <w:rsid w:val="00975ED6"/>
    <w:rsid w:val="00A13958"/>
    <w:rsid w:val="00BD087F"/>
    <w:rsid w:val="00F703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51BF"/>
  <w15:chartTrackingRefBased/>
  <w15:docId w15:val="{E0A024E6-D0BB-4603-8FD9-15EBFEEC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7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D087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40205">
      <w:bodyDiv w:val="1"/>
      <w:marLeft w:val="0"/>
      <w:marRight w:val="0"/>
      <w:marTop w:val="0"/>
      <w:marBottom w:val="0"/>
      <w:divBdr>
        <w:top w:val="none" w:sz="0" w:space="0" w:color="auto"/>
        <w:left w:val="none" w:sz="0" w:space="0" w:color="auto"/>
        <w:bottom w:val="none" w:sz="0" w:space="0" w:color="auto"/>
        <w:right w:val="none" w:sz="0" w:space="0" w:color="auto"/>
      </w:divBdr>
    </w:div>
    <w:div w:id="419982534">
      <w:bodyDiv w:val="1"/>
      <w:marLeft w:val="0"/>
      <w:marRight w:val="0"/>
      <w:marTop w:val="0"/>
      <w:marBottom w:val="0"/>
      <w:divBdr>
        <w:top w:val="none" w:sz="0" w:space="0" w:color="auto"/>
        <w:left w:val="none" w:sz="0" w:space="0" w:color="auto"/>
        <w:bottom w:val="none" w:sz="0" w:space="0" w:color="auto"/>
        <w:right w:val="none" w:sz="0" w:space="0" w:color="auto"/>
      </w:divBdr>
    </w:div>
    <w:div w:id="1356468016">
      <w:bodyDiv w:val="1"/>
      <w:marLeft w:val="0"/>
      <w:marRight w:val="0"/>
      <w:marTop w:val="0"/>
      <w:marBottom w:val="0"/>
      <w:divBdr>
        <w:top w:val="none" w:sz="0" w:space="0" w:color="auto"/>
        <w:left w:val="none" w:sz="0" w:space="0" w:color="auto"/>
        <w:bottom w:val="none" w:sz="0" w:space="0" w:color="auto"/>
        <w:right w:val="none" w:sz="0" w:space="0" w:color="auto"/>
      </w:divBdr>
    </w:div>
    <w:div w:id="17995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pipsic</cp:lastModifiedBy>
  <cp:revision>2</cp:revision>
  <dcterms:created xsi:type="dcterms:W3CDTF">2021-07-01T11:56:00Z</dcterms:created>
  <dcterms:modified xsi:type="dcterms:W3CDTF">2021-07-01T11:56:00Z</dcterms:modified>
</cp:coreProperties>
</file>