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F774" w14:textId="77777777" w:rsidR="008F1E02" w:rsidRDefault="008F1E02" w:rsidP="008F1E02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 xml:space="preserve">Na temelju članka 45. Zakona o Proračunu („Narodne novine“, broj 144/21) i članka 39. Statuta Grada Dubrovnika („Službeni glasnik Grada Dubrovnika“, broj 2/21), Gradsko vijeće Grada Dubrovnika na 1. konstituirajućoj sjednici, održanoj 16. lipnja 2025. donijelo je </w:t>
      </w:r>
    </w:p>
    <w:p w14:paraId="45712D7B" w14:textId="77777777" w:rsidR="00737998" w:rsidRDefault="00737998" w:rsidP="00737998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EAA1E6" w14:textId="77777777" w:rsidR="00737998" w:rsidRPr="00775053" w:rsidRDefault="00737998" w:rsidP="00737998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51C2B5" w14:textId="77777777" w:rsidR="00737998" w:rsidRPr="00775053" w:rsidRDefault="00737998" w:rsidP="00737998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5053">
        <w:rPr>
          <w:rFonts w:ascii="Arial" w:hAnsi="Arial" w:cs="Arial"/>
          <w:b/>
          <w:bCs/>
          <w:color w:val="000000"/>
          <w:sz w:val="22"/>
          <w:szCs w:val="22"/>
        </w:rPr>
        <w:t>IZMJENE I DOPUNE PRORAČUNA GRADA DUBROVNIKA ZA 2025.</w:t>
      </w:r>
    </w:p>
    <w:p w14:paraId="78A75E89" w14:textId="77777777" w:rsidR="00737998" w:rsidRPr="00775053" w:rsidRDefault="00737998" w:rsidP="00737998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75053">
        <w:rPr>
          <w:rFonts w:ascii="Arial" w:hAnsi="Arial" w:cs="Arial"/>
          <w:b/>
          <w:bCs/>
          <w:color w:val="000000"/>
          <w:sz w:val="22"/>
          <w:szCs w:val="22"/>
        </w:rPr>
        <w:t>I PROJEKCIJA ZA 2026. I  2027. GODINU</w:t>
      </w:r>
    </w:p>
    <w:p w14:paraId="47E2A43B" w14:textId="77777777" w:rsidR="00737998" w:rsidRPr="00775053" w:rsidRDefault="00737998" w:rsidP="00737998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C34C04" w14:textId="77777777" w:rsidR="00737998" w:rsidRPr="00775053" w:rsidRDefault="00737998" w:rsidP="00737998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481476" w14:textId="77777777" w:rsidR="00737998" w:rsidRPr="00775053" w:rsidRDefault="00737998" w:rsidP="00737998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775053">
        <w:rPr>
          <w:rFonts w:ascii="Arial" w:hAnsi="Arial" w:cs="Arial"/>
          <w:b/>
          <w:bCs/>
          <w:color w:val="000000"/>
          <w:sz w:val="22"/>
          <w:szCs w:val="22"/>
        </w:rPr>
        <w:t>I.  OPĆI DIO</w:t>
      </w:r>
    </w:p>
    <w:p w14:paraId="2745D8FF" w14:textId="77777777" w:rsidR="00737998" w:rsidRPr="00775053" w:rsidRDefault="00737998" w:rsidP="00737998">
      <w:pPr>
        <w:keepNext/>
        <w:widowControl w:val="0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>Članak 1.</w:t>
      </w:r>
    </w:p>
    <w:p w14:paraId="3DA27837" w14:textId="77777777" w:rsidR="00737998" w:rsidRPr="00775053" w:rsidRDefault="00737998" w:rsidP="00737998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EABE0F" w14:textId="77777777" w:rsidR="00737998" w:rsidRPr="00775053" w:rsidRDefault="00737998" w:rsidP="00737998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>U Proračunu Grada Dubrovnika za 2025. godinu i projekcija za 2026. i 2027. godinu („Službeni glasnik Grada Dubrovnika“, broj 27/24 i 7/25) u njegovom Općem dijelu članak 1. mijenja se i glasi:</w:t>
      </w:r>
    </w:p>
    <w:p w14:paraId="748A0463" w14:textId="77777777" w:rsidR="00737998" w:rsidRPr="00775053" w:rsidRDefault="00737998" w:rsidP="00737998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DD739FB" w14:textId="77777777" w:rsidR="00737998" w:rsidRPr="00775053" w:rsidRDefault="00737998" w:rsidP="00737998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053">
        <w:rPr>
          <w:rFonts w:ascii="Arial" w:hAnsi="Arial" w:cs="Arial"/>
          <w:color w:val="000000"/>
          <w:sz w:val="22"/>
          <w:szCs w:val="22"/>
        </w:rPr>
        <w:t xml:space="preserve">„Proračun Grada Dubrovnika za 2025. godinu i projekcije za 2026. i 2027. godinu, mijenja se u dijelu koji se odnosi na 2025. godinu,  a sastoji se od:“ </w:t>
      </w:r>
    </w:p>
    <w:p w14:paraId="74D8414D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overflowPunct w:val="0"/>
        <w:autoSpaceDE w:val="0"/>
        <w:autoSpaceDN w:val="0"/>
        <w:adjustRightInd w:val="0"/>
        <w:spacing w:before="29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77505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 xml:space="preserve">PLAN                      POVEĆANJE /                 NOVI PLAN  </w:t>
      </w:r>
    </w:p>
    <w:p w14:paraId="274E0F33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77505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>2025</w:t>
      </w:r>
      <w:r w:rsidRPr="00775053">
        <w:rPr>
          <w:rFonts w:ascii="Arial" w:hAnsi="Arial" w:cs="Arial"/>
          <w:sz w:val="16"/>
          <w:szCs w:val="16"/>
        </w:rPr>
        <w:tab/>
        <w:t xml:space="preserve">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775053">
        <w:rPr>
          <w:rFonts w:ascii="Arial" w:hAnsi="Arial" w:cs="Arial"/>
          <w:sz w:val="16"/>
          <w:szCs w:val="16"/>
        </w:rPr>
        <w:t xml:space="preserve">                         </w:t>
      </w:r>
      <w:r w:rsidRPr="00775053">
        <w:rPr>
          <w:rFonts w:ascii="Arial" w:hAnsi="Arial" w:cs="Arial"/>
          <w:bCs/>
          <w:color w:val="000000"/>
          <w:sz w:val="16"/>
          <w:szCs w:val="16"/>
        </w:rPr>
        <w:t xml:space="preserve">2025.     </w:t>
      </w:r>
      <w:r w:rsidRPr="00775053">
        <w:rPr>
          <w:rFonts w:ascii="Arial" w:hAnsi="Arial" w:cs="Arial"/>
          <w:bCs/>
          <w:sz w:val="16"/>
          <w:szCs w:val="16"/>
        </w:rPr>
        <w:t xml:space="preserve"> </w:t>
      </w:r>
    </w:p>
    <w:p w14:paraId="78A9E47A" w14:textId="77777777" w:rsidR="00737998" w:rsidRPr="00775053" w:rsidRDefault="00737998" w:rsidP="00737998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28AF0B11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bCs/>
          <w:sz w:val="16"/>
          <w:szCs w:val="16"/>
        </w:rPr>
        <w:t>6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       142.238.916                                                      142.238.916</w:t>
      </w:r>
    </w:p>
    <w:p w14:paraId="5E4850A2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 xml:space="preserve">7    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775053">
        <w:rPr>
          <w:rFonts w:ascii="Arial" w:hAnsi="Arial" w:cs="Arial"/>
          <w:b/>
          <w:sz w:val="16"/>
          <w:szCs w:val="16"/>
        </w:rPr>
        <w:t xml:space="preserve">            650.830                                                             650.830</w:t>
      </w:r>
    </w:p>
    <w:p w14:paraId="174A3F4E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>3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                   Rashodi poslovanja              </w:t>
      </w:r>
      <w:r w:rsidRPr="00775053">
        <w:rPr>
          <w:rFonts w:ascii="Arial" w:hAnsi="Arial" w:cs="Arial"/>
          <w:b/>
          <w:sz w:val="16"/>
          <w:szCs w:val="16"/>
        </w:rPr>
        <w:tab/>
        <w:t xml:space="preserve">                                     102.763.717                       -450.000                 102.313.717</w:t>
      </w:r>
    </w:p>
    <w:p w14:paraId="166B4EC2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>4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                   Rashodi za nabavu nefinancijske imovine                55.060.408                         450.000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55.510.408</w:t>
      </w:r>
    </w:p>
    <w:p w14:paraId="2DB91D87" w14:textId="77777777" w:rsidR="00737998" w:rsidRPr="00775053" w:rsidRDefault="00737998" w:rsidP="00737998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31AE8E99" w14:textId="77777777" w:rsidR="00737998" w:rsidRPr="00775053" w:rsidRDefault="00737998" w:rsidP="00737998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14:paraId="10A15329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ab/>
      </w:r>
      <w:r w:rsidRPr="00775053">
        <w:rPr>
          <w:rFonts w:ascii="Arial" w:hAnsi="Arial" w:cs="Arial"/>
          <w:b/>
          <w:bCs/>
          <w:sz w:val="16"/>
          <w:szCs w:val="16"/>
        </w:rPr>
        <w:t>8</w:t>
      </w:r>
      <w:r w:rsidRPr="00775053">
        <w:rPr>
          <w:rFonts w:ascii="Arial" w:hAnsi="Arial" w:cs="Arial"/>
          <w:b/>
          <w:sz w:val="16"/>
          <w:szCs w:val="16"/>
        </w:rPr>
        <w:t xml:space="preserve">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775053">
        <w:rPr>
          <w:rFonts w:ascii="Arial" w:hAnsi="Arial" w:cs="Arial"/>
          <w:b/>
          <w:sz w:val="16"/>
          <w:szCs w:val="16"/>
        </w:rPr>
        <w:tab/>
        <w:t xml:space="preserve">         18.876.600                                                        18.876.600</w:t>
      </w:r>
    </w:p>
    <w:p w14:paraId="17FFFBA0" w14:textId="77777777" w:rsidR="00737998" w:rsidRPr="00775053" w:rsidRDefault="00737998" w:rsidP="00737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 xml:space="preserve">  5  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        4.365.176 </w:t>
      </w:r>
      <w:r w:rsidRPr="00775053">
        <w:rPr>
          <w:rFonts w:ascii="Arial" w:hAnsi="Arial" w:cs="Arial"/>
          <w:b/>
          <w:sz w:val="16"/>
          <w:szCs w:val="16"/>
        </w:rPr>
        <w:t xml:space="preserve">                                                        4.365.176</w:t>
      </w:r>
    </w:p>
    <w:p w14:paraId="5264F7A6" w14:textId="77777777" w:rsidR="00737998" w:rsidRPr="00775053" w:rsidRDefault="00737998" w:rsidP="00737998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067D82EF" w14:textId="77777777" w:rsidR="00737998" w:rsidRPr="00775053" w:rsidRDefault="00737998" w:rsidP="00737998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14:paraId="1814C652" w14:textId="77777777" w:rsidR="00737998" w:rsidRPr="00775053" w:rsidRDefault="00737998" w:rsidP="0073799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775053">
        <w:rPr>
          <w:rFonts w:ascii="Arial" w:hAnsi="Arial" w:cs="Arial"/>
          <w:b/>
          <w:sz w:val="16"/>
          <w:szCs w:val="16"/>
        </w:rPr>
        <w:tab/>
      </w:r>
      <w:r w:rsidRPr="00775053">
        <w:rPr>
          <w:rFonts w:ascii="Arial" w:hAnsi="Arial" w:cs="Arial"/>
          <w:b/>
          <w:bCs/>
          <w:sz w:val="16"/>
          <w:szCs w:val="16"/>
        </w:rPr>
        <w:t>9</w:t>
      </w:r>
      <w:r w:rsidRPr="00775053">
        <w:rPr>
          <w:rFonts w:ascii="Arial" w:hAnsi="Arial" w:cs="Arial"/>
          <w:b/>
          <w:sz w:val="16"/>
          <w:szCs w:val="16"/>
        </w:rPr>
        <w:t xml:space="preserve">              Vlastiti izvori  višak/manjak  sredstava             </w:t>
      </w:r>
      <w:r w:rsidRPr="00775053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775053">
        <w:rPr>
          <w:rFonts w:ascii="Arial" w:hAnsi="Arial" w:cs="Arial"/>
          <w:b/>
          <w:sz w:val="16"/>
          <w:szCs w:val="16"/>
        </w:rPr>
        <w:tab/>
        <w:t xml:space="preserve">             422.955                                                              422.955</w:t>
      </w:r>
    </w:p>
    <w:p w14:paraId="7008F3CE" w14:textId="77777777" w:rsidR="00737998" w:rsidRPr="00775053" w:rsidRDefault="00737998" w:rsidP="00737998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sz w:val="16"/>
          <w:szCs w:val="16"/>
        </w:rPr>
      </w:pPr>
      <w:r w:rsidRPr="00775053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  <w:r w:rsidRPr="00775053">
        <w:rPr>
          <w:rFonts w:ascii="Arial" w:hAnsi="Arial" w:cs="Arial"/>
          <w:sz w:val="16"/>
          <w:szCs w:val="16"/>
        </w:rPr>
        <w:t xml:space="preserve"> </w:t>
      </w:r>
    </w:p>
    <w:p w14:paraId="227E12A2" w14:textId="77777777" w:rsidR="00737998" w:rsidRPr="00775053" w:rsidRDefault="00737998" w:rsidP="00737998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75053">
        <w:rPr>
          <w:rFonts w:ascii="Arial" w:hAnsi="Arial" w:cs="Arial"/>
          <w:b/>
          <w:bCs/>
          <w:sz w:val="16"/>
          <w:szCs w:val="16"/>
        </w:rPr>
        <w:t xml:space="preserve"> PRIHODI:  (6+7+8+9)                                                                      162.189.301                                                      162.189.301</w:t>
      </w:r>
    </w:p>
    <w:p w14:paraId="599DA0CC" w14:textId="77777777" w:rsidR="00737998" w:rsidRPr="00775053" w:rsidRDefault="00737998" w:rsidP="00737998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775053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162.189.301                                                      162.189.301</w:t>
      </w:r>
    </w:p>
    <w:p w14:paraId="0F2EAB0C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C64A548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1307"/>
        <w:gridCol w:w="1309"/>
        <w:gridCol w:w="1206"/>
        <w:gridCol w:w="921"/>
      </w:tblGrid>
      <w:tr w:rsidR="00737998" w:rsidRPr="00775053" w14:paraId="08DAF86E" w14:textId="77777777" w:rsidTr="00E066E6">
        <w:trPr>
          <w:tblHeader/>
        </w:trPr>
        <w:tc>
          <w:tcPr>
            <w:tcW w:w="2424" w:type="pct"/>
            <w:shd w:val="clear" w:color="auto" w:fill="FFFFFF"/>
            <w:noWrap/>
            <w:vAlign w:val="center"/>
            <w:hideMark/>
          </w:tcPr>
          <w:p w14:paraId="0C257E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75053">
              <w:rPr>
                <w:rFonts w:ascii="Arial" w:hAnsi="Arial" w:cs="Arial"/>
                <w:b/>
                <w:sz w:val="20"/>
                <w:szCs w:val="20"/>
              </w:rPr>
              <w:t>S  A  Ž  E  T  A  K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6AD37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Plan  2025. (1.)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40773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Povećanje /smanjenje  (2.)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2A6F2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F6A31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737998" w:rsidRPr="00775053" w14:paraId="7AB75A12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565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6B9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A40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792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1B9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77F46CAC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60E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054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D3A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CA8F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17F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8871277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F6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2A01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680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4CE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259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D28CF2A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20A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236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102.763.717,00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CDA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46D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102.313.717,00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E21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737998" w:rsidRPr="00775053" w14:paraId="42FAF2C3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88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7350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55.060.408,00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168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E95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55.510.408,00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C17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737998" w:rsidRPr="00775053" w14:paraId="772CCC7C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039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E4F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-14.934.379,00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E757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ED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-14.934.379,00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00B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3BBDEE4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9BC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BB0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418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C7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10C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307D1324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8B9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1497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C238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24C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4F2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474EC66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22D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9F5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DBD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B8E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526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84C1983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E5D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1CD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14.511.424,00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179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080C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14.511.424,00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11D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D7C506E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82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435F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65C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17A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3512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2499CB7E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661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BAA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161.766.346,00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7B6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A16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161.766.346,00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6438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64DF668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069C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E7C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A9B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CB0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49D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56FED90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AEE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937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-422.955,00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CA8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049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-422.955,00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393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5AEAC53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8D7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29F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344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A86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018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446D82B3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D7F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VIŠAK/MANJAK PRIHODA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53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422.955,00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CD0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BA3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422.955,00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0D9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D8D1118" w14:textId="77777777" w:rsidTr="00E066E6"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E3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EAC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08A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83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EB5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D5BC7B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DAC90C7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03AF0D1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1329"/>
        <w:gridCol w:w="1310"/>
        <w:gridCol w:w="1180"/>
        <w:gridCol w:w="799"/>
      </w:tblGrid>
      <w:tr w:rsidR="00737998" w:rsidRPr="00775053" w14:paraId="117EC79D" w14:textId="77777777" w:rsidTr="00E066E6">
        <w:trPr>
          <w:tblHeader/>
        </w:trPr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203569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1F28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Plan  2025. (1.)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54498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Povećanje /smanjenje  (2.)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9535A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3731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775053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737998" w:rsidRPr="00775053" w14:paraId="65F3F3ED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9DB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A.   RAČUN PRIHODA I RASHODA  -  EKONOMSKA     </w:t>
            </w:r>
          </w:p>
          <w:p w14:paraId="29FB3A7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KLASIFIKACIJA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B26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60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BFD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2E1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7D237200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BC5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348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4B3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B3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142.238.916,00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F01C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A906C65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953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852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46.923.804,00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F0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FC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46.923.804,00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8B6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795F954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3C3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164B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37.861.615,00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9C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F03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37.861.615,00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66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18C678D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D51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E1C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35.674.923,00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0E0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D26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35.674.923,00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9BE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2B3DCA7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D7C9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7E8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19.010.150,00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E008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06F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19.010.150,00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4BD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9AE9F1A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4EE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CEB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1.923.290,00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65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C93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1.923.290,00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088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B2F68CA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A83C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E799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845.134,00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C030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131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845.134,00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DEA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0412C04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F45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50E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9503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EEF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650.830,00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7DD4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79BC5FB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378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C22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9D7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D06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D86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EBA3B50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6EA8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12C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200.830,00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14E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3A3E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200.830,00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AE1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F1E4D02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982442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7E639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CBE76C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1DEDC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DBBF7C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018432E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D484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A94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102.763.717,00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BD1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135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102.313.717,00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DCD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737998" w:rsidRPr="00775053" w14:paraId="756B53DF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071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CCD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48.580.371,00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BCC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381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48.580.371,00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BAD7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4DE44DE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D8C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1C3C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35.227.553,00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DB3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C2D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35.227.553,00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A79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3579709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B98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A22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724.848,00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5C6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AC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724.848,00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4B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FE872FC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F2D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C8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2.756.384,00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BCA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585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2.756.384,00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DD3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F9317B9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FF0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D96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1.996.251,00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596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BBB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1.546.251,00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C8D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77,46</w:t>
            </w:r>
          </w:p>
        </w:tc>
      </w:tr>
      <w:tr w:rsidR="00737998" w:rsidRPr="00775053" w14:paraId="155E484B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02B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F705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4.592.850,00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7A1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B9C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4.592.850,00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AC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DC50AA7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8320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D72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8.885.460,00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F5A2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23B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8.885.460,00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47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D1C6E54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768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9B9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55.060.408,00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6D06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37B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55.510.408,00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8DC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737998" w:rsidRPr="00775053" w14:paraId="11D2231F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14E3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EC6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1.045.734,00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E8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721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1.045.734,00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975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25C00EF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192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C70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26.837.858,00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8F7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ABD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27.287.858,00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A33A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101,68</w:t>
            </w:r>
          </w:p>
        </w:tc>
      </w:tr>
      <w:tr w:rsidR="00737998" w:rsidRPr="00775053" w14:paraId="3A276CC4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9FF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FFE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E7F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93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DBBB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8922F6D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7CC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0B5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27.176.316,00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2C3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61B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27.176.316,00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F0C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3206D70" w14:textId="77777777" w:rsidTr="00E066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32201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D070F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EDF4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DD88AF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7592D0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0E130EA6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C25A930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1308"/>
        <w:gridCol w:w="1311"/>
        <w:gridCol w:w="1179"/>
        <w:gridCol w:w="797"/>
      </w:tblGrid>
      <w:tr w:rsidR="00737998" w:rsidRPr="00775053" w14:paraId="045D1790" w14:textId="77777777" w:rsidTr="00E066E6">
        <w:trPr>
          <w:tblHeader/>
        </w:trPr>
        <w:tc>
          <w:tcPr>
            <w:tcW w:w="2463" w:type="pct"/>
            <w:shd w:val="clear" w:color="auto" w:fill="FFFFFF"/>
            <w:noWrap/>
            <w:vAlign w:val="center"/>
            <w:hideMark/>
          </w:tcPr>
          <w:p w14:paraId="1BD8475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36AC1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74475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E0D64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89325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37998" w:rsidRPr="00775053" w14:paraId="7180D49F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AEA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>A.  RAČUN PRIHODA I RASHODA – PREMA IZVORIMA</w:t>
            </w:r>
          </w:p>
          <w:p w14:paraId="5F011C9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FINANCIRANJA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DA3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D0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E03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49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7382DE92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DE1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A5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83.778.789,00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A43C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65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83.778.789,00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B6B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201C820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764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848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80.712.079,00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E73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CBB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80.712.079,00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430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34AC028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14D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81A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9BF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155E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675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5EFFA40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A92A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D00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3.908.724,00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DE2C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19E0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3.908.724,00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08B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92E82E8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0B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FB4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764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6C3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6AF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BA29CD8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D2B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F83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3.678.724,00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0583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DD5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3.678.724,00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7A3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61523A1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8025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28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17.523.104,00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000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0A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17.523.104,00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D72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E2D3FDE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481E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270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F70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801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57C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1D7CB95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E19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5612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CB9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874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06D8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18DB043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9FB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1E6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3C62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042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717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9E43D61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CAB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18AA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1FCC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D6F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09C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E4F8205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8D4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AA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EAD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9B3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2.785.000,00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32CE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6A08AE4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BF8A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A5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F9B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ABD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053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C08F2D9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1A3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4154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7E4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934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060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BBF3067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254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8FD3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5B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274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C0F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5506A76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982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63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6E80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F04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142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08879BB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0FB6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2D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344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EFC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403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4D6B4ED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E45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66B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3D39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93DA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AB1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357809D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AF9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A58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AB2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A3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972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FBEA40B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E6A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6191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565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5BF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3CD1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6F35627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33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131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271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E59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AC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C20523B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FA2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5CF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E4FA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D56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885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B0184A8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943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330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C26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A7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42B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14E3737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E58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D38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7463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F01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45D5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EE5FD8A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F3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809C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B4B3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60F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BC9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38380B1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8DA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3C09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818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F6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EF4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8287ADB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DBB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FE6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CB59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40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255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04F26D7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E2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D1E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24F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063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7E23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118FED4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791B01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1C4B3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77EBBB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3F579C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142.889.746,00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B4CEC7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2664D97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E42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986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81.506.806,00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32C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FA0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81.506.806,00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B02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A972FED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903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740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78.440.096,00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65F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2EB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78.440.096,00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A85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E2CB38D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8FE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A37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D3E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540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3.066.710,00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860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E1E2E92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0F7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7A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3.817.424,00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05F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BA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3.817.424,00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885B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D576786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D6B4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A31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44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A98A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4E9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023D7EC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6A0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789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3.587.424,00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5E71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039B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3.587.424,00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4C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DC3D3A9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3B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C028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16.043.511,00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E9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9D7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16.043.511,00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B97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7DC8C2E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D48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552F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238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81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2.287.104,00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152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2B1390A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82B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CE0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755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C7E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AF9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3981235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5E9A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A92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F3D9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B0B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B8B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24C8C40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7C8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47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871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FD99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43A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59502A1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55A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EE4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367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6C2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678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016FE59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2D11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C9A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705.407,00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0FCD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AF1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705.407,00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A60F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4B2327B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5BF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34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0BB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8437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097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2107510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9C7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138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94E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96B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ED00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8F84490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C7B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CC3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FCB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E9E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31.984.930,00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ADC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F545628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EAD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A34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4E52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28B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417.400,00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033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5BE4BD8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1C1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825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B0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EB2D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BB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3A6F310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0736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86A1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0A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093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17.186.220,00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4BF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34D9CEF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665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9E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4A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4D7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D60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1FB96BF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A5BF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A04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789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FB5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12.819.310,00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30A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DB1793A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E9D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0B4E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70F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4B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5.110.199,00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7A3B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1FF6C8A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91A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520A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307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033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DD6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B429337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BA9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A94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8C0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6E1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752D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8406CE2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A84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A8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E75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3E5B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4.685.199,00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FFB1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2B652A1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F78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 Namjenski primici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300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DCD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510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CF2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D8E914E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B23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FB7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89D4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E03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ABD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ED7F96C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1F5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4742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8EF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D70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EE1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F64D0F6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4A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C9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FC0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FE7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135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10F922F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5DD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9 Višak/manjak prihoda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A6F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489.255,00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615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0EC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489.255,00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0259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7C4C6BE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7FE0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FE8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728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FF2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724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0A0BE4D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1C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7A9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69.255,00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04D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534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69.255,00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843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C3CBFAC" w14:textId="77777777" w:rsidTr="00E066E6">
        <w:tc>
          <w:tcPr>
            <w:tcW w:w="2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1B154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13265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B1C9B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793641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C73A99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6191F276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70F95EC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306"/>
        <w:gridCol w:w="1308"/>
        <w:gridCol w:w="1293"/>
        <w:gridCol w:w="683"/>
      </w:tblGrid>
      <w:tr w:rsidR="00737998" w:rsidRPr="00775053" w14:paraId="68F664B7" w14:textId="77777777" w:rsidTr="00E066E6">
        <w:trPr>
          <w:tblHeader/>
        </w:trPr>
        <w:tc>
          <w:tcPr>
            <w:tcW w:w="2466" w:type="pct"/>
            <w:shd w:val="clear" w:color="auto" w:fill="FFFFFF"/>
            <w:noWrap/>
            <w:vAlign w:val="center"/>
            <w:hideMark/>
          </w:tcPr>
          <w:p w14:paraId="6BF75EA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sz w:val="17"/>
                <w:szCs w:val="17"/>
              </w:rPr>
              <w:t>A.  RASHODI  PREMA FUNKCIJSKOJ KLASIFIKACIJI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F6A69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062208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860EC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F152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37998" w:rsidRPr="00775053" w14:paraId="2E7120C6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2C27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C82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F6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3BE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157.824.125,00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376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E165941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0D0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32E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151.544.605,00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25A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7D8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151.994.605,00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C7C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737998" w:rsidRPr="00775053" w14:paraId="145E1C7F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158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290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14.926.192,00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63E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92D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14.926.192,00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5BD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7271730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F7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011 Izvršna i zakonodavna tijela, financijski i fiskalni poslovi, vanjski poslovi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48F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2.101.792,00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EF9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238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2.101.792,00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202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9B47131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6DE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B64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12.820.400,00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767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8A7A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12.820.400,00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2F4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9F756F9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744E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015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606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8E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E5D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199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5AB0184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736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6A2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C45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031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8B5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F354597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0E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284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564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982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C1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8E89BB5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76F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C12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5.609.333,00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11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3DE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5.609.333,00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EF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C3EDD32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61D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754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5.321.618,00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295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FAE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5.321.618,00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3E2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EB3A826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933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8CD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97C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835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5B9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77EA91E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74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067A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11.774.400,00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B34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92B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11.774.400,00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4E1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A485D1E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C40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427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2.269.702,00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5CE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FE95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2.269.702,00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6EBF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EFF2552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2CA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CE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9.482.198,00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F74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49E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9.482.198,00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B8E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398CAFE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7A4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047 Ostale industrije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E3B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82C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A36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4B4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D21CBD4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259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48A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1CD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580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919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A834B44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87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03A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11.197.080,00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F9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7EAA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11.197.080,00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017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EFF47DD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B394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673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3.048.300,00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27B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B475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3.048.300,00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B72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8445442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AF3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1D6B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5A1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B54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B3D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19A2D6F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411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01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7641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B90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9E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FA57591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DEB0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D82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5.131.210,00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B4E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B0A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5.131.210,00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E3B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0ADA0CE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26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DD6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960C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950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1D0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6CC1EFB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D8D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F64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2.274.370,00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397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3F6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2.274.370,00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7DA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BDF4DFD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D417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B0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28.571.059,00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CCD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721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29.021.059,00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512C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737998" w:rsidRPr="00775053" w14:paraId="6C039B9A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C4F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153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FF9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6D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2FE5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051A782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60E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3E6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24.845.229,00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EAD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DF2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25.295.229,00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19DD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737998" w:rsidRPr="00775053" w14:paraId="456D6BCA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14F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59C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8EB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EC8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9EB8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3117497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04B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B72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2.268.330,00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D391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FC5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2.268.330,00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06F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4825245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2964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F2D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36.714.920,00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3CE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4E5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36.714.920,00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42B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59D1CEB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165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78B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13.167.336,00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18E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763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13.167.336,00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EB75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9673A36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B045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2547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23.421.584,00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875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B3A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23.421.584,00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E29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63042D2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104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6F1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42F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B82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AA1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59A4D27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714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71F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42.582.621,00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0D9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E4D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42.582.621,00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03A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76C2E5F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94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3A4F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42.071.251,00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B8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44A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42.071.251,00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2A4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E937701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FC6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F77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957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15B7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5D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76A2C60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4A7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714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AE5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136B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E9A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BA849FE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1DE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84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1AB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269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C0F0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84FB35F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6AB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E4D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6.279.520,00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CC1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933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5.829.520,00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0D9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92,83</w:t>
            </w:r>
          </w:p>
        </w:tc>
      </w:tr>
      <w:tr w:rsidR="00737998" w:rsidRPr="00775053" w14:paraId="0B28BBD4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128F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635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8279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ADC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353.280,00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E15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963EF51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5DF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40ED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4CB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E77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667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299CAA5" w14:textId="77777777" w:rsidTr="00E066E6"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D05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5723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5.913.240,00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B0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EBD4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5.463.240,00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495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92,39</w:t>
            </w:r>
          </w:p>
        </w:tc>
      </w:tr>
    </w:tbl>
    <w:p w14:paraId="10FFFF73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7F79AA5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1440"/>
        <w:gridCol w:w="1047"/>
        <w:gridCol w:w="1309"/>
        <w:gridCol w:w="797"/>
      </w:tblGrid>
      <w:tr w:rsidR="00737998" w:rsidRPr="00775053" w14:paraId="62C37B29" w14:textId="77777777" w:rsidTr="00E066E6">
        <w:trPr>
          <w:tblHeader/>
        </w:trPr>
        <w:tc>
          <w:tcPr>
            <w:tcW w:w="2464" w:type="pct"/>
            <w:shd w:val="clear" w:color="auto" w:fill="FFFFFF"/>
            <w:noWrap/>
            <w:vAlign w:val="center"/>
            <w:hideMark/>
          </w:tcPr>
          <w:p w14:paraId="00F48AC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7DB2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13BF59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4921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9928E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37998" w:rsidRPr="00775053" w14:paraId="76F1B199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D22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B. RAČUN FINANCIRANJA  -   EKONOMSKA    </w:t>
            </w:r>
          </w:p>
          <w:p w14:paraId="6A82D81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KLASIFIKACIJA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C85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D13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8DA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4B9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</w:tr>
      <w:tr w:rsidR="00737998" w:rsidRPr="00775053" w14:paraId="224968B0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7414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179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2D5E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7EF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FD4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72E7C1D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E91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4B8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C72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89B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354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1E15B02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197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9A4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7A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FF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D1A2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30060B8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138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C81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DE5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536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6F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BC68E45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08B4D4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20A63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E95446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F6DF4A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4F0D8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81D802E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B69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E02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D4D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11E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A3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08A8BB7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533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D53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EC6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145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4CA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F86F009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DEA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040C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D3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0AB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BF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E8B5CA7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753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 Izdaci za otplatu glavnice primljenih kredita i zajmova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9B9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4.308.631,00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034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461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4.308.631,00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640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3B0322F" w14:textId="77777777" w:rsidTr="00E066E6">
        <w:tc>
          <w:tcPr>
            <w:tcW w:w="2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36E5E4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C232A3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C18A10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7E68A3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50754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0982058D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5C1BA8D8" w14:textId="77777777" w:rsidR="00737998" w:rsidRPr="00775053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1440"/>
        <w:gridCol w:w="1049"/>
        <w:gridCol w:w="1309"/>
        <w:gridCol w:w="800"/>
      </w:tblGrid>
      <w:tr w:rsidR="00737998" w:rsidRPr="00775053" w14:paraId="0C8E2D37" w14:textId="77777777" w:rsidTr="00E066E6">
        <w:trPr>
          <w:tblHeader/>
        </w:trPr>
        <w:tc>
          <w:tcPr>
            <w:tcW w:w="4835" w:type="dxa"/>
            <w:shd w:val="clear" w:color="auto" w:fill="FFFFFF"/>
            <w:noWrap/>
            <w:vAlign w:val="center"/>
            <w:hideMark/>
          </w:tcPr>
          <w:p w14:paraId="2C29504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F92CD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Plan  2025. (1.)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39789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Povećanje /smanjenje  (2.)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D4F05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414C9C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775053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737998" w:rsidRPr="00775053" w14:paraId="2B9FCBDB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60D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B.   RAČUN FINANCIRANJA   -   PREMA IZVORIMA </w:t>
            </w:r>
          </w:p>
          <w:p w14:paraId="76B5B58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   FINANCIRANJA</w:t>
            </w: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1110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C4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AB68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9F45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98" w:rsidRPr="00775053" w14:paraId="25F5994A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5C03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B5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F9F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D8B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78EF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0F314EFA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67EC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87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A84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3D5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AC6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BB441AC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98F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 Namjenski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6AB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7AA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0FB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18.872.000,00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B2E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AB689C5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6A0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7D9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4EAC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4F6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C37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E13A78D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31F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C40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2C8D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C63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8F4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123DEB1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D81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2AF2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EE4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AB4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9C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1BD46B2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822E9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E73B58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807026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FF53DC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18.876.600,00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E50EDB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69D482F4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0F1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63CC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5A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D5E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C1B6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35C258B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B59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36D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FCF8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8F83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2.276.583,00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E44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E6C4DD6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2B7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 Vlastiti prihodi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5A30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878E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330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17E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CAFAB2F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D39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B772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21A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3FC7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E69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1765C105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07B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 Prihodi za posebne namjene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0931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1.479.593,00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7A0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198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1.479.593,00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8E8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BCB95A9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91B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4FC7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12A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798E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44F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5B6A5838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528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FE19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D9C1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7E5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45B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43217403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34F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 Prihodi od prodaje ili zamjene nefinancijske imovine i naknade s naslova osiguranja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7CD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2C8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FF47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FE2B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27BD2012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805C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517D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42338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EA0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910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3F8A28DE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0F4F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C091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847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52E5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05AA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737998" w:rsidRPr="00775053" w14:paraId="7528B3FD" w14:textId="77777777" w:rsidTr="00E066E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24EABE2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F24D1C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2905626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45B2A4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4.365.176,00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AE31850" w14:textId="77777777" w:rsidR="00737998" w:rsidRPr="00775053" w:rsidRDefault="00737998" w:rsidP="00E066E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05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358DE5B9" w14:textId="77777777" w:rsidR="00737998" w:rsidRPr="00A20A0B" w:rsidRDefault="00737998" w:rsidP="00737998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E9648EC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D82A79"/>
    <w:multiLevelType w:val="hybridMultilevel"/>
    <w:tmpl w:val="EA80AF8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6EEE"/>
    <w:multiLevelType w:val="hybridMultilevel"/>
    <w:tmpl w:val="21C4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5B39"/>
    <w:multiLevelType w:val="hybridMultilevel"/>
    <w:tmpl w:val="CDDAA42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0CCA"/>
    <w:multiLevelType w:val="hybridMultilevel"/>
    <w:tmpl w:val="72BC1BF2"/>
    <w:lvl w:ilvl="0" w:tplc="113217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AB862B4"/>
    <w:multiLevelType w:val="hybridMultilevel"/>
    <w:tmpl w:val="EB0228D8"/>
    <w:lvl w:ilvl="0" w:tplc="1D1401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65B"/>
    <w:multiLevelType w:val="hybridMultilevel"/>
    <w:tmpl w:val="802C832E"/>
    <w:lvl w:ilvl="0" w:tplc="C9E013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8F7F9B"/>
    <w:multiLevelType w:val="hybridMultilevel"/>
    <w:tmpl w:val="0FE4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7D4B"/>
    <w:multiLevelType w:val="hybridMultilevel"/>
    <w:tmpl w:val="3A46DE32"/>
    <w:lvl w:ilvl="0" w:tplc="E882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92C0D"/>
    <w:multiLevelType w:val="hybridMultilevel"/>
    <w:tmpl w:val="CE2C0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234E0"/>
    <w:multiLevelType w:val="hybridMultilevel"/>
    <w:tmpl w:val="61DE18D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675761">
    <w:abstractNumId w:val="3"/>
  </w:num>
  <w:num w:numId="2" w16cid:durableId="56780951">
    <w:abstractNumId w:val="7"/>
  </w:num>
  <w:num w:numId="3" w16cid:durableId="1413620838">
    <w:abstractNumId w:val="2"/>
  </w:num>
  <w:num w:numId="4" w16cid:durableId="1683505249">
    <w:abstractNumId w:val="4"/>
  </w:num>
  <w:num w:numId="5" w16cid:durableId="2068334882">
    <w:abstractNumId w:val="6"/>
  </w:num>
  <w:num w:numId="6" w16cid:durableId="1616135097">
    <w:abstractNumId w:val="8"/>
  </w:num>
  <w:num w:numId="7" w16cid:durableId="1626691435">
    <w:abstractNumId w:val="16"/>
  </w:num>
  <w:num w:numId="8" w16cid:durableId="1966884901">
    <w:abstractNumId w:val="13"/>
  </w:num>
  <w:num w:numId="9" w16cid:durableId="1502815969">
    <w:abstractNumId w:val="17"/>
  </w:num>
  <w:num w:numId="10" w16cid:durableId="1169177299">
    <w:abstractNumId w:val="12"/>
  </w:num>
  <w:num w:numId="11" w16cid:durableId="1313489850">
    <w:abstractNumId w:val="9"/>
  </w:num>
  <w:num w:numId="12" w16cid:durableId="27336832">
    <w:abstractNumId w:val="11"/>
  </w:num>
  <w:num w:numId="13" w16cid:durableId="1592162758">
    <w:abstractNumId w:val="10"/>
  </w:num>
  <w:num w:numId="14" w16cid:durableId="1551067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307376">
    <w:abstractNumId w:val="0"/>
  </w:num>
  <w:num w:numId="16" w16cid:durableId="389576576">
    <w:abstractNumId w:val="15"/>
  </w:num>
  <w:num w:numId="17" w16cid:durableId="628509887">
    <w:abstractNumId w:val="5"/>
  </w:num>
  <w:num w:numId="18" w16cid:durableId="11515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98"/>
    <w:rsid w:val="000D0B39"/>
    <w:rsid w:val="00123BDF"/>
    <w:rsid w:val="001B0189"/>
    <w:rsid w:val="00257BF6"/>
    <w:rsid w:val="002C0402"/>
    <w:rsid w:val="002D0579"/>
    <w:rsid w:val="002F09DA"/>
    <w:rsid w:val="00301771"/>
    <w:rsid w:val="003A2F5A"/>
    <w:rsid w:val="003C5D96"/>
    <w:rsid w:val="003C7DAF"/>
    <w:rsid w:val="0040201C"/>
    <w:rsid w:val="0048095E"/>
    <w:rsid w:val="004879B4"/>
    <w:rsid w:val="004E7EB0"/>
    <w:rsid w:val="00511E04"/>
    <w:rsid w:val="005821FA"/>
    <w:rsid w:val="00641443"/>
    <w:rsid w:val="00645BC4"/>
    <w:rsid w:val="006C5D00"/>
    <w:rsid w:val="006E25C0"/>
    <w:rsid w:val="007104DF"/>
    <w:rsid w:val="00737998"/>
    <w:rsid w:val="007D3460"/>
    <w:rsid w:val="007F1CE6"/>
    <w:rsid w:val="00820409"/>
    <w:rsid w:val="008C708C"/>
    <w:rsid w:val="008F1E02"/>
    <w:rsid w:val="009574DB"/>
    <w:rsid w:val="00983EAA"/>
    <w:rsid w:val="00984028"/>
    <w:rsid w:val="00A31397"/>
    <w:rsid w:val="00A55AE4"/>
    <w:rsid w:val="00A9316E"/>
    <w:rsid w:val="00AA3588"/>
    <w:rsid w:val="00B134F1"/>
    <w:rsid w:val="00B14FC9"/>
    <w:rsid w:val="00B22951"/>
    <w:rsid w:val="00B43CE8"/>
    <w:rsid w:val="00B91894"/>
    <w:rsid w:val="00B92B87"/>
    <w:rsid w:val="00CB21FC"/>
    <w:rsid w:val="00D41180"/>
    <w:rsid w:val="00F62E91"/>
    <w:rsid w:val="00F94309"/>
    <w:rsid w:val="00FC297F"/>
    <w:rsid w:val="00FC79C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BE7A"/>
  <w15:chartTrackingRefBased/>
  <w15:docId w15:val="{DC49DCF1-5D9F-4FFE-A488-C40633E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3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79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79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7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7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7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7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3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79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799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799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79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79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79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79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7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79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79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799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799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7998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737998"/>
    <w:pPr>
      <w:spacing w:after="0" w:line="240" w:lineRule="auto"/>
    </w:pPr>
    <w:rPr>
      <w:kern w:val="0"/>
    </w:rPr>
  </w:style>
  <w:style w:type="numbering" w:customStyle="1" w:styleId="NoList1">
    <w:name w:val="No List1"/>
    <w:next w:val="Bezpopisa"/>
    <w:semiHidden/>
    <w:rsid w:val="00737998"/>
  </w:style>
  <w:style w:type="paragraph" w:styleId="Tijeloteksta">
    <w:name w:val="Body Text"/>
    <w:basedOn w:val="Normal"/>
    <w:link w:val="TijelotekstaChar"/>
    <w:rsid w:val="0073799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37998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737998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998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737998"/>
  </w:style>
  <w:style w:type="character" w:styleId="Hiperveza">
    <w:name w:val="Hyperlink"/>
    <w:uiPriority w:val="99"/>
    <w:semiHidden/>
    <w:unhideWhenUsed/>
    <w:rsid w:val="00737998"/>
    <w:rPr>
      <w:color w:val="0000FF"/>
      <w:u w:val="single"/>
    </w:rPr>
  </w:style>
  <w:style w:type="character" w:styleId="Naglaeno">
    <w:name w:val="Strong"/>
    <w:uiPriority w:val="22"/>
    <w:qFormat/>
    <w:rsid w:val="00737998"/>
    <w:rPr>
      <w:b/>
      <w:bCs/>
    </w:rPr>
  </w:style>
  <w:style w:type="character" w:styleId="SlijeenaHiperveza">
    <w:name w:val="FollowedHyperlink"/>
    <w:uiPriority w:val="99"/>
    <w:semiHidden/>
    <w:unhideWhenUsed/>
    <w:rsid w:val="00737998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79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737998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7379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737998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737998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737998"/>
  </w:style>
  <w:style w:type="character" w:customStyle="1" w:styleId="bold">
    <w:name w:val="bold"/>
    <w:basedOn w:val="Zadanifontodlomka"/>
    <w:rsid w:val="00737998"/>
  </w:style>
  <w:style w:type="paragraph" w:customStyle="1" w:styleId="bezreda">
    <w:name w:val="bezreda"/>
    <w:basedOn w:val="Normal"/>
    <w:rsid w:val="00737998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737998"/>
  </w:style>
  <w:style w:type="paragraph" w:customStyle="1" w:styleId="msonormal0">
    <w:name w:val="msonormal"/>
    <w:basedOn w:val="Normal"/>
    <w:rsid w:val="00737998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7379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2</cp:revision>
  <dcterms:created xsi:type="dcterms:W3CDTF">2025-06-18T08:36:00Z</dcterms:created>
  <dcterms:modified xsi:type="dcterms:W3CDTF">2025-06-18T08:45:00Z</dcterms:modified>
</cp:coreProperties>
</file>