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 xml:space="preserve">Na temelju članka 45. i 164. Zakona o Proračunu („Narodne novine“, broj 144/21) i članka 39. Statuta Grada Dubrovnika („Službeni glasnik Grada Dubrovnika“, broj 2/21),  Gradsko vijeće Grada Dubrovnika na 17. sjednici, održanoj 27. prosinca 2022., donijelo je </w:t>
      </w:r>
    </w:p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r w:rsidRPr="00D864B0">
        <w:rPr>
          <w:rFonts w:ascii="Arial" w:hAnsi="Arial" w:cs="Arial"/>
          <w:b/>
          <w:bCs/>
          <w:color w:val="000000"/>
          <w:sz w:val="22"/>
          <w:szCs w:val="22"/>
        </w:rPr>
        <w:t>IZMJENE I DOPUNE PRORAČUNA (ČETVRTE)</w:t>
      </w:r>
    </w:p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864B0">
        <w:rPr>
          <w:rFonts w:ascii="Arial" w:hAnsi="Arial" w:cs="Arial"/>
          <w:b/>
          <w:bCs/>
          <w:color w:val="000000"/>
          <w:sz w:val="22"/>
          <w:szCs w:val="22"/>
        </w:rPr>
        <w:t xml:space="preserve">GRADA  DUBROVNIKA ZA 2022. </w:t>
      </w:r>
    </w:p>
    <w:bookmarkEnd w:id="0"/>
    <w:p w:rsidR="00CE3CBF" w:rsidRPr="00D864B0" w:rsidRDefault="00CE3CBF" w:rsidP="00CE3CBF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3CBF" w:rsidRPr="00D864B0" w:rsidRDefault="00CE3CBF" w:rsidP="00CE3CBF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3CBF" w:rsidRPr="00D864B0" w:rsidRDefault="00CE3CBF" w:rsidP="00CE3CBF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color w:val="000000"/>
          <w:sz w:val="22"/>
          <w:szCs w:val="22"/>
        </w:rPr>
      </w:pPr>
      <w:r w:rsidRPr="00D864B0">
        <w:rPr>
          <w:rFonts w:ascii="Arial" w:hAnsi="Arial" w:cs="Arial"/>
          <w:b/>
          <w:color w:val="000000"/>
          <w:sz w:val="22"/>
          <w:szCs w:val="22"/>
        </w:rPr>
        <w:t>I.  OPĆI DIO</w:t>
      </w:r>
    </w:p>
    <w:p w:rsidR="00CE3CBF" w:rsidRPr="00D864B0" w:rsidRDefault="00CE3CBF" w:rsidP="00CE3CBF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>Članak 1.</w:t>
      </w:r>
    </w:p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E3CBF" w:rsidRPr="00D864B0" w:rsidRDefault="00CE3CBF" w:rsidP="00CE3CBF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 xml:space="preserve">Proračun Grada Dubrovnika za 2022. godinu sastoji se od: 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center" w:pos="8480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/>
          <w:bCs/>
          <w:color w:val="000000"/>
          <w:sz w:val="16"/>
          <w:szCs w:val="16"/>
        </w:rPr>
      </w:pPr>
      <w:r w:rsidRPr="00D864B0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D864B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Pr="00D864B0">
        <w:rPr>
          <w:rFonts w:ascii="Arial" w:hAnsi="Arial" w:cs="Arial"/>
          <w:b/>
          <w:bCs/>
          <w:color w:val="000000"/>
          <w:sz w:val="16"/>
          <w:szCs w:val="16"/>
        </w:rPr>
        <w:t>2022</w:t>
      </w:r>
      <w:r w:rsidRPr="00D864B0">
        <w:rPr>
          <w:rFonts w:ascii="Arial" w:hAnsi="Arial" w:cs="Arial"/>
          <w:b/>
          <w:sz w:val="16"/>
          <w:szCs w:val="16"/>
        </w:rPr>
        <w:tab/>
        <w:t xml:space="preserve">              </w:t>
      </w:r>
      <w:r w:rsidRPr="00D864B0">
        <w:rPr>
          <w:rFonts w:ascii="Arial" w:hAnsi="Arial" w:cs="Arial"/>
          <w:b/>
          <w:bCs/>
          <w:color w:val="000000"/>
          <w:sz w:val="16"/>
          <w:szCs w:val="16"/>
        </w:rPr>
        <w:t>SMANJENJE</w:t>
      </w:r>
      <w:r w:rsidRPr="00D864B0">
        <w:rPr>
          <w:rFonts w:ascii="Arial" w:hAnsi="Arial" w:cs="Arial"/>
          <w:b/>
          <w:sz w:val="16"/>
          <w:szCs w:val="16"/>
        </w:rPr>
        <w:t xml:space="preserve">                  </w:t>
      </w:r>
      <w:r w:rsidRPr="00D864B0">
        <w:rPr>
          <w:rFonts w:ascii="Arial" w:hAnsi="Arial" w:cs="Arial"/>
          <w:b/>
          <w:bCs/>
          <w:color w:val="000000"/>
          <w:sz w:val="16"/>
          <w:szCs w:val="16"/>
        </w:rPr>
        <w:t xml:space="preserve">2022       </w:t>
      </w:r>
    </w:p>
    <w:p w:rsidR="00CE3CBF" w:rsidRPr="00D864B0" w:rsidRDefault="00CE3CBF" w:rsidP="00CE3CBF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23"/>
          <w:szCs w:val="23"/>
        </w:rPr>
      </w:pPr>
      <w:r w:rsidRPr="00D864B0">
        <w:rPr>
          <w:rFonts w:ascii="Arial" w:hAnsi="Arial" w:cs="Arial"/>
        </w:rPr>
        <w:tab/>
      </w:r>
      <w:r w:rsidRPr="00D864B0">
        <w:rPr>
          <w:rFonts w:ascii="Arial" w:hAnsi="Arial" w:cs="Arial"/>
          <w:b/>
          <w:bCs/>
          <w:sz w:val="18"/>
          <w:szCs w:val="18"/>
        </w:rPr>
        <w:t xml:space="preserve">A. RAČUN PRIHODA I RASHODA                        </w:t>
      </w:r>
    </w:p>
    <w:p w:rsidR="00CE3CBF" w:rsidRPr="00D864B0" w:rsidRDefault="00CE3CBF" w:rsidP="00CE3CB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D864B0">
        <w:rPr>
          <w:rFonts w:ascii="Arial" w:hAnsi="Arial" w:cs="Arial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6</w:t>
      </w:r>
      <w:r w:rsidRPr="00D864B0">
        <w:rPr>
          <w:rFonts w:ascii="Arial" w:hAnsi="Arial" w:cs="Arial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 592.577.120               -582.470             591.994.650</w:t>
      </w:r>
    </w:p>
    <w:p w:rsidR="00CE3CBF" w:rsidRPr="00D864B0" w:rsidRDefault="00CE3CBF" w:rsidP="00CE3CB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7</w:t>
      </w: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D864B0">
        <w:rPr>
          <w:rFonts w:ascii="Arial" w:hAnsi="Arial" w:cs="Arial"/>
          <w:b/>
          <w:sz w:val="16"/>
          <w:szCs w:val="16"/>
        </w:rPr>
        <w:t xml:space="preserve">           3.545.400               -480.400                 3.065.000</w:t>
      </w:r>
    </w:p>
    <w:p w:rsidR="00CE3CBF" w:rsidRPr="00D864B0" w:rsidRDefault="00CE3CBF" w:rsidP="00CE3CB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3</w:t>
      </w: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sz w:val="16"/>
          <w:szCs w:val="16"/>
        </w:rPr>
        <w:t xml:space="preserve">                     487.344.190              7.779.210             495.123.400</w:t>
      </w:r>
    </w:p>
    <w:p w:rsidR="00CE3CBF" w:rsidRPr="00D864B0" w:rsidRDefault="00CE3CBF" w:rsidP="00CE3CB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4</w:t>
      </w: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 xml:space="preserve">Rashodi za nabavu nefinancijske imovine           </w:t>
      </w:r>
      <w:r w:rsidRPr="00D864B0">
        <w:rPr>
          <w:rFonts w:ascii="Arial" w:hAnsi="Arial" w:cs="Arial"/>
          <w:b/>
          <w:sz w:val="16"/>
          <w:szCs w:val="16"/>
        </w:rPr>
        <w:tab/>
        <w:t xml:space="preserve">       85.512.700           -23.699.280               61.813.420</w:t>
      </w:r>
    </w:p>
    <w:p w:rsidR="00CE3CBF" w:rsidRPr="00D864B0" w:rsidRDefault="00CE3CBF" w:rsidP="00CE3CB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8"/>
          <w:szCs w:val="18"/>
        </w:rPr>
      </w:pPr>
    </w:p>
    <w:p w:rsidR="00CE3CBF" w:rsidRPr="00D864B0" w:rsidRDefault="00CE3CBF" w:rsidP="00CE3CB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8"/>
          <w:szCs w:val="18"/>
        </w:rPr>
      </w:pPr>
      <w:r w:rsidRPr="00D864B0">
        <w:rPr>
          <w:rFonts w:ascii="Arial" w:hAnsi="Arial" w:cs="Arial"/>
          <w:sz w:val="18"/>
          <w:szCs w:val="18"/>
        </w:rPr>
        <w:tab/>
      </w:r>
      <w:r w:rsidRPr="00D864B0">
        <w:rPr>
          <w:rFonts w:ascii="Arial" w:hAnsi="Arial" w:cs="Arial"/>
          <w:b/>
          <w:bCs/>
          <w:sz w:val="18"/>
          <w:szCs w:val="18"/>
        </w:rPr>
        <w:t xml:space="preserve">B. RAČUN ZADUŽIVANJA/FINANCIRANJA                 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8</w:t>
      </w: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Primici od financijske imovine i zaduživanja              14.124.770</w:t>
      </w:r>
      <w:r w:rsidRPr="00D864B0">
        <w:rPr>
          <w:rFonts w:ascii="Arial" w:hAnsi="Arial" w:cs="Arial"/>
          <w:b/>
          <w:sz w:val="16"/>
          <w:szCs w:val="16"/>
        </w:rPr>
        <w:t xml:space="preserve">           -14.014.000               </w:t>
      </w:r>
      <w:r w:rsidRPr="00D864B0">
        <w:rPr>
          <w:rFonts w:ascii="Arial" w:hAnsi="Arial" w:cs="Arial"/>
          <w:b/>
          <w:bCs/>
          <w:sz w:val="16"/>
          <w:szCs w:val="16"/>
        </w:rPr>
        <w:t xml:space="preserve">     110.770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D864B0">
        <w:rPr>
          <w:rFonts w:ascii="Arial" w:hAnsi="Arial" w:cs="Arial"/>
          <w:b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>5</w:t>
      </w:r>
      <w:r w:rsidRPr="00D864B0">
        <w:rPr>
          <w:rFonts w:ascii="Arial" w:hAnsi="Arial" w:cs="Arial"/>
          <w:b/>
          <w:sz w:val="16"/>
          <w:szCs w:val="16"/>
        </w:rPr>
        <w:tab/>
      </w:r>
      <w:r w:rsidRPr="00D864B0">
        <w:rPr>
          <w:rFonts w:ascii="Arial" w:hAnsi="Arial" w:cs="Arial"/>
          <w:b/>
          <w:bCs/>
          <w:sz w:val="16"/>
          <w:szCs w:val="16"/>
        </w:rPr>
        <w:t xml:space="preserve">Izdaci za financijsku imovinu i otplate zajmova     </w:t>
      </w:r>
      <w:r w:rsidRPr="00D864B0">
        <w:rPr>
          <w:rFonts w:ascii="Arial" w:hAnsi="Arial" w:cs="Arial"/>
          <w:b/>
          <w:bCs/>
          <w:sz w:val="14"/>
          <w:szCs w:val="14"/>
        </w:rPr>
        <w:t xml:space="preserve">     </w:t>
      </w:r>
      <w:r w:rsidRPr="00D864B0">
        <w:rPr>
          <w:rFonts w:ascii="Arial" w:hAnsi="Arial" w:cs="Arial"/>
          <w:b/>
          <w:bCs/>
          <w:sz w:val="16"/>
          <w:szCs w:val="16"/>
        </w:rPr>
        <w:t>41.728.100</w:t>
      </w:r>
      <w:r w:rsidRPr="00D864B0">
        <w:rPr>
          <w:rFonts w:ascii="Arial" w:hAnsi="Arial" w:cs="Arial"/>
          <w:b/>
          <w:sz w:val="16"/>
          <w:szCs w:val="16"/>
        </w:rPr>
        <w:t xml:space="preserve">                 843.200                42.571.300</w:t>
      </w:r>
    </w:p>
    <w:p w:rsidR="00CE3CBF" w:rsidRPr="00D864B0" w:rsidRDefault="00CE3CBF" w:rsidP="00CE3CBF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3"/>
          <w:szCs w:val="23"/>
        </w:rPr>
      </w:pPr>
      <w:r w:rsidRPr="00D864B0">
        <w:rPr>
          <w:rFonts w:ascii="Arial" w:hAnsi="Arial" w:cs="Arial"/>
        </w:rPr>
        <w:tab/>
      </w:r>
      <w:r w:rsidRPr="00D864B0"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     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D864B0">
        <w:rPr>
          <w:rFonts w:ascii="Arial" w:hAnsi="Arial" w:cs="Arial"/>
          <w:sz w:val="16"/>
          <w:szCs w:val="16"/>
        </w:rPr>
        <w:tab/>
      </w:r>
      <w:r w:rsidRPr="00D864B0">
        <w:rPr>
          <w:rFonts w:ascii="Arial" w:hAnsi="Arial" w:cs="Arial"/>
          <w:b/>
          <w:bCs/>
          <w:color w:val="000000"/>
          <w:sz w:val="16"/>
          <w:szCs w:val="16"/>
        </w:rPr>
        <w:t xml:space="preserve">Vlastiti izvori                                                                    4.337.700                                 </w:t>
      </w:r>
      <w:r w:rsidRPr="00D864B0">
        <w:rPr>
          <w:rFonts w:ascii="Arial" w:hAnsi="Arial" w:cs="Arial"/>
          <w:b/>
          <w:sz w:val="16"/>
          <w:szCs w:val="16"/>
        </w:rPr>
        <w:t xml:space="preserve">              4.337.700</w:t>
      </w:r>
    </w:p>
    <w:p w:rsidR="00CE3CBF" w:rsidRPr="00D864B0" w:rsidRDefault="00CE3CBF" w:rsidP="00CE3CBF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E3CBF" w:rsidRPr="00D864B0" w:rsidRDefault="00CE3CBF" w:rsidP="00CE3CBF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CE3CBF" w:rsidRPr="00D864B0" w:rsidRDefault="00CE3CBF" w:rsidP="00CE3CBF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  <w:r w:rsidRPr="00D864B0">
        <w:rPr>
          <w:rFonts w:ascii="Arial" w:hAnsi="Arial" w:cs="Arial"/>
          <w:b/>
          <w:bCs/>
          <w:color w:val="000000"/>
          <w:sz w:val="18"/>
          <w:szCs w:val="18"/>
        </w:rPr>
        <w:t>D. REKAPITULACIJA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D864B0">
        <w:rPr>
          <w:rFonts w:ascii="Arial" w:hAnsi="Arial" w:cs="Arial"/>
          <w:b/>
          <w:bCs/>
          <w:sz w:val="16"/>
          <w:szCs w:val="16"/>
        </w:rPr>
        <w:t xml:space="preserve"> PRIHODI: (6+7+8+9)     </w:t>
      </w:r>
      <w:r w:rsidRPr="00D864B0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614.584.990            -15.076.870          599.508.120</w:t>
      </w:r>
    </w:p>
    <w:p w:rsidR="00CE3CBF" w:rsidRPr="00D864B0" w:rsidRDefault="00CE3CBF" w:rsidP="00CE3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left" w:pos="8025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D864B0">
        <w:rPr>
          <w:rFonts w:ascii="Arial" w:hAnsi="Arial" w:cs="Arial"/>
          <w:b/>
          <w:bCs/>
          <w:sz w:val="16"/>
          <w:szCs w:val="16"/>
        </w:rPr>
        <w:t xml:space="preserve"> RASHODI: (3+4+5)              </w:t>
      </w:r>
      <w:r w:rsidRPr="00D864B0">
        <w:rPr>
          <w:rFonts w:ascii="Arial" w:hAnsi="Arial" w:cs="Arial"/>
          <w:b/>
          <w:bCs/>
          <w:sz w:val="14"/>
          <w:szCs w:val="14"/>
        </w:rPr>
        <w:t xml:space="preserve">                                                                </w:t>
      </w:r>
      <w:r w:rsidRPr="00D864B0">
        <w:rPr>
          <w:rFonts w:ascii="Arial" w:hAnsi="Arial" w:cs="Arial"/>
          <w:b/>
          <w:bCs/>
          <w:sz w:val="16"/>
          <w:szCs w:val="16"/>
        </w:rPr>
        <w:t xml:space="preserve">           614.584.990            -15.076.870           599.508.120</w:t>
      </w: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1411"/>
        <w:gridCol w:w="1150"/>
        <w:gridCol w:w="1246"/>
        <w:gridCol w:w="580"/>
      </w:tblGrid>
      <w:tr w:rsidR="00CE3CBF" w:rsidRPr="00D864B0" w:rsidTr="00CE3CBF">
        <w:trPr>
          <w:tblHeader/>
        </w:trPr>
        <w:tc>
          <w:tcPr>
            <w:tcW w:w="2578" w:type="pct"/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Ind. (4.)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RAČUN PRIHODA I RASHODA</w:t>
            </w:r>
          </w:p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EKONOMSKA KLASIFIKACIJA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-582.470,00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591.994.650,00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174.530.000,00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27.955.000,00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202.485.000,00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116,02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136.830.000,00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18.970.000,00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155.800.000,00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113,86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27.200.000,00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5.285.000,00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32.485.000,00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119,43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135,24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109.091.370,00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-3.267.780,00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105.823.590,00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-63.600,00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58,43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1.463.630,00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-241.530,00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83,50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5.987.000,00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-2.347.250,00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3.639.750,00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60,79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3.160.000,00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636 Tekuće pomoći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pror.koris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. iz proračuna koji im nije nadležan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74.296.600,00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-551.700,00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73.744.900,00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12.282.700,00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-77.700,00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12.205.000,00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 Prihodi od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182.418.800,00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-31.646.750,00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150.772.050,00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82,65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4.328.650,00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-1.422.100,00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2.906.550,00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67,15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178.070.150,00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-30.224.650,00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147.845.500,00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83,03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96.358.720,00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6.566.150,00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102.924.870,00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106,81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21.179.000,00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5.291.850,00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26.470.850,00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124,99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14.179.720,00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-225.700,00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13.954.020,00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98,41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61.000.000,00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62.500.000,00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26.356.030,00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299.950,00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26.655.980,00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4.446.770,00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2.487.950,00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6.934.720,00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155,95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21.909.260,00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-2.188.000,00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19.721.260,00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3.822.200,00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-489.040,00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3.333.160,00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87,21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2.130.000,00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90,61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1.692.200,00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-289.040,00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1.403.160,00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82,92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-480.400,00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2.045.400,00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-400.400,00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80,42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2.036.600,00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-400.500,00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1.636.100,00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80,33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-1.062.870,00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595.059.650,00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487.344.190,00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7.779.210,00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495.123.400,00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101,60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219.810.700,00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989.577,00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220.800.277,00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175.619.610,00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-2.523.889,00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173.095.721,00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14.172.000,00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4.135.975,00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18.307.975,00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129,18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30.019.090,00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-622.509,00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29.396.581,00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97,93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165.117.080,00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-711.097,00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164.405.983,00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7.206.540,00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-143.376,00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7.063.164,00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28.039.620,00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17.940,00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28.057.560,00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118.676.580,00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-619.553,00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118.057.027,00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2.189.800,00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536.557,00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2.726.357,00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124,50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9.004.540,00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-502.665,00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8.501.875,00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94,42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5.469.620,00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5.493.670,00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4.149.200,00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4.142.200,00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1.320.420,00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1.351.470,00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102,35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24.918.900,00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3.940.000,00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28.858.900,00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115,81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22.541.900,00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26.556.900,00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117,81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2.377.000,00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9.425.000,00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39.500,00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9.464.500,00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8.473.000,00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8.478.000,00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794.500,00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104,54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25.578.090,00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-2.029.600,00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23.548.490,00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25.578.090,00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-2.029.600,00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23.548.490,00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37.024.800,00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5.526.780,00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42.551.580,00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114,93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32.667.800,00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2.935.460,00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35.603.260,00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108,99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3.957.000,00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-176.000,00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95,55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386 Kapitalne pomoći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85.512.700,00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-23.699.280,00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61.813.420,00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72,29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9.965.000,00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-302.900,00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9.662.100,00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9.655.000,00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-73.900,00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9.581.100,00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-229.000,00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26,13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24.608.320,00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-4.938.490,00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19.669.830,00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79,93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 Građevinski objekti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9.035.900,00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-2.826.450,00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6.209.450,00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68,72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6.307.320,00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1.872.150,00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8.179.470,00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129,68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508.000,00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508.010,00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2.464.100,00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-131.500,00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2.332.600,00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6.293.000,00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-3.852.700,00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2.440.300,00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38,78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50.936.380,00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-18.455.290,00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32.481.090,00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63,77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50.876.380,00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-18.422.290,00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32.454.090,00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63,79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-15.920.070,00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556.936.820,00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97,22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EKONOMSKA KLASIFIKACIJA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-14.014.000,00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53,33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842 Primljeni zajmovi od banaka i ostalih financijskih institucija u javnom sektoru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-14.014.000,00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843.200,00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102,02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1.378.200,00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918,80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1.378.200,00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918,80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41.378.100,00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41.143.100,00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7.828.700,00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13.450.000,00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13.315.000,00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843.200,00</w:t>
            </w:r>
          </w:p>
        </w:tc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102,02</w:t>
            </w:r>
          </w:p>
        </w:tc>
      </w:tr>
    </w:tbl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  <w:gridCol w:w="1268"/>
        <w:gridCol w:w="1320"/>
        <w:gridCol w:w="1143"/>
        <w:gridCol w:w="520"/>
      </w:tblGrid>
      <w:tr w:rsidR="00CE3CBF" w:rsidRPr="00D864B0" w:rsidTr="00CE3CBF">
        <w:trPr>
          <w:tblHeader/>
        </w:trPr>
        <w:tc>
          <w:tcPr>
            <w:tcW w:w="2656" w:type="pct"/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Ind. (4.)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RAČUN PRIHODA I RASHODA</w:t>
            </w:r>
          </w:p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IZVORI 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592.577.120,00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-582.470,00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591.994.650,00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99,90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361.779.190,00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-5.701.890,00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356.077.300,00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992.870,00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1.274.870,00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128,40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15.836.720,00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2.153.400,00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17.990.120,00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113,60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112,63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125,81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188,79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108,11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322.400,00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-201.250,00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37,58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66,03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12.508.530,00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-292.430,00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15.270.560,00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-493.150,00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14.777.410,00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96,77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-1.485.850,00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51,76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20.769.650,00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-1.093.700,00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19.675.950,00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3.545.400,00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-480.400,00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86,45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596.122.520,00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-1.062.870,00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595.059.650,00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99,82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487.344.190,00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7.779.210,00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495.123.400,00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101,60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296.088.900,00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1.954.040,00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298.042.940,00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131,33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9.048.490,00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9.090.330,00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15.348.170,00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16.327.770,00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106,38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112,63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2.070.000,00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120,77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5.520.000,00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193,30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12.395.800,00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-1.830.000,00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85,24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108,11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319.400,00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-205.580,00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35,64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2.692.430,00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-166.690,00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2.525.740,00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93,81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63.262.700,00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3.080.000,00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-1.485.850,00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51,76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14.853.000,00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14.341.000,00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85.512.700,00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-23.699.280,00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61.813.420,00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72,29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27.222.690,00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-8.666.980,00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18.555.710,00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1.259.010,00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-41.840,00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1.217.170,00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431.700,00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1.174.200,00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371,99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135,92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1.587.000,00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1.670.850,00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105,28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244,33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3.611.600,00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66,03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9.816.100,00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9.690.360,00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98,72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14.828.000,00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-493.150,00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14.334.850,00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5.906.500,00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90,14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572.856.890,00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-15.920.070,00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556.936.820,00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97,22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IZVORI FINANCIRANJA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124.770,00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88,78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71 Primjeni zajmovi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14.124.770,00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-14.014.000,00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0,78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102,02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29.710.900,00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997.050,00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30.707.950,00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103,36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246.150,00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CE3CBF" w:rsidRPr="00D864B0" w:rsidTr="00CE3CBF">
        <w:tc>
          <w:tcPr>
            <w:tcW w:w="2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41.728.100,00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102,02</w:t>
            </w:r>
          </w:p>
        </w:tc>
      </w:tr>
    </w:tbl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4"/>
        <w:gridCol w:w="1282"/>
        <w:gridCol w:w="1246"/>
        <w:gridCol w:w="1282"/>
        <w:gridCol w:w="692"/>
      </w:tblGrid>
      <w:tr w:rsidR="00CE3CBF" w:rsidRPr="00D864B0" w:rsidTr="00CE3CBF">
        <w:trPr>
          <w:trHeight w:val="50"/>
          <w:tblHeader/>
        </w:trPr>
        <w:tc>
          <w:tcPr>
            <w:tcW w:w="2578" w:type="pct"/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E3CBF" w:rsidRPr="00D864B0" w:rsidRDefault="00CE3CBF" w:rsidP="00CE3CB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864B0">
              <w:rPr>
                <w:rFonts w:ascii="Arial" w:hAnsi="Arial" w:cs="Arial"/>
                <w:b/>
                <w:color w:val="000000"/>
                <w:sz w:val="20"/>
                <w:szCs w:val="20"/>
              </w:rPr>
              <w:t>RASHODI    - FUNKCIJSKA KLASIFIKACIJA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64B0">
              <w:rPr>
                <w:rFonts w:ascii="Arial" w:hAnsi="Arial" w:cs="Arial"/>
                <w:b/>
                <w:color w:val="000000"/>
                <w:sz w:val="18"/>
                <w:szCs w:val="18"/>
              </w:rPr>
              <w:t>572.856.890,00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64B0">
              <w:rPr>
                <w:rFonts w:ascii="Arial" w:hAnsi="Arial" w:cs="Arial"/>
                <w:b/>
                <w:color w:val="000000"/>
                <w:sz w:val="18"/>
                <w:szCs w:val="18"/>
              </w:rPr>
              <w:t>-15.920.070,00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64B0">
              <w:rPr>
                <w:rFonts w:ascii="Arial" w:hAnsi="Arial" w:cs="Arial"/>
                <w:b/>
                <w:color w:val="000000"/>
                <w:sz w:val="18"/>
                <w:szCs w:val="18"/>
              </w:rPr>
              <w:t>556.936.820,00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864B0">
              <w:rPr>
                <w:rFonts w:ascii="Arial" w:hAnsi="Arial" w:cs="Arial"/>
                <w:b/>
                <w:color w:val="000000"/>
                <w:sz w:val="18"/>
                <w:szCs w:val="18"/>
              </w:rPr>
              <w:t>97,55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549.993.400,00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-14.505.530,00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535.487.870,00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97,36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85.818.440,00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-1.361.720,00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84.456.720,00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10.703.200,00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100,83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75.115.240,00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-1.450.120,00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73.665.120,00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-62.980,00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298.990,00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82,60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361.970,00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298.990,00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82,60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25.825.000,00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100,31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25.015.000,00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69,14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64.636.960,00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4.336.430,00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68.973.390,00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106,71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041 Opći ekonom.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trgov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. 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poslo.i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vezani uz rad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15.200.460,00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1.777.680,00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16.978.140,00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111,69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49.426.500,00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2.568.750,00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51.995.250,00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105,20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31.829.710,00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2.741.770,00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34.571.480,00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108,61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054 Zaštita bioraznolikosti i krajolika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055 Istraživanje i razvoj: Zaštita okoliša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186,16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17.783.910,00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20.578.910,00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115,72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68.691.900,00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-18.064.480,00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50.627.420,00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73,70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88,25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30.054.900,00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-16.909.580,00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13.145.320,00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43,74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95,48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28.277.000,00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27.619.100,00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128.790.300,00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-3.147.750,00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125.642.550,00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97,56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31.556.200,00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-2.365.250,00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29.190.950,00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-782.500,00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143.809.120,00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973.200,00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144.782.320,00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100,68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140.899.120,00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1.119.900,00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142.019.020,00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100,79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22.863.490,00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-1.414.540,00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21.448.950,00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93,81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CE3CBF" w:rsidRPr="00D864B0" w:rsidTr="00CE3CBF">
        <w:tc>
          <w:tcPr>
            <w:tcW w:w="2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21.331.190,00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-1.418.940,00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3CBF" w:rsidRPr="00D864B0" w:rsidRDefault="00CE3CBF" w:rsidP="00CE3CB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93,35</w:t>
            </w:r>
          </w:p>
        </w:tc>
      </w:tr>
    </w:tbl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CE3CBF" w:rsidRPr="00D864B0" w:rsidRDefault="00CE3CBF" w:rsidP="00CE3CBF">
      <w:pPr>
        <w:rPr>
          <w:rFonts w:ascii="Arial" w:hAnsi="Arial" w:cs="Arial"/>
          <w:sz w:val="16"/>
          <w:szCs w:val="16"/>
        </w:rPr>
      </w:pPr>
    </w:p>
    <w:p w:rsidR="00DB09DC" w:rsidRDefault="00DB09DC"/>
    <w:sectPr w:rsidR="00DB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none"/>
      <w:suff w:val="nothing"/>
      <w:lvlText w:val="2.5.1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BF"/>
    <w:rsid w:val="002D43AA"/>
    <w:rsid w:val="00CE3CBF"/>
    <w:rsid w:val="00D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CACDC-4D3D-42D5-A55E-BFB8AB46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E3CBF"/>
    <w:pPr>
      <w:keepNext/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</w:tabs>
      <w:overflowPunct w:val="0"/>
      <w:jc w:val="center"/>
      <w:textAlignment w:val="baseline"/>
      <w:outlineLvl w:val="0"/>
    </w:pPr>
    <w:rPr>
      <w:rFonts w:ascii="Arial" w:hAnsi="Arial"/>
      <w:b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E3CBF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E3CBF"/>
    <w:rPr>
      <w:rFonts w:ascii="Arial" w:eastAsia="Times New Roman" w:hAnsi="Arial" w:cs="Times New Roman"/>
      <w:b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CE3CB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C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CBF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CE3CBF"/>
  </w:style>
  <w:style w:type="paragraph" w:styleId="Zaglavlje">
    <w:name w:val="header"/>
    <w:basedOn w:val="Normal"/>
    <w:link w:val="ZaglavljeChar"/>
    <w:uiPriority w:val="99"/>
    <w:unhideWhenUsed/>
    <w:rsid w:val="00CE3C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E3C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CE3CB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E3C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CE3CBF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CE3CBF"/>
  </w:style>
  <w:style w:type="paragraph" w:styleId="Odlomakpopisa">
    <w:name w:val="List Paragraph"/>
    <w:basedOn w:val="Normal"/>
    <w:uiPriority w:val="34"/>
    <w:qFormat/>
    <w:rsid w:val="00CE3C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CE3CBF"/>
    <w:pPr>
      <w:pBdr>
        <w:top w:val="nil"/>
        <w:left w:val="nil"/>
        <w:bottom w:val="nil"/>
        <w:right w:val="nil"/>
        <w:between w:val="nil"/>
        <w:bar w:val="nil"/>
      </w:pBdr>
      <w:spacing w:after="4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customStyle="1" w:styleId="Standardno">
    <w:name w:val="Standardno"/>
    <w:rsid w:val="00CE3CB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hr-HR"/>
      <w14:textOutline w14:w="0" w14:cap="flat" w14:cmpd="sng" w14:algn="ctr">
        <w14:noFill/>
        <w14:prstDash w14:val="solid"/>
        <w14:bevel/>
      </w14:textOutline>
    </w:rPr>
  </w:style>
  <w:style w:type="table" w:customStyle="1" w:styleId="Reetkatablice1">
    <w:name w:val="Rešetka tablice1"/>
    <w:basedOn w:val="Obinatablica"/>
    <w:next w:val="Reetkatablice"/>
    <w:uiPriority w:val="39"/>
    <w:rsid w:val="00CE3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3CBF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CE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">
    <w:name w:val="Bez"/>
    <w:rsid w:val="00CE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1</cp:revision>
  <dcterms:created xsi:type="dcterms:W3CDTF">2022-12-29T14:00:00Z</dcterms:created>
  <dcterms:modified xsi:type="dcterms:W3CDTF">2022-12-29T14:25:00Z</dcterms:modified>
</cp:coreProperties>
</file>