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E91381" w:rsidRDefault="00E91381" w:rsidP="00730661">
      <w:pPr>
        <w:pStyle w:val="NoSpacing"/>
      </w:pPr>
    </w:p>
    <w:p w:rsidR="00730661" w:rsidRDefault="00730661" w:rsidP="00730661">
      <w:pPr>
        <w:pStyle w:val="NoSpacing"/>
      </w:pPr>
      <w:r>
        <w:t>Gradonačelnik</w:t>
      </w:r>
    </w:p>
    <w:p w:rsidR="00730661" w:rsidRDefault="00730661" w:rsidP="00730661">
      <w:pPr>
        <w:pStyle w:val="NoSpacing"/>
      </w:pPr>
      <w:r>
        <w:t>KLASA:</w:t>
      </w:r>
      <w:r w:rsidR="0035751A">
        <w:t xml:space="preserve"> 363-01/18-09/38</w:t>
      </w:r>
    </w:p>
    <w:p w:rsidR="00730661" w:rsidRDefault="00730661" w:rsidP="00730661">
      <w:pPr>
        <w:pStyle w:val="NoSpacing"/>
      </w:pPr>
      <w:r>
        <w:t>URBROJ:</w:t>
      </w:r>
      <w:r w:rsidR="0035751A">
        <w:t xml:space="preserve"> 2117/01-01-18-2</w:t>
      </w:r>
    </w:p>
    <w:p w:rsidR="00730661" w:rsidRDefault="00730661" w:rsidP="00730661">
      <w:pPr>
        <w:pStyle w:val="NoSpacing"/>
      </w:pPr>
      <w:r>
        <w:t xml:space="preserve">Dubrovnik, </w:t>
      </w:r>
      <w:r w:rsidR="0035751A">
        <w:t xml:space="preserve">28. studenoga </w:t>
      </w:r>
      <w:r>
        <w:t>2018.</w:t>
      </w: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pStyle w:val="NoSpacing"/>
      </w:pPr>
    </w:p>
    <w:p w:rsidR="00730661" w:rsidRDefault="00730661" w:rsidP="00730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730661">
        <w:rPr>
          <w:rFonts w:ascii="Arial" w:hAnsi="Arial" w:cs="Arial"/>
        </w:rPr>
        <w:t>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</w:t>
      </w:r>
      <w:r>
        <w:rPr>
          <w:rFonts w:ascii="Arial" w:hAnsi="Arial" w:cs="Arial"/>
        </w:rPr>
        <w:t>gradonačelnik Grada Dubrovnika donosi sljedeći</w:t>
      </w:r>
    </w:p>
    <w:p w:rsidR="00730661" w:rsidRDefault="00730661" w:rsidP="00730661">
      <w:pPr>
        <w:jc w:val="both"/>
        <w:rPr>
          <w:rFonts w:ascii="Arial" w:hAnsi="Arial" w:cs="Arial"/>
        </w:rPr>
      </w:pPr>
    </w:p>
    <w:p w:rsidR="00730661" w:rsidRDefault="00730661" w:rsidP="00730661">
      <w:pPr>
        <w:jc w:val="both"/>
        <w:rPr>
          <w:rFonts w:ascii="Arial" w:hAnsi="Arial" w:cs="Arial"/>
        </w:rPr>
      </w:pPr>
    </w:p>
    <w:p w:rsidR="00730661" w:rsidRDefault="00730661" w:rsidP="00730661">
      <w:pPr>
        <w:pStyle w:val="NoSpacing"/>
        <w:jc w:val="center"/>
      </w:pPr>
      <w:r>
        <w:t>Z A K L J U Č  A K</w:t>
      </w:r>
    </w:p>
    <w:p w:rsidR="00647011" w:rsidRDefault="00647011" w:rsidP="00647011">
      <w:pPr>
        <w:pStyle w:val="NoSpacing"/>
      </w:pPr>
    </w:p>
    <w:p w:rsidR="00647011" w:rsidRDefault="00647011" w:rsidP="00647011">
      <w:pPr>
        <w:pStyle w:val="NoSpacing"/>
      </w:pPr>
    </w:p>
    <w:p w:rsidR="00647011" w:rsidRDefault="00647011" w:rsidP="00647011">
      <w:pPr>
        <w:pStyle w:val="NoSpacing"/>
      </w:pPr>
    </w:p>
    <w:p w:rsidR="00647011" w:rsidRDefault="00647011" w:rsidP="00647011">
      <w:pPr>
        <w:pStyle w:val="NoSpacing"/>
        <w:numPr>
          <w:ilvl w:val="0"/>
          <w:numId w:val="1"/>
        </w:numPr>
        <w:jc w:val="both"/>
      </w:pPr>
      <w:r>
        <w:t>Utvrđuje se prijedlog Odluke o izmjenama Odluke o visini spomeničke rente Grada Dubrovnika i upućuje se Gradskom vijeću Grada Dubrovnika na raspravljanje i donošenje.</w:t>
      </w:r>
    </w:p>
    <w:p w:rsidR="00647011" w:rsidRDefault="00647011" w:rsidP="00647011">
      <w:pPr>
        <w:pStyle w:val="NoSpacing"/>
        <w:numPr>
          <w:ilvl w:val="0"/>
          <w:numId w:val="1"/>
        </w:numPr>
        <w:jc w:val="both"/>
      </w:pPr>
      <w:r>
        <w:t>Tekst Odluke iz točke 1. ovog Zaključka čini sastavni dio istog.</w:t>
      </w:r>
    </w:p>
    <w:p w:rsidR="00647011" w:rsidRDefault="00647011" w:rsidP="00647011">
      <w:pPr>
        <w:pStyle w:val="NoSpacing"/>
        <w:numPr>
          <w:ilvl w:val="0"/>
          <w:numId w:val="1"/>
        </w:numPr>
        <w:jc w:val="both"/>
      </w:pPr>
      <w:r>
        <w:t>Izvjestitelj u ovoj točki bit će pročelnik Upravnog odjela za komunalne djelatnosti i mjesnu samoupravu, Zlatko Uršić.</w:t>
      </w:r>
    </w:p>
    <w:p w:rsidR="00647011" w:rsidRDefault="00647011" w:rsidP="00647011">
      <w:pPr>
        <w:pStyle w:val="NoSpacing"/>
        <w:ind w:left="360"/>
        <w:jc w:val="both"/>
      </w:pPr>
      <w:r>
        <w:t xml:space="preserve">   </w:t>
      </w:r>
    </w:p>
    <w:p w:rsidR="00647011" w:rsidRDefault="002914AE" w:rsidP="00647011">
      <w:pPr>
        <w:pStyle w:val="NoSpacing"/>
      </w:pPr>
      <w:r>
        <w:t xml:space="preserve">   </w:t>
      </w:r>
    </w:p>
    <w:p w:rsidR="002914AE" w:rsidRDefault="002914AE" w:rsidP="00647011">
      <w:pPr>
        <w:pStyle w:val="NoSpacing"/>
      </w:pPr>
    </w:p>
    <w:p w:rsidR="002914AE" w:rsidRDefault="002914AE" w:rsidP="00647011">
      <w:pPr>
        <w:pStyle w:val="NoSpacing"/>
      </w:pPr>
      <w:r>
        <w:t xml:space="preserve">                                                                                  Gradonačelnik</w:t>
      </w:r>
    </w:p>
    <w:p w:rsidR="002914AE" w:rsidRDefault="002914AE" w:rsidP="00647011">
      <w:pPr>
        <w:pStyle w:val="NoSpacing"/>
      </w:pPr>
      <w:r>
        <w:t xml:space="preserve">                                                                                  Mato </w:t>
      </w:r>
      <w:proofErr w:type="spellStart"/>
      <w:r>
        <w:t>Franković</w:t>
      </w:r>
      <w:proofErr w:type="spellEnd"/>
    </w:p>
    <w:p w:rsidR="002914AE" w:rsidRDefault="002914AE" w:rsidP="00647011">
      <w:pPr>
        <w:pStyle w:val="NoSpacing"/>
      </w:pPr>
    </w:p>
    <w:p w:rsidR="002914AE" w:rsidRDefault="002914AE" w:rsidP="00647011">
      <w:pPr>
        <w:pStyle w:val="NoSpacing"/>
      </w:pPr>
    </w:p>
    <w:p w:rsidR="002914AE" w:rsidRDefault="002914AE" w:rsidP="00647011">
      <w:pPr>
        <w:pStyle w:val="NoSpacing"/>
      </w:pPr>
      <w:r>
        <w:t>DOSTAVITI:</w:t>
      </w:r>
    </w:p>
    <w:p w:rsidR="002914AE" w:rsidRDefault="002914AE" w:rsidP="00647011">
      <w:pPr>
        <w:pStyle w:val="NoSpacing"/>
      </w:pPr>
    </w:p>
    <w:p w:rsidR="002914AE" w:rsidRDefault="002914AE" w:rsidP="002914AE">
      <w:pPr>
        <w:pStyle w:val="NoSpacing"/>
        <w:numPr>
          <w:ilvl w:val="0"/>
          <w:numId w:val="2"/>
        </w:numPr>
      </w:pPr>
      <w:r>
        <w:t>Služba Gradskog vijeća, ovdje</w:t>
      </w:r>
    </w:p>
    <w:p w:rsidR="002914AE" w:rsidRDefault="002914AE" w:rsidP="002914AE">
      <w:pPr>
        <w:pStyle w:val="NoSpacing"/>
        <w:numPr>
          <w:ilvl w:val="0"/>
          <w:numId w:val="2"/>
        </w:numPr>
      </w:pPr>
      <w:r>
        <w:t>Upravni odjel za komunalne djelatnosti i mjesnu samoupravu, ovdje</w:t>
      </w:r>
    </w:p>
    <w:p w:rsidR="002914AE" w:rsidRDefault="002914AE" w:rsidP="002914AE">
      <w:pPr>
        <w:pStyle w:val="NoSpacing"/>
        <w:numPr>
          <w:ilvl w:val="0"/>
          <w:numId w:val="2"/>
        </w:numPr>
      </w:pPr>
      <w:r>
        <w:t>Pismohrana</w:t>
      </w:r>
    </w:p>
    <w:p w:rsidR="002914AE" w:rsidRDefault="002914AE" w:rsidP="002914AE">
      <w:pPr>
        <w:pStyle w:val="NoSpacing"/>
        <w:numPr>
          <w:ilvl w:val="0"/>
          <w:numId w:val="2"/>
        </w:numPr>
      </w:pPr>
      <w:r>
        <w:t>Evidencija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Pr="003A300B" w:rsidRDefault="003A300B" w:rsidP="003A300B">
      <w:pPr>
        <w:jc w:val="both"/>
        <w:rPr>
          <w:rFonts w:ascii="Arial" w:hAnsi="Arial" w:cs="Arial"/>
        </w:rPr>
      </w:pPr>
      <w:r w:rsidRPr="003A300B">
        <w:rPr>
          <w:rFonts w:ascii="Arial" w:hAnsi="Arial" w:cs="Arial"/>
        </w:rPr>
        <w:t xml:space="preserve">Na temelju članak 114. Zakona o zaštiti i očuvanju kulturnih dobara („Narodne novine“, broj: </w:t>
      </w:r>
      <w:hyperlink r:id="rId5" w:tooltip="Zakon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69/99</w:t>
        </w:r>
      </w:hyperlink>
      <w:r w:rsidRPr="003A300B">
        <w:rPr>
          <w:rFonts w:ascii="Arial" w:hAnsi="Arial" w:cs="Arial"/>
        </w:rPr>
        <w:t xml:space="preserve">., </w:t>
      </w:r>
      <w:hyperlink r:id="rId6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151/03</w:t>
        </w:r>
      </w:hyperlink>
      <w:r w:rsidRPr="003A300B">
        <w:rPr>
          <w:rFonts w:ascii="Arial" w:hAnsi="Arial" w:cs="Arial"/>
        </w:rPr>
        <w:t xml:space="preserve">., </w:t>
      </w:r>
      <w:hyperlink r:id="rId7" w:tooltip="Ispravak Zakona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157/03</w:t>
        </w:r>
      </w:hyperlink>
      <w:r w:rsidRPr="003A300B">
        <w:rPr>
          <w:rFonts w:ascii="Arial" w:hAnsi="Arial" w:cs="Arial"/>
        </w:rPr>
        <w:t xml:space="preserve">., </w:t>
      </w:r>
      <w:hyperlink r:id="rId8" w:tooltip="Zakon o izmjenama i dopunama Zakona o gradnji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100/04</w:t>
        </w:r>
      </w:hyperlink>
      <w:r w:rsidRPr="003A300B">
        <w:rPr>
          <w:rFonts w:ascii="Arial" w:hAnsi="Arial" w:cs="Arial"/>
        </w:rPr>
        <w:t xml:space="preserve">., </w:t>
      </w:r>
      <w:hyperlink r:id="rId9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87/09</w:t>
        </w:r>
      </w:hyperlink>
      <w:r w:rsidRPr="003A300B">
        <w:rPr>
          <w:rFonts w:ascii="Arial" w:hAnsi="Arial" w:cs="Arial"/>
        </w:rPr>
        <w:t xml:space="preserve">., </w:t>
      </w:r>
      <w:hyperlink r:id="rId10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88/10</w:t>
        </w:r>
      </w:hyperlink>
      <w:r w:rsidRPr="003A300B">
        <w:rPr>
          <w:rFonts w:ascii="Arial" w:hAnsi="Arial" w:cs="Arial"/>
        </w:rPr>
        <w:t xml:space="preserve">., </w:t>
      </w:r>
      <w:hyperlink r:id="rId11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61/11</w:t>
        </w:r>
      </w:hyperlink>
      <w:r w:rsidRPr="003A300B">
        <w:rPr>
          <w:rFonts w:ascii="Arial" w:hAnsi="Arial" w:cs="Arial"/>
        </w:rPr>
        <w:t xml:space="preserve">., </w:t>
      </w:r>
      <w:hyperlink r:id="rId12" w:tooltip="Zakon o izmjenama i dopuni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25/12</w:t>
        </w:r>
      </w:hyperlink>
      <w:r w:rsidRPr="003A300B">
        <w:rPr>
          <w:rFonts w:ascii="Arial" w:hAnsi="Arial" w:cs="Arial"/>
        </w:rPr>
        <w:t xml:space="preserve">., </w:t>
      </w:r>
      <w:hyperlink r:id="rId13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136/12</w:t>
        </w:r>
      </w:hyperlink>
      <w:r w:rsidRPr="003A300B">
        <w:rPr>
          <w:rFonts w:ascii="Arial" w:hAnsi="Arial" w:cs="Arial"/>
        </w:rPr>
        <w:t xml:space="preserve">., </w:t>
      </w:r>
      <w:hyperlink r:id="rId14" w:tooltip="Zakon o izmjeni i dopuni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157/13</w:t>
        </w:r>
      </w:hyperlink>
      <w:r w:rsidRPr="003A300B">
        <w:rPr>
          <w:rFonts w:ascii="Arial" w:hAnsi="Arial" w:cs="Arial"/>
        </w:rPr>
        <w:t xml:space="preserve">., </w:t>
      </w:r>
      <w:hyperlink r:id="rId15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152/14</w:t>
        </w:r>
      </w:hyperlink>
      <w:r w:rsidRPr="003A300B">
        <w:rPr>
          <w:rFonts w:ascii="Arial" w:hAnsi="Arial" w:cs="Arial"/>
        </w:rPr>
        <w:t xml:space="preserve">., </w:t>
      </w:r>
      <w:hyperlink r:id="rId16" w:tooltip="Uredba o izmje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98/2015</w:t>
        </w:r>
      </w:hyperlink>
      <w:r w:rsidRPr="003A300B">
        <w:rPr>
          <w:rFonts w:ascii="Arial" w:hAnsi="Arial" w:cs="Arial"/>
        </w:rPr>
        <w:t xml:space="preserve">., </w:t>
      </w:r>
      <w:hyperlink r:id="rId17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44/17</w:t>
        </w:r>
      </w:hyperlink>
      <w:r w:rsidRPr="003A300B">
        <w:rPr>
          <w:rFonts w:ascii="Arial" w:hAnsi="Arial" w:cs="Arial"/>
        </w:rPr>
        <w:t xml:space="preserve">. i </w:t>
      </w:r>
      <w:hyperlink r:id="rId18" w:tooltip="Zakon o izmjenama i dopunama Zakona o zaštiti i očuvanju kulturnih dobara" w:history="1">
        <w:r w:rsidRPr="003A300B">
          <w:rPr>
            <w:rStyle w:val="Hyperlink"/>
            <w:rFonts w:ascii="Arial" w:hAnsi="Arial" w:cs="Arial"/>
            <w:color w:val="auto"/>
            <w:u w:val="none"/>
          </w:rPr>
          <w:t>90/18</w:t>
        </w:r>
      </w:hyperlink>
      <w:r w:rsidRPr="003A300B">
        <w:rPr>
          <w:rFonts w:ascii="Arial" w:hAnsi="Arial" w:cs="Arial"/>
        </w:rPr>
        <w:t>. ) i članka i članka 32. Statuta Grada Dubrovnika (“Službeni glasnik Grada Dubrovnika“, br. 4/09., 6/10., 3/11., 14/12., 5/13., 6/13. – pročišćeni tekst, 9/15. i 5/18.), Gradsko vijeće Grada Dubrovnika na sjednici __ održanoj ________ donijelo je sljedeću</w:t>
      </w: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jc w:val="center"/>
        <w:rPr>
          <w:rFonts w:cs="Arial"/>
        </w:rPr>
      </w:pPr>
      <w:r w:rsidRPr="003A300B">
        <w:rPr>
          <w:rFonts w:cs="Arial"/>
        </w:rPr>
        <w:t>O D L U K A</w:t>
      </w:r>
    </w:p>
    <w:p w:rsidR="003A300B" w:rsidRPr="003A300B" w:rsidRDefault="003A300B" w:rsidP="003A300B">
      <w:pPr>
        <w:pStyle w:val="NoSpacing"/>
        <w:jc w:val="center"/>
        <w:rPr>
          <w:rFonts w:cs="Arial"/>
        </w:rPr>
      </w:pPr>
      <w:r w:rsidRPr="003A300B">
        <w:rPr>
          <w:rFonts w:cs="Arial"/>
        </w:rPr>
        <w:t>o izmjenama Odluke o visini spomeničke rente</w:t>
      </w:r>
    </w:p>
    <w:p w:rsidR="003A300B" w:rsidRPr="003A300B" w:rsidRDefault="003A300B" w:rsidP="003A300B">
      <w:pPr>
        <w:pStyle w:val="NoSpacing"/>
        <w:jc w:val="center"/>
        <w:rPr>
          <w:rFonts w:cs="Arial"/>
        </w:rPr>
      </w:pPr>
      <w:r w:rsidRPr="003A300B">
        <w:rPr>
          <w:rFonts w:cs="Arial"/>
        </w:rPr>
        <w:t>Grada Dubrovnika</w:t>
      </w: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jc w:val="center"/>
        <w:rPr>
          <w:rFonts w:cs="Arial"/>
        </w:rPr>
      </w:pPr>
      <w:r w:rsidRPr="003A300B">
        <w:rPr>
          <w:rFonts w:cs="Arial"/>
        </w:rPr>
        <w:t>Članak 1.</w:t>
      </w: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jc w:val="both"/>
        <w:rPr>
          <w:rFonts w:cs="Arial"/>
        </w:rPr>
      </w:pPr>
      <w:r w:rsidRPr="003A300B">
        <w:rPr>
          <w:rFonts w:cs="Arial"/>
        </w:rPr>
        <w:t>U Odluci o visini spomeničke rente Grada Dubrovnika („Službeni glasnik Grada Dubrovnika“, broj: 7/10., 2/11., 14/15. i 12/16.) ( dalje: Odluka), stavak 1. članka 6. – briše se.</w:t>
      </w:r>
    </w:p>
    <w:p w:rsidR="003A300B" w:rsidRPr="003A300B" w:rsidRDefault="003A300B" w:rsidP="003A300B">
      <w:pPr>
        <w:pStyle w:val="NoSpacing"/>
        <w:jc w:val="both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jc w:val="center"/>
        <w:rPr>
          <w:rFonts w:cs="Arial"/>
        </w:rPr>
      </w:pPr>
      <w:r w:rsidRPr="003A300B">
        <w:rPr>
          <w:rFonts w:cs="Arial"/>
        </w:rPr>
        <w:t>Članak 2.</w:t>
      </w: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jc w:val="both"/>
        <w:rPr>
          <w:rFonts w:cs="Arial"/>
        </w:rPr>
      </w:pPr>
      <w:r w:rsidRPr="003A300B">
        <w:rPr>
          <w:rFonts w:cs="Arial"/>
        </w:rPr>
        <w:t>Ova Odluka stupa na snagu osmog dana od dana objave u Službenom glasniku Grada Dubrovnika.</w:t>
      </w:r>
    </w:p>
    <w:p w:rsidR="003A300B" w:rsidRPr="003A300B" w:rsidRDefault="003A300B" w:rsidP="003A300B">
      <w:pPr>
        <w:pStyle w:val="NoSpacing"/>
        <w:jc w:val="both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Pr="003A300B" w:rsidRDefault="003A300B" w:rsidP="003A300B">
      <w:pPr>
        <w:pStyle w:val="NoSpacing"/>
        <w:rPr>
          <w:rFonts w:cs="Arial"/>
        </w:rPr>
      </w:pPr>
      <w:r w:rsidRPr="003A300B">
        <w:rPr>
          <w:rFonts w:cs="Arial"/>
        </w:rPr>
        <w:t xml:space="preserve">                                                                                    Predsjednik Gradskog vijeća</w:t>
      </w:r>
    </w:p>
    <w:p w:rsidR="003A300B" w:rsidRPr="003A300B" w:rsidRDefault="003A300B" w:rsidP="003A300B">
      <w:pPr>
        <w:pStyle w:val="NoSpacing"/>
        <w:rPr>
          <w:rFonts w:cs="Arial"/>
        </w:rPr>
      </w:pPr>
      <w:r w:rsidRPr="003A300B">
        <w:rPr>
          <w:rFonts w:cs="Arial"/>
        </w:rPr>
        <w:t xml:space="preserve">                                                                                        mr.sc. Marko Potrebica</w:t>
      </w:r>
    </w:p>
    <w:p w:rsidR="003A300B" w:rsidRPr="003A300B" w:rsidRDefault="003A300B" w:rsidP="003A300B">
      <w:pPr>
        <w:pStyle w:val="NoSpacing"/>
        <w:rPr>
          <w:rFonts w:cs="Arial"/>
        </w:rPr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  <w:r>
        <w:t>Upravni odjel za komunalne djelatnosti i mjesnu samoupravu</w:t>
      </w:r>
    </w:p>
    <w:p w:rsidR="003A300B" w:rsidRDefault="003A300B" w:rsidP="003A300B">
      <w:pPr>
        <w:pStyle w:val="NoSpacing"/>
      </w:pPr>
      <w:r>
        <w:t>KLASA: 363-01/18-09/38</w:t>
      </w:r>
    </w:p>
    <w:p w:rsidR="003A300B" w:rsidRDefault="003A300B" w:rsidP="003A300B">
      <w:pPr>
        <w:pStyle w:val="NoSpacing"/>
      </w:pPr>
      <w:r>
        <w:t>URBROJ: 2117/01-03-18-1</w:t>
      </w:r>
    </w:p>
    <w:p w:rsidR="003A300B" w:rsidRDefault="003A300B" w:rsidP="003A300B">
      <w:pPr>
        <w:pStyle w:val="NoSpacing"/>
      </w:pPr>
      <w:r>
        <w:t>Dubrovnik, 28. studenoga 2018.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  <w:r>
        <w:t xml:space="preserve">                                                         GRADONAČELNIK GRADA DUBROVNIKA</w:t>
      </w:r>
    </w:p>
    <w:p w:rsidR="003A300B" w:rsidRDefault="003A300B" w:rsidP="003A300B">
      <w:pPr>
        <w:pStyle w:val="NoSpacing"/>
      </w:pPr>
      <w:r>
        <w:t xml:space="preserve">                                                                                       o v d j e 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  <w:r>
        <w:t>PREDMET: Prijedlog zaključka o utvrđivanju prijedloga Odluke o izmjenama Odluke o visini</w:t>
      </w:r>
    </w:p>
    <w:p w:rsidR="003A300B" w:rsidRDefault="003A300B" w:rsidP="003A300B">
      <w:pPr>
        <w:pStyle w:val="NoSpacing"/>
      </w:pPr>
      <w:r>
        <w:t xml:space="preserve">                   spomeničke rente Grada Dubrovnika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  <w:jc w:val="both"/>
      </w:pPr>
      <w:r>
        <w:t>Predloženom Odlukom o izmjenama Odluke o visini spomeničke rente predlaže se brisanje stavka 1. članka 6. Odluke o visini spomeničke rente kojim je bila uređena mogućnost potpunog ili djelomičnog oslobađanja plaćanja spomeničke rente.</w:t>
      </w:r>
    </w:p>
    <w:p w:rsidR="003A300B" w:rsidRDefault="003A300B" w:rsidP="003A300B">
      <w:pPr>
        <w:pStyle w:val="NoSpacing"/>
        <w:jc w:val="both"/>
      </w:pPr>
      <w:r>
        <w:t>Citiranom odredbom moglo se oslobodit osobu s invaliditetom većim od 70%, obrtnika ili poduzetnika koji obavlja djelatnost koja je posebnom odlukom Gradskog vijeća definirana kao deficitarna, ili pak osloboditi osobu u posebnim slučajevima koje odredi gradonačelnik.</w:t>
      </w:r>
    </w:p>
    <w:p w:rsidR="003A300B" w:rsidRDefault="003A300B" w:rsidP="003A300B">
      <w:pPr>
        <w:pStyle w:val="NoSpacing"/>
        <w:jc w:val="both"/>
      </w:pPr>
    </w:p>
    <w:p w:rsidR="003A300B" w:rsidRDefault="003A300B" w:rsidP="003A300B">
      <w:pPr>
        <w:pStyle w:val="NoSpacing"/>
        <w:jc w:val="both"/>
      </w:pPr>
      <w:r>
        <w:t>Takva oslobađanja od plaćanja spomeničke rente bila su u skladu s odredbom stavka 6. članka 114. Zakona o zaštiti i očuvanju kulturnih dobara kojom je jedinicama lokalne samouprave bila pružena mogućnost da svojim odlukama odrede uvjete oslobađanja od plaćanja spomeničke rente za fizičke ili pravne osobe. Ista odredba je Zakonom o izmjenama i dopunama Zakona o zaštiti i očuvanju kulturnih dobara („Narodne novine“, broj: 25/12.) brisana iz zakona.</w:t>
      </w:r>
    </w:p>
    <w:p w:rsidR="003A300B" w:rsidRDefault="003A300B" w:rsidP="003A300B">
      <w:pPr>
        <w:pStyle w:val="NoSpacing"/>
        <w:jc w:val="both"/>
      </w:pPr>
    </w:p>
    <w:p w:rsidR="003A300B" w:rsidRDefault="003A300B" w:rsidP="003A300B">
      <w:pPr>
        <w:pStyle w:val="NoSpacing"/>
        <w:jc w:val="both"/>
      </w:pPr>
      <w:r>
        <w:t xml:space="preserve">Slijedom iznesenoga predložena je Odluka o izmjenama Odluke o visini spomeničke rente budući više ne postoji pravna osnova za gore spomenuta oslobađanja od plaćanja spomeničke rente. </w:t>
      </w:r>
    </w:p>
    <w:p w:rsidR="003A300B" w:rsidRDefault="003A300B" w:rsidP="003A300B">
      <w:pPr>
        <w:pStyle w:val="NoSpacing"/>
      </w:pPr>
      <w:r>
        <w:t>U svezi iznesenoga predlaže se sljedeći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  <w:jc w:val="center"/>
      </w:pPr>
      <w:r>
        <w:t>Z A K L J U Č A K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  <w:numPr>
          <w:ilvl w:val="0"/>
          <w:numId w:val="3"/>
        </w:numPr>
        <w:jc w:val="both"/>
      </w:pPr>
      <w:r>
        <w:t>Utvrđuje se prijedlog Odluke o izmjenama Odluke o visini spomeničke rente Grada Dubrovnika i upućuje se Gradskom vijeću Grada Dubrovnika na raspravljanje i donošenje.</w:t>
      </w:r>
    </w:p>
    <w:p w:rsidR="003A300B" w:rsidRDefault="003A300B" w:rsidP="003A300B">
      <w:pPr>
        <w:pStyle w:val="NoSpacing"/>
        <w:numPr>
          <w:ilvl w:val="0"/>
          <w:numId w:val="3"/>
        </w:numPr>
        <w:jc w:val="both"/>
      </w:pPr>
      <w:r>
        <w:t>Tekst Odluke iz točke 1. ovog Zaključka čini sastavni dio istog.</w:t>
      </w:r>
    </w:p>
    <w:p w:rsidR="003A300B" w:rsidRDefault="003A300B" w:rsidP="003A300B">
      <w:pPr>
        <w:pStyle w:val="NoSpacing"/>
        <w:numPr>
          <w:ilvl w:val="0"/>
          <w:numId w:val="3"/>
        </w:numPr>
        <w:jc w:val="both"/>
      </w:pPr>
      <w:r>
        <w:t xml:space="preserve">Izvjestitelj u ovoj točki bit će pročelnik Upravnog odjela za komunalne djelatnosti i mjesnu samoupravu, Zlatko </w:t>
      </w:r>
      <w:proofErr w:type="spellStart"/>
      <w:r>
        <w:t>Uršić</w:t>
      </w:r>
      <w:proofErr w:type="spellEnd"/>
      <w:r>
        <w:t>.</w:t>
      </w:r>
    </w:p>
    <w:p w:rsidR="003A300B" w:rsidRDefault="003A300B" w:rsidP="003A300B">
      <w:pPr>
        <w:pStyle w:val="NoSpacing"/>
        <w:ind w:left="360"/>
        <w:jc w:val="both"/>
      </w:pPr>
      <w:r>
        <w:t xml:space="preserve">   </w:t>
      </w:r>
    </w:p>
    <w:p w:rsidR="003A300B" w:rsidRDefault="003A300B" w:rsidP="003A300B">
      <w:pPr>
        <w:pStyle w:val="NoSpacing"/>
        <w:ind w:left="360"/>
      </w:pPr>
    </w:p>
    <w:p w:rsidR="003A300B" w:rsidRDefault="003A300B" w:rsidP="003A300B">
      <w:pPr>
        <w:pStyle w:val="NoSpacing"/>
        <w:ind w:left="360"/>
      </w:pPr>
      <w:r>
        <w:t xml:space="preserve">                                                                        Pročelnik</w:t>
      </w:r>
    </w:p>
    <w:p w:rsidR="003A300B" w:rsidRDefault="003A300B" w:rsidP="003A300B">
      <w:pPr>
        <w:pStyle w:val="NoSpacing"/>
        <w:ind w:left="360"/>
      </w:pPr>
      <w:r>
        <w:t xml:space="preserve">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3A300B" w:rsidRDefault="003A300B" w:rsidP="003A300B">
      <w:pPr>
        <w:pStyle w:val="NoSpacing"/>
        <w:ind w:left="360"/>
      </w:pPr>
      <w:r>
        <w:t>DOSTAVIT:</w:t>
      </w:r>
    </w:p>
    <w:p w:rsidR="003A300B" w:rsidRDefault="003A300B" w:rsidP="003A300B">
      <w:pPr>
        <w:pStyle w:val="NoSpacing"/>
        <w:numPr>
          <w:ilvl w:val="0"/>
          <w:numId w:val="4"/>
        </w:numPr>
      </w:pPr>
      <w:r>
        <w:t>Gradonačelnik, ovdje</w:t>
      </w:r>
    </w:p>
    <w:p w:rsidR="003A300B" w:rsidRDefault="003A300B" w:rsidP="003A300B">
      <w:pPr>
        <w:pStyle w:val="NoSpacing"/>
        <w:numPr>
          <w:ilvl w:val="0"/>
          <w:numId w:val="4"/>
        </w:numPr>
      </w:pPr>
      <w:r>
        <w:t>Služba Gradskog vijeća, ovdje</w:t>
      </w:r>
    </w:p>
    <w:p w:rsidR="003A300B" w:rsidRDefault="003A300B" w:rsidP="003A300B">
      <w:pPr>
        <w:pStyle w:val="NoSpacing"/>
        <w:numPr>
          <w:ilvl w:val="0"/>
          <w:numId w:val="4"/>
        </w:numPr>
      </w:pPr>
      <w:r>
        <w:t>Pismohrana</w:t>
      </w:r>
    </w:p>
    <w:p w:rsidR="003A300B" w:rsidRDefault="003A300B" w:rsidP="003A300B">
      <w:pPr>
        <w:pStyle w:val="NoSpacing"/>
        <w:numPr>
          <w:ilvl w:val="0"/>
          <w:numId w:val="4"/>
        </w:numPr>
      </w:pPr>
      <w:r>
        <w:t>Evidencija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</w:p>
    <w:p w:rsidR="003A300B" w:rsidRDefault="003A300B" w:rsidP="003A300B">
      <w:pPr>
        <w:jc w:val="center"/>
      </w:pPr>
      <w:r>
        <w:lastRenderedPageBreak/>
        <w:t>O b r a z l o ž e n j e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</w:pPr>
      <w:r>
        <w:t>PRAVNA OSNOVA</w:t>
      </w:r>
    </w:p>
    <w:p w:rsidR="003A300B" w:rsidRDefault="003A300B" w:rsidP="003A300B">
      <w:pPr>
        <w:pStyle w:val="NoSpacing"/>
      </w:pPr>
    </w:p>
    <w:p w:rsidR="003A300B" w:rsidRDefault="003A300B" w:rsidP="003A300B">
      <w:pPr>
        <w:pStyle w:val="NoSpacing"/>
        <w:jc w:val="both"/>
      </w:pPr>
      <w:r>
        <w:t>Predloženom Odlukom o izmjenama Odluke o visini spomeničke rente predlaže se brisanje stavka 1. članka 6. Odluke o visini spomeničke rente kojim je bila uređena mogućnost potpunog ili djelomičnog oslobađanja plaćanja spomeničke rente.</w:t>
      </w:r>
    </w:p>
    <w:p w:rsidR="003A300B" w:rsidRDefault="003A300B" w:rsidP="003A300B">
      <w:pPr>
        <w:pStyle w:val="NoSpacing"/>
        <w:jc w:val="both"/>
      </w:pPr>
      <w:r>
        <w:t>Citiranom odredbom moglo se oslobodit osobu s invaliditetom većim od 70%, obrtnika ili poduzetnika koji obavlja djelatnost koja je posebnom odlukom Gradskog vijeća definirana kao deficitarna, ili pak osloboditi osobu u posebnim slučajevima koje odredi gradonačelnik.</w:t>
      </w:r>
    </w:p>
    <w:p w:rsidR="003A300B" w:rsidRDefault="003A300B" w:rsidP="003A300B">
      <w:pPr>
        <w:pStyle w:val="NoSpacing"/>
        <w:jc w:val="both"/>
      </w:pPr>
    </w:p>
    <w:p w:rsidR="003A300B" w:rsidRDefault="003A300B" w:rsidP="003A300B">
      <w:pPr>
        <w:pStyle w:val="NoSpacing"/>
        <w:jc w:val="both"/>
      </w:pPr>
      <w:r>
        <w:t>Takva oslobađanja od plaćanja spomeničke rente bila su u skladu s odredbom stavka 6. članka 114. Zakona o zaštiti i očuvanju kulturnih dobara kojom je jedinicama lokalne samouprave bila pružena mogućnost da svojim odlukama odrede uvjete oslobađanja od plaćanja spomeničke rente za fizičke ili pravne osobe. Ista odredba je Zakonom o izmjenama i dopunama Zakona o zaštiti i očuvanju kulturnih dobara („Narodne novine“, broj: 25/12.) brisana iz zakona.</w:t>
      </w:r>
    </w:p>
    <w:p w:rsidR="003A300B" w:rsidRDefault="003A300B" w:rsidP="003A300B">
      <w:pPr>
        <w:pStyle w:val="NoSpacing"/>
        <w:jc w:val="both"/>
      </w:pPr>
    </w:p>
    <w:p w:rsidR="003A300B" w:rsidRDefault="003A300B" w:rsidP="003A300B">
      <w:pPr>
        <w:pStyle w:val="NoSpacing"/>
        <w:jc w:val="both"/>
      </w:pPr>
      <w:r>
        <w:t xml:space="preserve">Slijedom iznesenoga predložena je Odluka o izmjenama Odluke o visini spomeničke rente budući više ne postoji pravna osnova za gore spomenuta oslobađanja od plaćanja spomeničke rente. </w:t>
      </w:r>
    </w:p>
    <w:p w:rsidR="003A300B" w:rsidRDefault="003A300B" w:rsidP="003A300B">
      <w:pPr>
        <w:pStyle w:val="NoSpacing"/>
      </w:pPr>
      <w:bookmarkStart w:id="0" w:name="_GoBack"/>
      <w:bookmarkEnd w:id="0"/>
    </w:p>
    <w:p w:rsidR="003A300B" w:rsidRPr="00730661" w:rsidRDefault="003A300B" w:rsidP="003A300B">
      <w:pPr>
        <w:pStyle w:val="NoSpacing"/>
      </w:pPr>
    </w:p>
    <w:sectPr w:rsidR="003A300B" w:rsidRPr="0073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87C"/>
    <w:multiLevelType w:val="hybridMultilevel"/>
    <w:tmpl w:val="D304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6B7"/>
    <w:multiLevelType w:val="hybridMultilevel"/>
    <w:tmpl w:val="FE98C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6180"/>
    <w:multiLevelType w:val="hybridMultilevel"/>
    <w:tmpl w:val="B7CE0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F5"/>
    <w:rsid w:val="002914AE"/>
    <w:rsid w:val="0035751A"/>
    <w:rsid w:val="003A300B"/>
    <w:rsid w:val="0048474A"/>
    <w:rsid w:val="00647011"/>
    <w:rsid w:val="00730661"/>
    <w:rsid w:val="00915252"/>
    <w:rsid w:val="00A1567A"/>
    <w:rsid w:val="00C83017"/>
    <w:rsid w:val="00E91381"/>
    <w:rsid w:val="00F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BC89"/>
  <w15:chartTrackingRefBased/>
  <w15:docId w15:val="{F4DC2CEA-43C6-44B4-8784-0797A32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6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3A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4B100A1898&amp;Ver=NN2004B100A1898" TargetMode="External"/><Relationship Id="rId13" Type="http://schemas.openxmlformats.org/officeDocument/2006/relationships/hyperlink" Target="http://www.iusinfo.hr/Publication/Content.aspx?Sopi=NN2012B136A2883&amp;Ver=NN2012B136A2883" TargetMode="External"/><Relationship Id="rId18" Type="http://schemas.openxmlformats.org/officeDocument/2006/relationships/hyperlink" Target="http://www.iusinfo.hr/Publication/Content.aspx?Sopi=NN2018B90A1756&amp;Ver=NN2018B90A1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3B157A2256&amp;Ver=NN2003B157A2256" TargetMode="External"/><Relationship Id="rId12" Type="http://schemas.openxmlformats.org/officeDocument/2006/relationships/hyperlink" Target="http://www.iusinfo.hr/Publication/Content.aspx?Sopi=NN2012B25A636&amp;Ver=NN2012B25A636" TargetMode="External"/><Relationship Id="rId17" Type="http://schemas.openxmlformats.org/officeDocument/2006/relationships/hyperlink" Target="http://www.iusinfo.hr/Publication/Content.aspx?Sopi=NN2017B44A1000&amp;Ver=NN2017B44A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5B98A1897&amp;Ver=NN2015B98A18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3B151A2180&amp;Ver=NN2003B151A2180" TargetMode="External"/><Relationship Id="rId11" Type="http://schemas.openxmlformats.org/officeDocument/2006/relationships/hyperlink" Target="http://www.iusinfo.hr/Publication/Content.aspx?Sopi=NN2011B61A1366&amp;Ver=NN2011B61A1366" TargetMode="External"/><Relationship Id="rId5" Type="http://schemas.openxmlformats.org/officeDocument/2006/relationships/hyperlink" Target="http://www.iusinfo.hr/Publication/Content.aspx?Sopi=NN1999B69A1284&amp;Ver=NN1999B69A1284" TargetMode="External"/><Relationship Id="rId15" Type="http://schemas.openxmlformats.org/officeDocument/2006/relationships/hyperlink" Target="http://www.iusinfo.hr/Publication/Content.aspx?Sopi=NN2014B152A2865&amp;Ver=NN2014B152A2865" TargetMode="External"/><Relationship Id="rId10" Type="http://schemas.openxmlformats.org/officeDocument/2006/relationships/hyperlink" Target="http://www.iusinfo.hr/Publication/Content.aspx?Sopi=NN2010B88A2464&amp;Ver=NN2010B88A24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9B87A2130&amp;Ver=NN2009B87A2130" TargetMode="External"/><Relationship Id="rId14" Type="http://schemas.openxmlformats.org/officeDocument/2006/relationships/hyperlink" Target="http://www.iusinfo.hr/Publication/Content.aspx?Sopi=NN2013B157A3296&amp;Ver=NN2013B157A3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dcterms:created xsi:type="dcterms:W3CDTF">2018-12-03T11:47:00Z</dcterms:created>
  <dcterms:modified xsi:type="dcterms:W3CDTF">2018-12-03T11:48:00Z</dcterms:modified>
</cp:coreProperties>
</file>