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35" w:rsidRDefault="00F55E35" w:rsidP="00C44454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C44454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C44454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suppressAutoHyphens w:val="0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suppressAutoHyphens w:val="0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suppressAutoHyphens w:val="0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suppressAutoHyphens w:val="0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  <w:r>
        <w:rPr>
          <w:rFonts w:ascii="Arial" w:hAnsi="Arial" w:cs="Arial"/>
          <w:b/>
          <w:sz w:val="22"/>
          <w:szCs w:val="22"/>
          <w:lang w:eastAsia="hr-HR"/>
        </w:rPr>
        <w:t>GRADONAČELNIK</w:t>
      </w:r>
    </w:p>
    <w:p w:rsidR="00F55E35" w:rsidRDefault="00F55E35" w:rsidP="00F55E3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:rsidR="00F55E35" w:rsidRDefault="00F55E35" w:rsidP="00F55E3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KLASA: 400-01/18-01/02</w:t>
      </w:r>
    </w:p>
    <w:p w:rsidR="00F55E35" w:rsidRDefault="00F55E35" w:rsidP="00F55E3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URBROJ: 2117/01-01-18-28</w:t>
      </w:r>
    </w:p>
    <w:p w:rsidR="00F55E35" w:rsidRDefault="00F55E35" w:rsidP="00F55E3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Dubrovnik, 26. listopada  2018.g.</w:t>
      </w:r>
    </w:p>
    <w:p w:rsidR="00F55E35" w:rsidRDefault="00F55E35" w:rsidP="00F55E35">
      <w:pPr>
        <w:ind w:left="3540"/>
        <w:rPr>
          <w:rFonts w:ascii="Arial" w:hAnsi="Arial" w:cs="Arial"/>
          <w:b/>
          <w:bCs/>
          <w:sz w:val="22"/>
          <w:szCs w:val="22"/>
        </w:rPr>
      </w:pPr>
    </w:p>
    <w:p w:rsidR="00F55E35" w:rsidRDefault="00F55E35" w:rsidP="00F55E35">
      <w:pPr>
        <w:ind w:left="3540"/>
        <w:rPr>
          <w:rFonts w:ascii="Arial" w:hAnsi="Arial" w:cs="Arial"/>
          <w:b/>
          <w:bCs/>
          <w:sz w:val="22"/>
          <w:szCs w:val="22"/>
        </w:rPr>
      </w:pPr>
    </w:p>
    <w:p w:rsidR="00F55E35" w:rsidRDefault="00F55E35" w:rsidP="00F55E35">
      <w:pPr>
        <w:pStyle w:val="BodyText0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pStyle w:val="BodyText0"/>
        <w:rPr>
          <w:rFonts w:ascii="Arial" w:hAnsi="Arial" w:cs="Arial"/>
          <w:szCs w:val="22"/>
        </w:rPr>
      </w:pP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48. Zakona o lokalnoj i područnoj (regionalnoj) samoupravi („Narodne novine“, broj 33/01, 60/01, 129/05, 109/07, 125/08, 36/09, 150/11, 144/12, 19/13 – pročišćeni tekst, 137/15 i 123/17) i članka 41. Statuta Grada Dubrovnika (“Službeni glasnik Grada Dubrovnika“, broj 4/09, 6/10, 3/11, 14/12, 5/13, 6/13 – pročišćeni tekst, 9/15 i 5/18) gradonačelnik Grada Dubrovnika donio je:</w:t>
      </w: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pStyle w:val="Heading2"/>
        <w:numPr>
          <w:ilvl w:val="0"/>
          <w:numId w:val="0"/>
        </w:numPr>
        <w:tabs>
          <w:tab w:val="left" w:pos="708"/>
        </w:tabs>
        <w:jc w:val="center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ZAKLJUČAK</w:t>
      </w:r>
    </w:p>
    <w:p w:rsidR="00F55E35" w:rsidRDefault="00F55E35" w:rsidP="00F55E35">
      <w:pPr>
        <w:pStyle w:val="NoSpacing"/>
        <w:ind w:right="424"/>
        <w:jc w:val="both"/>
        <w:rPr>
          <w:rFonts w:ascii="Arial" w:hAnsi="Arial" w:cs="Arial"/>
        </w:rPr>
      </w:pPr>
    </w:p>
    <w:p w:rsidR="00F55E35" w:rsidRDefault="00F55E35" w:rsidP="00F55E35">
      <w:pPr>
        <w:pStyle w:val="NoSpacing"/>
        <w:ind w:left="360" w:right="424"/>
        <w:jc w:val="both"/>
        <w:rPr>
          <w:rFonts w:ascii="Arial" w:hAnsi="Arial" w:cs="Arial"/>
        </w:rPr>
      </w:pPr>
    </w:p>
    <w:p w:rsidR="00F55E35" w:rsidRDefault="00F55E35" w:rsidP="00F55E35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prijedlog Odluke o izmjeni Odluke o zaduživanju Grada Dubrovnika i upućuje se Gradskom vijeću Grada Dubrovnika na raspravu i donošenje.</w:t>
      </w:r>
    </w:p>
    <w:p w:rsidR="00F55E35" w:rsidRDefault="00F55E35" w:rsidP="00F55E35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Izvjestitelj u ovoj točki biti će gradonačelnik Grada Dubrovnika gosp. Mato </w:t>
      </w:r>
      <w:proofErr w:type="spellStart"/>
      <w:r>
        <w:rPr>
          <w:rFonts w:ascii="Arial" w:hAnsi="Arial" w:cs="Arial"/>
          <w:sz w:val="22"/>
          <w:szCs w:val="22"/>
        </w:rPr>
        <w:t>Franković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55E35" w:rsidRDefault="00F55E35" w:rsidP="00F55E35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F55E35" w:rsidRDefault="00F55E35" w:rsidP="00F55E35">
      <w:pPr>
        <w:pStyle w:val="NoSpacing"/>
        <w:ind w:right="424"/>
        <w:rPr>
          <w:rFonts w:ascii="Arial" w:hAnsi="Arial" w:cs="Arial"/>
        </w:rPr>
      </w:pPr>
    </w:p>
    <w:p w:rsidR="00F55E35" w:rsidRDefault="00F55E35" w:rsidP="00F55E35">
      <w:pPr>
        <w:pStyle w:val="NoSpacing"/>
        <w:ind w:left="360"/>
        <w:rPr>
          <w:rFonts w:ascii="Arial" w:hAnsi="Arial" w:cs="Arial"/>
        </w:rPr>
      </w:pP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Gradonačelnik</w:t>
      </w: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Mato </w:t>
      </w:r>
      <w:proofErr w:type="spellStart"/>
      <w:r>
        <w:rPr>
          <w:rFonts w:ascii="Arial" w:hAnsi="Arial" w:cs="Arial"/>
          <w:sz w:val="22"/>
          <w:szCs w:val="22"/>
        </w:rPr>
        <w:t>Franković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</w:t>
      </w:r>
    </w:p>
    <w:p w:rsidR="00F55E35" w:rsidRDefault="00F55E35" w:rsidP="00F55E3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izgradnju i upravljanje projektima, ovdje</w:t>
      </w:r>
    </w:p>
    <w:p w:rsidR="00F55E35" w:rsidRDefault="00F55E35" w:rsidP="00F55E3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:rsidR="00F55E35" w:rsidRDefault="00F55E35" w:rsidP="00F55E3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proračun, financije i naplatu, ovdje</w:t>
      </w:r>
    </w:p>
    <w:p w:rsidR="00F55E35" w:rsidRDefault="00F55E35" w:rsidP="00F55E3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F55E35" w:rsidRDefault="00F55E35" w:rsidP="00C44454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C44454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C44454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  <w:lang w:eastAsia="hi-IN"/>
        </w:rPr>
      </w:pPr>
      <w:r>
        <w:rPr>
          <w:rFonts w:ascii="Arial" w:hAnsi="Arial" w:cs="Arial"/>
          <w:sz w:val="22"/>
          <w:szCs w:val="22"/>
        </w:rPr>
        <w:t>Na temelju odredbe članka 86. Zakona o proračunu ("Narodne novine" br.87/08, 136/12. i 15/15.), članka 10. Pravilnika o postupku zaduživanja te davanja jamstava i suglasnosti jedinica lokalne i područne (regionalne) samouprave ("Narodne novine" br.55/09, 139/10), članka 23. Odluke o izvršavanju Proračuna Grada Dubrovnika za 2018. godinu ("Službeni glasnik Grada Dubrovnika" br. 25/17., 2/18., 7/18.,11/18, 18/18 i ----) i članka 32. Statuta Grada Dubrovnika (Službeni glasnik Grada Dubrovnika broj 4/09., 6/10., 3/11., 14/12., 5/13. i 6/13.- pročišćeni tekst, 9/15 i 5/18), Gradsko vijeće Grada Dubrovnika na sjednici održanoj ------------- godine donijelo je</w:t>
      </w: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ODLUKU</w:t>
      </w:r>
    </w:p>
    <w:p w:rsidR="00F55E35" w:rsidRDefault="00F55E35" w:rsidP="00F55E3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izmjeni Odluke o zaduživanju Grada Dubrovnika</w:t>
      </w:r>
    </w:p>
    <w:p w:rsidR="00F55E35" w:rsidRDefault="00F55E35" w:rsidP="00F55E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55E35" w:rsidRDefault="00F55E35" w:rsidP="00F55E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55E35" w:rsidRDefault="00F55E35" w:rsidP="00F55E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55E35" w:rsidRDefault="00F55E35" w:rsidP="00F55E3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1.</w:t>
      </w:r>
    </w:p>
    <w:p w:rsidR="00F55E35" w:rsidRDefault="00F55E35" w:rsidP="00F55E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Odluci o zaduživanju Grada («Službeni glasnik Grada Dubrovnika», broj 11/18 i 14/18)</w:t>
      </w:r>
    </w:p>
    <w:p w:rsidR="00F55E35" w:rsidRDefault="00F55E35" w:rsidP="00F55E35">
      <w:pPr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</w:rPr>
        <w:t xml:space="preserve"> članak 1. mijenja se i glasi: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„Odobrava se zaduživanje Grada Dubrovnika za financiranje kapitalnih  projekata iz Plana razvojnih programa Grada Dubrovnika za 2018. do 2020. godine, kod HBOR-a u iznosu od 132.510.000 kuna, i to kako slijedi po programima odnosno projektima: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bookmarkStart w:id="0" w:name="_Hlk514067312"/>
      <w:r>
        <w:rPr>
          <w:rFonts w:ascii="Arial" w:hAnsi="Arial" w:cs="Arial"/>
          <w:sz w:val="22"/>
          <w:szCs w:val="22"/>
        </w:rPr>
        <w:t xml:space="preserve">Projekt 036009  -  Vila </w:t>
      </w:r>
      <w:proofErr w:type="spellStart"/>
      <w:r>
        <w:rPr>
          <w:rFonts w:ascii="Arial" w:hAnsi="Arial" w:cs="Arial"/>
          <w:sz w:val="22"/>
          <w:szCs w:val="22"/>
        </w:rPr>
        <w:t>Čingrija</w:t>
      </w:r>
      <w:proofErr w:type="spellEnd"/>
    </w:p>
    <w:bookmarkEnd w:id="0"/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133006  -  Vukovarska ulica II faza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136001  -  Cesta most Dr. Franja Tuđmana-</w:t>
      </w:r>
      <w:proofErr w:type="spellStart"/>
      <w:r>
        <w:rPr>
          <w:rFonts w:ascii="Arial" w:hAnsi="Arial" w:cs="Arial"/>
          <w:sz w:val="22"/>
          <w:szCs w:val="22"/>
        </w:rPr>
        <w:t>Osojnik</w:t>
      </w:r>
      <w:proofErr w:type="spellEnd"/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139001  -  Dječji vrtić </w:t>
      </w:r>
      <w:proofErr w:type="spellStart"/>
      <w:r>
        <w:rPr>
          <w:rFonts w:ascii="Arial" w:hAnsi="Arial" w:cs="Arial"/>
          <w:sz w:val="22"/>
          <w:szCs w:val="22"/>
        </w:rPr>
        <w:t>Palčica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139012  -  Osnovna škola </w:t>
      </w:r>
      <w:proofErr w:type="spellStart"/>
      <w:r>
        <w:rPr>
          <w:rFonts w:ascii="Arial" w:hAnsi="Arial" w:cs="Arial"/>
          <w:sz w:val="22"/>
          <w:szCs w:val="22"/>
        </w:rPr>
        <w:t>Montovjerna</w:t>
      </w:r>
      <w:proofErr w:type="spellEnd"/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Uvjeti kreditiranja su slijedeći: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02"/>
        </w:tabs>
        <w:spacing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 kredita: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132.510.000,00 kuna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30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Kreditor: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HBOR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19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Vrsta kredita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Dugoročni kunski kredit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16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Metoda obračuna kamata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Kamatna stopa je fiksna na iznos kredita. </w:t>
      </w:r>
    </w:p>
    <w:p w:rsidR="00F55E35" w:rsidRDefault="00F55E35" w:rsidP="00F55E35">
      <w:pPr>
        <w:pStyle w:val="Bodytext"/>
        <w:tabs>
          <w:tab w:val="left" w:pos="0"/>
          <w:tab w:val="left" w:pos="416"/>
        </w:tabs>
        <w:spacing w:after="0" w:line="266" w:lineRule="exact"/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Na obračun se primjenjuje proporcionalna </w:t>
      </w:r>
    </w:p>
    <w:p w:rsidR="00F55E35" w:rsidRDefault="00F55E35" w:rsidP="00F55E35">
      <w:pPr>
        <w:pStyle w:val="Bodytext"/>
        <w:tabs>
          <w:tab w:val="left" w:pos="0"/>
          <w:tab w:val="left" w:pos="416"/>
        </w:tabs>
        <w:spacing w:after="0" w:line="266" w:lineRule="exact"/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metoda obračuna prema kojoj godina ima 365 </w:t>
      </w:r>
    </w:p>
    <w:p w:rsidR="00F55E35" w:rsidRDefault="00F55E35" w:rsidP="00F55E35">
      <w:pPr>
        <w:pStyle w:val="Bodytext"/>
        <w:tabs>
          <w:tab w:val="left" w:pos="0"/>
          <w:tab w:val="left" w:pos="416"/>
        </w:tabs>
        <w:spacing w:after="0" w:line="266" w:lineRule="exact"/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dana (ovisi o br. dana, a dani u mjesecima</w:t>
      </w:r>
    </w:p>
    <w:p w:rsidR="00F55E35" w:rsidRDefault="00F55E35" w:rsidP="00F55E35">
      <w:pPr>
        <w:pStyle w:val="Bodytext"/>
        <w:tabs>
          <w:tab w:val="left" w:pos="0"/>
          <w:tab w:val="left" w:pos="416"/>
        </w:tabs>
        <w:spacing w:after="0" w:line="266" w:lineRule="exact"/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obračunavaju se prema kalendaru)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16"/>
        </w:tabs>
        <w:spacing w:after="0" w:line="2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Nominalna kamatna stopa: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2 %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26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Efektivna kamatna stopa: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2,09%</w:t>
      </w:r>
    </w:p>
    <w:p w:rsidR="00F55E35" w:rsidRDefault="00F55E35" w:rsidP="00F55E35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Interkalarna</w:t>
      </w:r>
      <w:proofErr w:type="spellEnd"/>
      <w:r>
        <w:rPr>
          <w:rFonts w:ascii="Arial" w:hAnsi="Arial" w:cs="Arial"/>
          <w:sz w:val="22"/>
          <w:szCs w:val="22"/>
        </w:rPr>
        <w:t xml:space="preserve"> kamata: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u visini redovne kamatne stope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23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iskorištenja kredita: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31.12.2020.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30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otplate kredita: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40 jednakih tromjesečnih rata, od kojih prva </w:t>
      </w:r>
    </w:p>
    <w:p w:rsidR="00F55E35" w:rsidRDefault="00F55E35" w:rsidP="00F55E35">
      <w:pPr>
        <w:pStyle w:val="Bodytext"/>
        <w:tabs>
          <w:tab w:val="left" w:pos="430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dospijeva na naplatu 31.03.2021.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388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Naknada za obradu zahtjeva: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0,5% jednokratno na iznos odobrenog kredita </w:t>
      </w:r>
    </w:p>
    <w:p w:rsidR="00F55E35" w:rsidRDefault="00F55E35" w:rsidP="00F55E35">
      <w:pPr>
        <w:pStyle w:val="Bodytext"/>
        <w:tabs>
          <w:tab w:val="left" w:pos="388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(662.550 kuna)</w:t>
      </w:r>
    </w:p>
    <w:p w:rsidR="00F55E35" w:rsidRDefault="00F55E35" w:rsidP="00F55E35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Zatezna kamata: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Promjenjiva- u skladu sa važećom odlukom   </w:t>
      </w: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HBOR-a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398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 ukupnih kamata: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18.774.781,05 kuna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395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Ukupna cijena kredita: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151.284.781,05 kuna</w:t>
      </w:r>
    </w:p>
    <w:p w:rsidR="00F55E35" w:rsidRDefault="00F55E35" w:rsidP="00F55E35">
      <w:pPr>
        <w:pStyle w:val="Bodytext"/>
        <w:numPr>
          <w:ilvl w:val="0"/>
          <w:numId w:val="2"/>
        </w:numPr>
        <w:tabs>
          <w:tab w:val="left" w:pos="0"/>
          <w:tab w:val="left" w:pos="402"/>
        </w:tabs>
        <w:spacing w:after="0" w:line="266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Konačna cijena kredita: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151.947.331,05 kuna</w:t>
      </w:r>
    </w:p>
    <w:p w:rsidR="00F55E35" w:rsidRDefault="00F55E35" w:rsidP="00F55E35">
      <w:pPr>
        <w:numPr>
          <w:ilvl w:val="0"/>
          <w:numId w:val="2"/>
        </w:numPr>
        <w:tabs>
          <w:tab w:val="num" w:pos="1418"/>
        </w:tabs>
        <w:suppressAutoHyphens w:val="0"/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Instrumenti osiguranja: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hr-HR"/>
        </w:rPr>
        <w:t xml:space="preserve">5 (pet) bjanko vlastitih trasiranih i akceptiranih </w:t>
      </w:r>
    </w:p>
    <w:p w:rsidR="00F55E35" w:rsidRDefault="00F55E35" w:rsidP="00F55E35">
      <w:pPr>
        <w:tabs>
          <w:tab w:val="num" w:pos="1418"/>
        </w:tabs>
        <w:suppressAutoHyphens w:val="0"/>
        <w:ind w:left="4963"/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mjenica Korisnika kredita s odredbom “bez protesta” i mjeničnim očitovanjem,</w:t>
      </w:r>
    </w:p>
    <w:p w:rsidR="00F55E35" w:rsidRDefault="00F55E35" w:rsidP="00F55E35">
      <w:pPr>
        <w:pStyle w:val="Bodytext"/>
        <w:tabs>
          <w:tab w:val="left" w:pos="398"/>
        </w:tabs>
        <w:spacing w:after="0" w:line="266" w:lineRule="exact"/>
        <w:ind w:left="4963" w:hanging="9926"/>
        <w:rPr>
          <w:rFonts w:ascii="Arial" w:hAnsi="Arial" w:cs="Arial"/>
          <w:kern w:val="0"/>
          <w:sz w:val="22"/>
          <w:szCs w:val="22"/>
          <w:lang w:eastAsia="hr-HR" w:bidi="ar-SA"/>
        </w:rPr>
      </w:pPr>
      <w:r>
        <w:rPr>
          <w:rFonts w:ascii="Arial" w:hAnsi="Arial" w:cs="Arial"/>
          <w:kern w:val="0"/>
          <w:sz w:val="22"/>
          <w:szCs w:val="22"/>
          <w:lang w:eastAsia="hr-HR" w:bidi="ar-SA"/>
        </w:rPr>
        <w:tab/>
      </w:r>
      <w:r>
        <w:rPr>
          <w:rFonts w:ascii="Arial" w:hAnsi="Arial" w:cs="Arial"/>
          <w:kern w:val="0"/>
          <w:sz w:val="22"/>
          <w:szCs w:val="22"/>
          <w:lang w:eastAsia="hr-HR" w:bidi="ar-SA"/>
        </w:rPr>
        <w:tab/>
        <w:t>1 (jednu) zadužnicu Korisnika kredita na iznos odobrenog kredita uvećanog za pripadajuću kamatu, naknade i troškove.“</w:t>
      </w:r>
    </w:p>
    <w:p w:rsidR="00F55E35" w:rsidRDefault="00F55E35" w:rsidP="00F55E35">
      <w:pPr>
        <w:rPr>
          <w:rFonts w:cs="Tahoma"/>
          <w:kern w:val="2"/>
          <w:lang w:eastAsia="hr-HR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  <w:lang w:eastAsia="hi-IN" w:bidi="hi-IN"/>
        </w:rPr>
      </w:pP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  <w:bookmarkStart w:id="1" w:name="_Hlk518386662"/>
      <w:r>
        <w:rPr>
          <w:rFonts w:ascii="Arial" w:hAnsi="Arial" w:cs="Arial"/>
          <w:sz w:val="22"/>
          <w:szCs w:val="22"/>
        </w:rPr>
        <w:t>Članak 2.</w:t>
      </w: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članku 4. dodaje se stavak 3 koji glasi: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„Temeljem članka 1. ovlašćuje se Gradonačelnik Grada Dubrovnika za potpisivanje Aneksa Ugovora o kreditu između Grada Dubrovnika i HBOR-a, a nakon dobivene suglasnosti Vlade Republike Hrvatske.“</w:t>
      </w: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bookmarkEnd w:id="1"/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odluka stupa na snagu dan nakon objave u "Službenom glasniku Grada Dubrovnika".</w:t>
      </w: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both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Predsjednik Gradskog vijeća:</w:t>
      </w:r>
    </w:p>
    <w:p w:rsidR="00F55E35" w:rsidRDefault="00F55E35" w:rsidP="00F55E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mr.sc.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Marko Potrebica</w:t>
      </w:r>
    </w:p>
    <w:p w:rsidR="00F55E35" w:rsidRDefault="00F55E35" w:rsidP="00F55E35">
      <w:pPr>
        <w:jc w:val="center"/>
        <w:rPr>
          <w:rFonts w:cs="Tahoma"/>
        </w:rPr>
      </w:pPr>
    </w:p>
    <w:p w:rsidR="00F55E35" w:rsidRDefault="00F55E35" w:rsidP="00C44454">
      <w:pPr>
        <w:jc w:val="center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rPr>
          <w:rFonts w:ascii="Arial" w:hAnsi="Arial" w:cs="Arial"/>
          <w:sz w:val="22"/>
          <w:szCs w:val="22"/>
        </w:rPr>
      </w:pPr>
    </w:p>
    <w:p w:rsidR="00F55E35" w:rsidRDefault="00F55E35" w:rsidP="00C44454">
      <w:pPr>
        <w:jc w:val="center"/>
        <w:rPr>
          <w:rFonts w:ascii="Arial" w:hAnsi="Arial" w:cs="Arial"/>
          <w:sz w:val="22"/>
          <w:szCs w:val="22"/>
        </w:rPr>
      </w:pPr>
    </w:p>
    <w:p w:rsidR="00C44454" w:rsidRPr="00C44454" w:rsidRDefault="00C44454" w:rsidP="00C44454">
      <w:pPr>
        <w:jc w:val="center"/>
        <w:rPr>
          <w:rFonts w:ascii="Arial" w:hAnsi="Arial" w:cs="Arial"/>
          <w:sz w:val="22"/>
          <w:szCs w:val="22"/>
        </w:rPr>
      </w:pPr>
      <w:r w:rsidRPr="00C44454">
        <w:rPr>
          <w:rFonts w:ascii="Arial" w:hAnsi="Arial" w:cs="Arial"/>
          <w:sz w:val="22"/>
          <w:szCs w:val="22"/>
        </w:rPr>
        <w:lastRenderedPageBreak/>
        <w:t>OBRAZLOŽENJE</w:t>
      </w:r>
    </w:p>
    <w:p w:rsidR="00C44454" w:rsidRPr="00C44454" w:rsidRDefault="00C44454" w:rsidP="00C44454">
      <w:pPr>
        <w:rPr>
          <w:rFonts w:ascii="Arial" w:hAnsi="Arial" w:cs="Arial"/>
          <w:sz w:val="22"/>
          <w:szCs w:val="22"/>
        </w:rPr>
      </w:pPr>
    </w:p>
    <w:p w:rsidR="00C44454" w:rsidRPr="00C44454" w:rsidRDefault="00C44454" w:rsidP="00C44454">
      <w:pPr>
        <w:rPr>
          <w:rFonts w:ascii="Arial" w:hAnsi="Arial" w:cs="Arial"/>
          <w:sz w:val="22"/>
          <w:szCs w:val="22"/>
        </w:rPr>
      </w:pPr>
    </w:p>
    <w:p w:rsidR="00C44454" w:rsidRDefault="00C44454" w:rsidP="00C44454">
      <w:pPr>
        <w:jc w:val="both"/>
        <w:rPr>
          <w:rFonts w:ascii="Arial" w:hAnsi="Arial" w:cs="Arial"/>
          <w:sz w:val="22"/>
          <w:szCs w:val="22"/>
        </w:rPr>
      </w:pPr>
      <w:r w:rsidRPr="00C44454">
        <w:rPr>
          <w:rFonts w:ascii="Arial" w:hAnsi="Arial" w:cs="Arial"/>
          <w:sz w:val="22"/>
          <w:szCs w:val="22"/>
        </w:rPr>
        <w:t>Na temelju Odluke o zaduživanju Grada Dubrovnika KLASA:400-0</w:t>
      </w:r>
      <w:r>
        <w:rPr>
          <w:rFonts w:ascii="Arial" w:hAnsi="Arial" w:cs="Arial"/>
          <w:sz w:val="22"/>
          <w:szCs w:val="22"/>
        </w:rPr>
        <w:t>1</w:t>
      </w:r>
      <w:r w:rsidRPr="00C44454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8</w:t>
      </w:r>
      <w:r w:rsidRPr="00C44454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1</w:t>
      </w:r>
      <w:r w:rsidRPr="00C44454">
        <w:rPr>
          <w:rFonts w:ascii="Arial" w:hAnsi="Arial" w:cs="Arial"/>
          <w:sz w:val="22"/>
          <w:szCs w:val="22"/>
        </w:rPr>
        <w:t>/02, URBROJ:2117/01-09-1</w:t>
      </w:r>
      <w:r>
        <w:rPr>
          <w:rFonts w:ascii="Arial" w:hAnsi="Arial" w:cs="Arial"/>
          <w:sz w:val="22"/>
          <w:szCs w:val="22"/>
        </w:rPr>
        <w:t>8</w:t>
      </w:r>
      <w:r w:rsidRPr="00C4445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Pr="00C44454">
        <w:rPr>
          <w:rFonts w:ascii="Arial" w:hAnsi="Arial" w:cs="Arial"/>
          <w:sz w:val="22"/>
          <w:szCs w:val="22"/>
        </w:rPr>
        <w:t>3 od 2</w:t>
      </w:r>
      <w:r>
        <w:rPr>
          <w:rFonts w:ascii="Arial" w:hAnsi="Arial" w:cs="Arial"/>
          <w:sz w:val="22"/>
          <w:szCs w:val="22"/>
        </w:rPr>
        <w:t>8</w:t>
      </w:r>
      <w:r w:rsidRPr="00C4445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svibnja</w:t>
      </w:r>
      <w:r w:rsidRPr="00C44454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44454">
        <w:rPr>
          <w:rFonts w:ascii="Arial" w:hAnsi="Arial" w:cs="Arial"/>
          <w:sz w:val="22"/>
          <w:szCs w:val="22"/>
        </w:rPr>
        <w:t>.g</w:t>
      </w:r>
      <w:r>
        <w:rPr>
          <w:rFonts w:ascii="Arial" w:hAnsi="Arial" w:cs="Arial"/>
          <w:sz w:val="22"/>
          <w:szCs w:val="22"/>
        </w:rPr>
        <w:t xml:space="preserve"> Gradsko vijeće prihvatilo je zaduživanje Grada Dubrovnika  kod HBOR-a sukladno </w:t>
      </w:r>
      <w:r w:rsidR="000149A3">
        <w:rPr>
          <w:rFonts w:ascii="Arial" w:hAnsi="Arial" w:cs="Arial"/>
          <w:sz w:val="22"/>
          <w:szCs w:val="22"/>
        </w:rPr>
        <w:t xml:space="preserve"> ponuđenim</w:t>
      </w:r>
      <w:r>
        <w:rPr>
          <w:rFonts w:ascii="Arial" w:hAnsi="Arial" w:cs="Arial"/>
          <w:sz w:val="22"/>
          <w:szCs w:val="22"/>
        </w:rPr>
        <w:t xml:space="preserve"> uvjetima kreditora.</w:t>
      </w:r>
    </w:p>
    <w:p w:rsidR="00C44454" w:rsidRDefault="00D82ABF" w:rsidP="00C444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usvojilo prvu izmjenu odluk</w:t>
      </w:r>
      <w:r w:rsidR="00220A04">
        <w:rPr>
          <w:rFonts w:ascii="Arial" w:hAnsi="Arial" w:cs="Arial"/>
          <w:sz w:val="22"/>
          <w:szCs w:val="22"/>
        </w:rPr>
        <w:t>e o zaduživanju Grada Dubrovnika</w:t>
      </w:r>
      <w:r>
        <w:rPr>
          <w:rFonts w:ascii="Arial" w:hAnsi="Arial" w:cs="Arial"/>
          <w:sz w:val="22"/>
          <w:szCs w:val="22"/>
        </w:rPr>
        <w:t xml:space="preserve"> zbog smanj</w:t>
      </w:r>
      <w:r w:rsidR="008C6FA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nja kamatne stope na 14 sjednici održanoj 6.7.2018</w:t>
      </w:r>
      <w:r w:rsidR="008C6FA5">
        <w:rPr>
          <w:rFonts w:ascii="Arial" w:hAnsi="Arial" w:cs="Arial"/>
          <w:sz w:val="22"/>
          <w:szCs w:val="22"/>
        </w:rPr>
        <w:t>.</w:t>
      </w:r>
      <w:r w:rsidR="00220A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</w:t>
      </w:r>
      <w:r w:rsidR="007D64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C44454">
        <w:rPr>
          <w:rFonts w:ascii="Arial" w:hAnsi="Arial" w:cs="Arial"/>
          <w:sz w:val="22"/>
          <w:szCs w:val="22"/>
        </w:rPr>
        <w:t>vom izmjenom odluke kreditno zaduženje</w:t>
      </w:r>
      <w:r w:rsidR="00A218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usklađuje se prema projektima u usvojenom Proračunu Grada Dubrovnika.</w:t>
      </w:r>
    </w:p>
    <w:p w:rsidR="007678D5" w:rsidRDefault="007678D5" w:rsidP="00C44454">
      <w:pPr>
        <w:jc w:val="both"/>
        <w:rPr>
          <w:rFonts w:ascii="Arial" w:hAnsi="Arial" w:cs="Arial"/>
          <w:sz w:val="22"/>
          <w:szCs w:val="22"/>
        </w:rPr>
      </w:pPr>
    </w:p>
    <w:p w:rsidR="00D82ABF" w:rsidRDefault="00D82ABF" w:rsidP="00C444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Naime prema prvotnoj odluci </w:t>
      </w:r>
      <w:r w:rsidR="007678D5">
        <w:rPr>
          <w:rFonts w:ascii="Arial" w:hAnsi="Arial" w:cs="Arial"/>
          <w:sz w:val="22"/>
          <w:szCs w:val="22"/>
        </w:rPr>
        <w:t xml:space="preserve"> kreditnim </w:t>
      </w:r>
      <w:r>
        <w:rPr>
          <w:rFonts w:ascii="Arial" w:hAnsi="Arial" w:cs="Arial"/>
          <w:sz w:val="22"/>
          <w:szCs w:val="22"/>
        </w:rPr>
        <w:t xml:space="preserve">zaduženjem su se namjeravali investirati projekti kupnje Vile </w:t>
      </w:r>
      <w:proofErr w:type="spellStart"/>
      <w:r>
        <w:rPr>
          <w:rFonts w:ascii="Arial" w:hAnsi="Arial" w:cs="Arial"/>
          <w:sz w:val="22"/>
          <w:szCs w:val="22"/>
        </w:rPr>
        <w:t>Čingrije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C6FA5">
        <w:rPr>
          <w:rFonts w:ascii="Arial" w:hAnsi="Arial" w:cs="Arial"/>
          <w:sz w:val="22"/>
          <w:szCs w:val="22"/>
        </w:rPr>
        <w:t>ulaganje u oborinsku odvodn</w:t>
      </w:r>
      <w:r w:rsidR="007678D5">
        <w:rPr>
          <w:rFonts w:ascii="Arial" w:hAnsi="Arial" w:cs="Arial"/>
          <w:sz w:val="22"/>
          <w:szCs w:val="22"/>
        </w:rPr>
        <w:t>j</w:t>
      </w:r>
      <w:r w:rsidR="008C6FA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Vukovarske ulice II faza, </w:t>
      </w:r>
      <w:r w:rsidR="008C6FA5">
        <w:rPr>
          <w:rFonts w:ascii="Arial" w:hAnsi="Arial" w:cs="Arial"/>
          <w:sz w:val="22"/>
          <w:szCs w:val="22"/>
        </w:rPr>
        <w:t xml:space="preserve"> nadogradnju </w:t>
      </w:r>
      <w:proofErr w:type="spellStart"/>
      <w:r>
        <w:rPr>
          <w:rFonts w:ascii="Arial" w:hAnsi="Arial" w:cs="Arial"/>
          <w:sz w:val="22"/>
          <w:szCs w:val="22"/>
        </w:rPr>
        <w:t>Dj</w:t>
      </w:r>
      <w:r w:rsidR="008C6FA5">
        <w:rPr>
          <w:rFonts w:ascii="Arial" w:hAnsi="Arial" w:cs="Arial"/>
          <w:sz w:val="22"/>
          <w:szCs w:val="22"/>
        </w:rPr>
        <w:t>ečijeg</w:t>
      </w:r>
      <w:proofErr w:type="spellEnd"/>
      <w:r w:rsidR="008C6F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vrtić</w:t>
      </w:r>
      <w:r w:rsidR="008C6FA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44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alčica</w:t>
      </w:r>
      <w:proofErr w:type="spellEnd"/>
      <w:r>
        <w:rPr>
          <w:rFonts w:ascii="Arial" w:hAnsi="Arial" w:cs="Arial"/>
          <w:sz w:val="22"/>
          <w:szCs w:val="22"/>
        </w:rPr>
        <w:t xml:space="preserve">, ulaganje u projekt Infrastrukture </w:t>
      </w:r>
      <w:proofErr w:type="spellStart"/>
      <w:r>
        <w:rPr>
          <w:rFonts w:ascii="Arial" w:hAnsi="Arial" w:cs="Arial"/>
          <w:sz w:val="22"/>
          <w:szCs w:val="22"/>
        </w:rPr>
        <w:t>Solitudo</w:t>
      </w:r>
      <w:proofErr w:type="spellEnd"/>
      <w:r>
        <w:rPr>
          <w:rFonts w:ascii="Arial" w:hAnsi="Arial" w:cs="Arial"/>
          <w:sz w:val="22"/>
          <w:szCs w:val="22"/>
        </w:rPr>
        <w:t xml:space="preserve"> te </w:t>
      </w:r>
      <w:r w:rsidR="007D6445">
        <w:rPr>
          <w:rFonts w:ascii="Arial" w:hAnsi="Arial" w:cs="Arial"/>
          <w:sz w:val="22"/>
          <w:szCs w:val="22"/>
        </w:rPr>
        <w:t>za izgradnju</w:t>
      </w:r>
      <w:r>
        <w:rPr>
          <w:rFonts w:ascii="Arial" w:hAnsi="Arial" w:cs="Arial"/>
          <w:sz w:val="22"/>
          <w:szCs w:val="22"/>
        </w:rPr>
        <w:t xml:space="preserve"> ceste </w:t>
      </w:r>
      <w:bookmarkStart w:id="2" w:name="_Hlk528052865"/>
      <w:r>
        <w:rPr>
          <w:rFonts w:ascii="Arial" w:hAnsi="Arial" w:cs="Arial"/>
          <w:sz w:val="22"/>
          <w:szCs w:val="22"/>
        </w:rPr>
        <w:t xml:space="preserve">most </w:t>
      </w:r>
      <w:r w:rsidR="007D644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</w:t>
      </w:r>
      <w:r w:rsidR="007D64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Franjo Tuđman- </w:t>
      </w:r>
      <w:proofErr w:type="spellStart"/>
      <w:r w:rsidR="007D644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sojnik</w:t>
      </w:r>
      <w:proofErr w:type="spellEnd"/>
      <w:r>
        <w:rPr>
          <w:rFonts w:ascii="Arial" w:hAnsi="Arial" w:cs="Arial"/>
          <w:sz w:val="22"/>
          <w:szCs w:val="22"/>
        </w:rPr>
        <w:t xml:space="preserve"> kao i </w:t>
      </w:r>
      <w:r w:rsidR="007D6445">
        <w:rPr>
          <w:rFonts w:ascii="Arial" w:hAnsi="Arial" w:cs="Arial"/>
          <w:sz w:val="22"/>
          <w:szCs w:val="22"/>
        </w:rPr>
        <w:t xml:space="preserve"> za iz</w:t>
      </w:r>
      <w:r>
        <w:rPr>
          <w:rFonts w:ascii="Arial" w:hAnsi="Arial" w:cs="Arial"/>
          <w:sz w:val="22"/>
          <w:szCs w:val="22"/>
        </w:rPr>
        <w:t>gradnj</w:t>
      </w:r>
      <w:r w:rsidR="007D644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OŠ </w:t>
      </w:r>
      <w:proofErr w:type="spellStart"/>
      <w:r>
        <w:rPr>
          <w:rFonts w:ascii="Arial" w:hAnsi="Arial" w:cs="Arial"/>
          <w:sz w:val="22"/>
          <w:szCs w:val="22"/>
        </w:rPr>
        <w:t>Montovjerna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bookmarkEnd w:id="2"/>
    <w:p w:rsidR="006948C9" w:rsidRDefault="00D82ABF" w:rsidP="00D82A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Odlukom Gradskog vijeća i usvajanjem Izmjena i dopuna </w:t>
      </w:r>
      <w:r w:rsidR="007D644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roračuna investicija u Infrastrukturu </w:t>
      </w:r>
      <w:proofErr w:type="spellStart"/>
      <w:r>
        <w:rPr>
          <w:rFonts w:ascii="Arial" w:hAnsi="Arial" w:cs="Arial"/>
          <w:sz w:val="22"/>
          <w:szCs w:val="22"/>
        </w:rPr>
        <w:t>Solitudo</w:t>
      </w:r>
      <w:proofErr w:type="spellEnd"/>
      <w:r>
        <w:rPr>
          <w:rFonts w:ascii="Arial" w:hAnsi="Arial" w:cs="Arial"/>
          <w:sz w:val="22"/>
          <w:szCs w:val="22"/>
        </w:rPr>
        <w:t xml:space="preserve"> se odgađa</w:t>
      </w:r>
      <w:r w:rsidR="007D64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iznos zaduživanja planiran za taj projekt raspoređuje na dvije investicije koje sukladno provedenoj javnoj nabavi iziskuju povećana ulaganja i to za most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 Franjo Tuđman- </w:t>
      </w:r>
      <w:proofErr w:type="spellStart"/>
      <w:r w:rsidR="007D644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sojnik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B1B3D">
        <w:rPr>
          <w:rFonts w:ascii="Arial" w:hAnsi="Arial" w:cs="Arial"/>
          <w:sz w:val="22"/>
          <w:szCs w:val="22"/>
        </w:rPr>
        <w:t>(</w:t>
      </w:r>
      <w:r w:rsidR="00505DE5">
        <w:rPr>
          <w:rFonts w:ascii="Arial" w:hAnsi="Arial" w:cs="Arial"/>
          <w:sz w:val="22"/>
          <w:szCs w:val="22"/>
        </w:rPr>
        <w:t xml:space="preserve">ukupno </w:t>
      </w:r>
      <w:r w:rsidR="005B1B3D">
        <w:rPr>
          <w:rFonts w:ascii="Arial" w:hAnsi="Arial" w:cs="Arial"/>
          <w:sz w:val="22"/>
          <w:szCs w:val="22"/>
        </w:rPr>
        <w:t>33.000.000 kn)</w:t>
      </w:r>
      <w:r w:rsidR="00505D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kao i gradnju OŠ </w:t>
      </w:r>
      <w:proofErr w:type="spellStart"/>
      <w:r>
        <w:rPr>
          <w:rFonts w:ascii="Arial" w:hAnsi="Arial" w:cs="Arial"/>
          <w:sz w:val="22"/>
          <w:szCs w:val="22"/>
        </w:rPr>
        <w:t>Montovjerna</w:t>
      </w:r>
      <w:proofErr w:type="spellEnd"/>
      <w:r w:rsidR="005B1B3D">
        <w:rPr>
          <w:rFonts w:ascii="Arial" w:hAnsi="Arial" w:cs="Arial"/>
          <w:sz w:val="22"/>
          <w:szCs w:val="22"/>
        </w:rPr>
        <w:t xml:space="preserve"> (</w:t>
      </w:r>
      <w:r w:rsidR="00505DE5">
        <w:rPr>
          <w:rFonts w:ascii="Arial" w:hAnsi="Arial" w:cs="Arial"/>
          <w:sz w:val="22"/>
          <w:szCs w:val="22"/>
        </w:rPr>
        <w:t xml:space="preserve">ukupno </w:t>
      </w:r>
      <w:r w:rsidR="005B1B3D">
        <w:rPr>
          <w:rFonts w:ascii="Arial" w:hAnsi="Arial" w:cs="Arial"/>
          <w:sz w:val="22"/>
          <w:szCs w:val="22"/>
        </w:rPr>
        <w:t>70.000.000 kn)</w:t>
      </w:r>
      <w:r>
        <w:rPr>
          <w:rFonts w:ascii="Arial" w:hAnsi="Arial" w:cs="Arial"/>
          <w:sz w:val="22"/>
          <w:szCs w:val="22"/>
        </w:rPr>
        <w:t>.</w:t>
      </w:r>
      <w:r w:rsidR="006948C9">
        <w:rPr>
          <w:rFonts w:ascii="Arial" w:hAnsi="Arial" w:cs="Arial"/>
          <w:sz w:val="22"/>
          <w:szCs w:val="22"/>
        </w:rPr>
        <w:t xml:space="preserve"> Također se prvotno planirani iznos za investiciju izgradnje vrtića </w:t>
      </w:r>
      <w:proofErr w:type="spellStart"/>
      <w:r w:rsidR="006948C9">
        <w:rPr>
          <w:rFonts w:ascii="Arial" w:hAnsi="Arial" w:cs="Arial"/>
          <w:sz w:val="22"/>
          <w:szCs w:val="22"/>
        </w:rPr>
        <w:t>Palčica</w:t>
      </w:r>
      <w:proofErr w:type="spellEnd"/>
      <w:r w:rsidR="006948C9">
        <w:rPr>
          <w:rFonts w:ascii="Arial" w:hAnsi="Arial" w:cs="Arial"/>
          <w:sz w:val="22"/>
          <w:szCs w:val="22"/>
        </w:rPr>
        <w:t xml:space="preserve"> iz kreditnih sredstava umanjuje na 8</w:t>
      </w:r>
      <w:r w:rsidR="0078764E">
        <w:rPr>
          <w:rFonts w:ascii="Arial" w:hAnsi="Arial" w:cs="Arial"/>
          <w:sz w:val="22"/>
          <w:szCs w:val="22"/>
        </w:rPr>
        <w:t>.</w:t>
      </w:r>
      <w:r w:rsidR="006948C9">
        <w:rPr>
          <w:rFonts w:ascii="Arial" w:hAnsi="Arial" w:cs="Arial"/>
          <w:sz w:val="22"/>
          <w:szCs w:val="22"/>
        </w:rPr>
        <w:t>000</w:t>
      </w:r>
      <w:r w:rsidR="0078764E">
        <w:rPr>
          <w:rFonts w:ascii="Arial" w:hAnsi="Arial" w:cs="Arial"/>
          <w:sz w:val="22"/>
          <w:szCs w:val="22"/>
        </w:rPr>
        <w:t>.</w:t>
      </w:r>
      <w:r w:rsidR="006948C9">
        <w:rPr>
          <w:rFonts w:ascii="Arial" w:hAnsi="Arial" w:cs="Arial"/>
          <w:sz w:val="22"/>
          <w:szCs w:val="22"/>
        </w:rPr>
        <w:t>000 kn te se iznos umanjenja (1</w:t>
      </w:r>
      <w:r w:rsidR="0078764E">
        <w:rPr>
          <w:rFonts w:ascii="Arial" w:hAnsi="Arial" w:cs="Arial"/>
          <w:sz w:val="22"/>
          <w:szCs w:val="22"/>
        </w:rPr>
        <w:t>.</w:t>
      </w:r>
      <w:r w:rsidR="006948C9">
        <w:rPr>
          <w:rFonts w:ascii="Arial" w:hAnsi="Arial" w:cs="Arial"/>
          <w:sz w:val="22"/>
          <w:szCs w:val="22"/>
        </w:rPr>
        <w:t>000.000 kn)</w:t>
      </w:r>
      <w:r w:rsidR="0078764E">
        <w:rPr>
          <w:rFonts w:ascii="Arial" w:hAnsi="Arial" w:cs="Arial"/>
          <w:sz w:val="22"/>
          <w:szCs w:val="22"/>
        </w:rPr>
        <w:t xml:space="preserve"> također</w:t>
      </w:r>
      <w:r w:rsidR="006948C9">
        <w:rPr>
          <w:rFonts w:ascii="Arial" w:hAnsi="Arial" w:cs="Arial"/>
          <w:sz w:val="22"/>
          <w:szCs w:val="22"/>
        </w:rPr>
        <w:t xml:space="preserve"> preraspodjeljuje</w:t>
      </w:r>
      <w:r w:rsidR="0078764E">
        <w:rPr>
          <w:rFonts w:ascii="Arial" w:hAnsi="Arial" w:cs="Arial"/>
          <w:sz w:val="22"/>
          <w:szCs w:val="22"/>
        </w:rPr>
        <w:t xml:space="preserve"> na </w:t>
      </w:r>
      <w:r w:rsidR="00505DE5">
        <w:rPr>
          <w:rFonts w:ascii="Arial" w:hAnsi="Arial" w:cs="Arial"/>
          <w:sz w:val="22"/>
          <w:szCs w:val="22"/>
        </w:rPr>
        <w:t>navedene projekte</w:t>
      </w:r>
      <w:r w:rsidR="0078764E">
        <w:rPr>
          <w:rFonts w:ascii="Arial" w:hAnsi="Arial" w:cs="Arial"/>
          <w:sz w:val="22"/>
          <w:szCs w:val="22"/>
        </w:rPr>
        <w:t>.</w:t>
      </w:r>
    </w:p>
    <w:p w:rsidR="00D82ABF" w:rsidRDefault="008C6FA5" w:rsidP="00D82A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Iznosi</w:t>
      </w:r>
      <w:r w:rsidR="0078764E">
        <w:rPr>
          <w:rFonts w:ascii="Arial" w:hAnsi="Arial" w:cs="Arial"/>
          <w:sz w:val="22"/>
          <w:szCs w:val="22"/>
        </w:rPr>
        <w:t xml:space="preserve"> po kreditu</w:t>
      </w:r>
      <w:r>
        <w:rPr>
          <w:rFonts w:ascii="Arial" w:hAnsi="Arial" w:cs="Arial"/>
          <w:sz w:val="22"/>
          <w:szCs w:val="22"/>
        </w:rPr>
        <w:t xml:space="preserve"> za ostale investicije po prvotnoj odluci o zaduživanju ostaju nepromijenjeni</w:t>
      </w:r>
      <w:r w:rsidR="007678D5">
        <w:rPr>
          <w:rFonts w:ascii="Arial" w:hAnsi="Arial" w:cs="Arial"/>
          <w:sz w:val="22"/>
          <w:szCs w:val="22"/>
        </w:rPr>
        <w:t>.</w:t>
      </w:r>
      <w:r w:rsidR="0078764E">
        <w:rPr>
          <w:rFonts w:ascii="Arial" w:hAnsi="Arial" w:cs="Arial"/>
          <w:sz w:val="22"/>
          <w:szCs w:val="22"/>
        </w:rPr>
        <w:t xml:space="preserve"> </w:t>
      </w:r>
      <w:r w:rsidR="00210D86">
        <w:rPr>
          <w:rFonts w:ascii="Arial" w:hAnsi="Arial" w:cs="Arial"/>
          <w:sz w:val="22"/>
          <w:szCs w:val="22"/>
        </w:rPr>
        <w:t xml:space="preserve">(Vukovarska ulica faza II 4.000.000 kn i Vila </w:t>
      </w:r>
      <w:proofErr w:type="spellStart"/>
      <w:r w:rsidR="00210D86">
        <w:rPr>
          <w:rFonts w:ascii="Arial" w:hAnsi="Arial" w:cs="Arial"/>
          <w:sz w:val="22"/>
          <w:szCs w:val="22"/>
        </w:rPr>
        <w:t>Čingrija</w:t>
      </w:r>
      <w:proofErr w:type="spellEnd"/>
      <w:r w:rsidR="00210D86">
        <w:rPr>
          <w:rFonts w:ascii="Arial" w:hAnsi="Arial" w:cs="Arial"/>
          <w:sz w:val="22"/>
          <w:szCs w:val="22"/>
        </w:rPr>
        <w:t xml:space="preserve"> 17.510.000 kn).</w:t>
      </w:r>
    </w:p>
    <w:p w:rsidR="007678D5" w:rsidRDefault="007678D5" w:rsidP="00D82ABF">
      <w:pPr>
        <w:jc w:val="both"/>
        <w:rPr>
          <w:rFonts w:ascii="Arial" w:hAnsi="Arial" w:cs="Arial"/>
          <w:sz w:val="22"/>
          <w:szCs w:val="22"/>
        </w:rPr>
      </w:pPr>
    </w:p>
    <w:p w:rsidR="007D6445" w:rsidRDefault="007D6445" w:rsidP="00D82A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sa usvojenim Proračunom Grada Dubrovnika stoga se predlaže izmjena Odluke o zaduživanju kojom se</w:t>
      </w:r>
      <w:r w:rsidR="005B1B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usklađuju projekti</w:t>
      </w:r>
      <w:r w:rsidR="00220A04">
        <w:rPr>
          <w:rFonts w:ascii="Arial" w:hAnsi="Arial" w:cs="Arial"/>
          <w:sz w:val="22"/>
          <w:szCs w:val="22"/>
        </w:rPr>
        <w:t xml:space="preserve"> nabrojeni u članku 1.</w:t>
      </w:r>
      <w:r>
        <w:rPr>
          <w:rFonts w:ascii="Arial" w:hAnsi="Arial" w:cs="Arial"/>
          <w:sz w:val="22"/>
          <w:szCs w:val="22"/>
        </w:rPr>
        <w:t xml:space="preserve"> sa uku</w:t>
      </w:r>
      <w:r w:rsidR="008C6FA5">
        <w:rPr>
          <w:rFonts w:ascii="Arial" w:hAnsi="Arial" w:cs="Arial"/>
          <w:sz w:val="22"/>
          <w:szCs w:val="22"/>
        </w:rPr>
        <w:t>pno odobrenim</w:t>
      </w:r>
      <w:r>
        <w:rPr>
          <w:rFonts w:ascii="Arial" w:hAnsi="Arial" w:cs="Arial"/>
          <w:sz w:val="22"/>
          <w:szCs w:val="22"/>
        </w:rPr>
        <w:t xml:space="preserve"> iznosom kreditnog zaduživanja</w:t>
      </w:r>
      <w:r w:rsidR="007678D5">
        <w:rPr>
          <w:rFonts w:ascii="Arial" w:hAnsi="Arial" w:cs="Arial"/>
          <w:sz w:val="22"/>
          <w:szCs w:val="22"/>
        </w:rPr>
        <w:t>,</w:t>
      </w:r>
      <w:r w:rsidR="008C6FA5">
        <w:rPr>
          <w:rFonts w:ascii="Arial" w:hAnsi="Arial" w:cs="Arial"/>
          <w:sz w:val="22"/>
          <w:szCs w:val="22"/>
        </w:rPr>
        <w:t xml:space="preserve"> t</w:t>
      </w:r>
      <w:r w:rsidR="005B1B3D">
        <w:rPr>
          <w:rFonts w:ascii="Arial" w:hAnsi="Arial" w:cs="Arial"/>
          <w:sz w:val="22"/>
          <w:szCs w:val="22"/>
        </w:rPr>
        <w:t>j.</w:t>
      </w:r>
      <w:r w:rsidR="008C6FA5">
        <w:rPr>
          <w:rFonts w:ascii="Arial" w:hAnsi="Arial" w:cs="Arial"/>
          <w:sz w:val="22"/>
          <w:szCs w:val="22"/>
        </w:rPr>
        <w:t xml:space="preserve"> briše</w:t>
      </w:r>
      <w:r w:rsidR="005B1B3D">
        <w:rPr>
          <w:rFonts w:ascii="Arial" w:hAnsi="Arial" w:cs="Arial"/>
          <w:sz w:val="22"/>
          <w:szCs w:val="22"/>
        </w:rPr>
        <w:t xml:space="preserve"> se</w:t>
      </w:r>
      <w:r w:rsidR="008C6FA5">
        <w:rPr>
          <w:rFonts w:ascii="Arial" w:hAnsi="Arial" w:cs="Arial"/>
          <w:sz w:val="22"/>
          <w:szCs w:val="22"/>
        </w:rPr>
        <w:t xml:space="preserve"> projekt 132003 infrastruktura </w:t>
      </w:r>
      <w:proofErr w:type="spellStart"/>
      <w:r w:rsidR="008C6FA5">
        <w:rPr>
          <w:rFonts w:ascii="Arial" w:hAnsi="Arial" w:cs="Arial"/>
          <w:sz w:val="22"/>
          <w:szCs w:val="22"/>
        </w:rPr>
        <w:t>Solitudo</w:t>
      </w:r>
      <w:proofErr w:type="spellEnd"/>
      <w:r w:rsidR="008C6FA5">
        <w:rPr>
          <w:rFonts w:ascii="Arial" w:hAnsi="Arial" w:cs="Arial"/>
          <w:sz w:val="22"/>
          <w:szCs w:val="22"/>
        </w:rPr>
        <w:t>.</w:t>
      </w:r>
    </w:p>
    <w:p w:rsidR="00F776C9" w:rsidRDefault="007D6445" w:rsidP="00D82A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izmjena odluke o zaduživanju</w:t>
      </w:r>
      <w:r w:rsidR="00220A04">
        <w:rPr>
          <w:rFonts w:ascii="Arial" w:hAnsi="Arial" w:cs="Arial"/>
          <w:sz w:val="22"/>
          <w:szCs w:val="22"/>
        </w:rPr>
        <w:t xml:space="preserve"> dakle </w:t>
      </w:r>
      <w:r>
        <w:rPr>
          <w:rFonts w:ascii="Arial" w:hAnsi="Arial" w:cs="Arial"/>
          <w:sz w:val="22"/>
          <w:szCs w:val="22"/>
        </w:rPr>
        <w:t xml:space="preserve">ne povećava ukupan </w:t>
      </w:r>
      <w:r w:rsidR="005B1B3D">
        <w:rPr>
          <w:rFonts w:ascii="Arial" w:hAnsi="Arial" w:cs="Arial"/>
          <w:sz w:val="22"/>
          <w:szCs w:val="22"/>
        </w:rPr>
        <w:t xml:space="preserve">iznos kreditnog zaduženja </w:t>
      </w:r>
      <w:r>
        <w:rPr>
          <w:rFonts w:ascii="Arial" w:hAnsi="Arial" w:cs="Arial"/>
          <w:sz w:val="22"/>
          <w:szCs w:val="22"/>
        </w:rPr>
        <w:t xml:space="preserve"> Grada Dubrovnika (132</w:t>
      </w:r>
      <w:r w:rsidR="005B1B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510</w:t>
      </w:r>
      <w:r w:rsidR="005B1B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kuna)</w:t>
      </w:r>
      <w:r w:rsidR="005B1B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B1B3D">
        <w:rPr>
          <w:rFonts w:ascii="Arial" w:hAnsi="Arial" w:cs="Arial"/>
          <w:sz w:val="22"/>
          <w:szCs w:val="22"/>
        </w:rPr>
        <w:t xml:space="preserve"> već</w:t>
      </w:r>
      <w:r w:rsidR="00F776C9">
        <w:rPr>
          <w:rFonts w:ascii="Arial" w:hAnsi="Arial" w:cs="Arial"/>
          <w:sz w:val="22"/>
          <w:szCs w:val="22"/>
        </w:rPr>
        <w:t xml:space="preserve"> se</w:t>
      </w:r>
      <w:r w:rsidR="005B1B3D">
        <w:rPr>
          <w:rFonts w:ascii="Arial" w:hAnsi="Arial" w:cs="Arial"/>
          <w:sz w:val="22"/>
          <w:szCs w:val="22"/>
        </w:rPr>
        <w:t xml:space="preserve"> preraspodj</w:t>
      </w:r>
      <w:r w:rsidR="00F776C9">
        <w:rPr>
          <w:rFonts w:ascii="Arial" w:hAnsi="Arial" w:cs="Arial"/>
          <w:sz w:val="22"/>
          <w:szCs w:val="22"/>
        </w:rPr>
        <w:t>eljuju</w:t>
      </w:r>
      <w:r w:rsidR="005B1B3D">
        <w:rPr>
          <w:rFonts w:ascii="Arial" w:hAnsi="Arial" w:cs="Arial"/>
          <w:sz w:val="22"/>
          <w:szCs w:val="22"/>
        </w:rPr>
        <w:t xml:space="preserve"> iznos</w:t>
      </w:r>
      <w:r w:rsidR="00F776C9">
        <w:rPr>
          <w:rFonts w:ascii="Arial" w:hAnsi="Arial" w:cs="Arial"/>
          <w:sz w:val="22"/>
          <w:szCs w:val="22"/>
        </w:rPr>
        <w:t>i</w:t>
      </w:r>
      <w:r w:rsidR="005B1B3D">
        <w:rPr>
          <w:rFonts w:ascii="Arial" w:hAnsi="Arial" w:cs="Arial"/>
          <w:sz w:val="22"/>
          <w:szCs w:val="22"/>
        </w:rPr>
        <w:t xml:space="preserve"> između već odobrenih projekata za financiranje kreditom</w:t>
      </w:r>
      <w:r w:rsidR="00F776C9">
        <w:rPr>
          <w:rFonts w:ascii="Arial" w:hAnsi="Arial" w:cs="Arial"/>
          <w:sz w:val="22"/>
          <w:szCs w:val="22"/>
        </w:rPr>
        <w:t>.</w:t>
      </w:r>
    </w:p>
    <w:p w:rsidR="007D6445" w:rsidRDefault="00F776C9" w:rsidP="00D82A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D6445">
        <w:rPr>
          <w:rFonts w:ascii="Arial" w:hAnsi="Arial" w:cs="Arial"/>
          <w:sz w:val="22"/>
          <w:szCs w:val="22"/>
        </w:rPr>
        <w:t xml:space="preserve">o usvajanju </w:t>
      </w:r>
      <w:r>
        <w:rPr>
          <w:rFonts w:ascii="Arial" w:hAnsi="Arial" w:cs="Arial"/>
          <w:sz w:val="22"/>
          <w:szCs w:val="22"/>
        </w:rPr>
        <w:t>izmjene odluke o zaduživanju</w:t>
      </w:r>
      <w:r w:rsidR="007D6445">
        <w:rPr>
          <w:rFonts w:ascii="Arial" w:hAnsi="Arial" w:cs="Arial"/>
          <w:sz w:val="22"/>
          <w:szCs w:val="22"/>
        </w:rPr>
        <w:t xml:space="preserve"> izvijestiti </w:t>
      </w:r>
      <w:r>
        <w:rPr>
          <w:rFonts w:ascii="Arial" w:hAnsi="Arial" w:cs="Arial"/>
          <w:sz w:val="22"/>
          <w:szCs w:val="22"/>
        </w:rPr>
        <w:t xml:space="preserve"> će se </w:t>
      </w:r>
      <w:r w:rsidR="007D6445">
        <w:rPr>
          <w:rFonts w:ascii="Arial" w:hAnsi="Arial" w:cs="Arial"/>
          <w:sz w:val="22"/>
          <w:szCs w:val="22"/>
        </w:rPr>
        <w:t xml:space="preserve">i Vlada RH </w:t>
      </w:r>
      <w:r w:rsidR="007678D5">
        <w:rPr>
          <w:rFonts w:ascii="Arial" w:hAnsi="Arial" w:cs="Arial"/>
          <w:sz w:val="22"/>
          <w:szCs w:val="22"/>
        </w:rPr>
        <w:t xml:space="preserve"> (p</w:t>
      </w:r>
      <w:r w:rsidR="00220A04">
        <w:rPr>
          <w:rFonts w:ascii="Arial" w:hAnsi="Arial" w:cs="Arial"/>
          <w:sz w:val="22"/>
          <w:szCs w:val="22"/>
        </w:rPr>
        <w:t>osredstvom</w:t>
      </w:r>
      <w:r w:rsidR="007678D5">
        <w:rPr>
          <w:rFonts w:ascii="Arial" w:hAnsi="Arial" w:cs="Arial"/>
          <w:sz w:val="22"/>
          <w:szCs w:val="22"/>
        </w:rPr>
        <w:t xml:space="preserve"> Ministarstva financija) </w:t>
      </w:r>
      <w:r w:rsidR="007D6445">
        <w:rPr>
          <w:rFonts w:ascii="Arial" w:hAnsi="Arial" w:cs="Arial"/>
          <w:sz w:val="22"/>
          <w:szCs w:val="22"/>
        </w:rPr>
        <w:t>koja je dala suglasnost za</w:t>
      </w:r>
      <w:r w:rsidR="00220A04">
        <w:rPr>
          <w:rFonts w:ascii="Arial" w:hAnsi="Arial" w:cs="Arial"/>
          <w:sz w:val="22"/>
          <w:szCs w:val="22"/>
        </w:rPr>
        <w:t xml:space="preserve"> predmetno</w:t>
      </w:r>
      <w:r w:rsidR="007D6445">
        <w:rPr>
          <w:rFonts w:ascii="Arial" w:hAnsi="Arial" w:cs="Arial"/>
          <w:sz w:val="22"/>
          <w:szCs w:val="22"/>
        </w:rPr>
        <w:t xml:space="preserve"> zaduživanj</w:t>
      </w:r>
      <w:r w:rsidR="008C6FA5">
        <w:rPr>
          <w:rFonts w:ascii="Arial" w:hAnsi="Arial" w:cs="Arial"/>
          <w:sz w:val="22"/>
          <w:szCs w:val="22"/>
        </w:rPr>
        <w:t>e</w:t>
      </w:r>
      <w:r w:rsidR="007D6445">
        <w:rPr>
          <w:rFonts w:ascii="Arial" w:hAnsi="Arial" w:cs="Arial"/>
          <w:sz w:val="22"/>
          <w:szCs w:val="22"/>
        </w:rPr>
        <w:t xml:space="preserve"> Gradu Dubrovniku.</w:t>
      </w:r>
    </w:p>
    <w:p w:rsidR="00210D86" w:rsidRDefault="00210D86" w:rsidP="00D82A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Nakon donošenja Odluke o izmjeni odluke o zaduživanju Grada Dubrovnika </w:t>
      </w:r>
      <w:r w:rsidR="00B114E3">
        <w:rPr>
          <w:rFonts w:ascii="Arial" w:hAnsi="Arial" w:cs="Arial"/>
          <w:sz w:val="22"/>
          <w:szCs w:val="22"/>
        </w:rPr>
        <w:t xml:space="preserve">uslijedit će potpis Aneksa ugovora o krediti sa HBOR-om </w:t>
      </w:r>
      <w:r w:rsidR="00F776C9">
        <w:rPr>
          <w:rFonts w:ascii="Arial" w:hAnsi="Arial" w:cs="Arial"/>
          <w:sz w:val="22"/>
          <w:szCs w:val="22"/>
        </w:rPr>
        <w:t xml:space="preserve"> (nakon ponovne suglasnosti Vlade RH), </w:t>
      </w:r>
      <w:r w:rsidR="00B114E3">
        <w:rPr>
          <w:rFonts w:ascii="Arial" w:hAnsi="Arial" w:cs="Arial"/>
          <w:sz w:val="22"/>
          <w:szCs w:val="22"/>
        </w:rPr>
        <w:t xml:space="preserve">stoga se u izmjeni odluke dodaje stavak </w:t>
      </w:r>
      <w:r w:rsidR="00196BDF">
        <w:rPr>
          <w:rFonts w:ascii="Arial" w:hAnsi="Arial" w:cs="Arial"/>
          <w:sz w:val="22"/>
          <w:szCs w:val="22"/>
        </w:rPr>
        <w:t xml:space="preserve">članku 4. </w:t>
      </w:r>
      <w:r w:rsidR="00B114E3">
        <w:rPr>
          <w:rFonts w:ascii="Arial" w:hAnsi="Arial" w:cs="Arial"/>
          <w:sz w:val="22"/>
          <w:szCs w:val="22"/>
        </w:rPr>
        <w:t>kojim se ovlašćuje Gradonačelnik za potpis istog.</w:t>
      </w:r>
    </w:p>
    <w:p w:rsidR="00D82ABF" w:rsidRDefault="00D82ABF" w:rsidP="00C44454">
      <w:pPr>
        <w:jc w:val="both"/>
        <w:rPr>
          <w:rFonts w:ascii="Arial" w:hAnsi="Arial" w:cs="Arial"/>
          <w:sz w:val="22"/>
          <w:szCs w:val="22"/>
        </w:rPr>
      </w:pPr>
    </w:p>
    <w:p w:rsidR="00A2188F" w:rsidRDefault="00A2188F" w:rsidP="00C444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Svi ostali </w:t>
      </w:r>
      <w:r w:rsidR="007678D5">
        <w:rPr>
          <w:rFonts w:ascii="Arial" w:hAnsi="Arial" w:cs="Arial"/>
          <w:sz w:val="22"/>
          <w:szCs w:val="22"/>
        </w:rPr>
        <w:t>parametri u Odluci</w:t>
      </w:r>
      <w:r>
        <w:rPr>
          <w:rFonts w:ascii="Arial" w:hAnsi="Arial" w:cs="Arial"/>
          <w:sz w:val="22"/>
          <w:szCs w:val="22"/>
        </w:rPr>
        <w:t xml:space="preserve"> </w:t>
      </w:r>
      <w:r w:rsidR="003E5C91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zaduženj</w:t>
      </w:r>
      <w:r w:rsidR="003E5C9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ostaju nepromijenjeni</w:t>
      </w:r>
      <w:r w:rsidR="007678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</w:t>
      </w:r>
      <w:r w:rsidR="005766BB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sukladno</w:t>
      </w:r>
      <w:r w:rsidR="00576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tome predlaže izmjena </w:t>
      </w:r>
      <w:r w:rsidR="000149A3">
        <w:rPr>
          <w:rFonts w:ascii="Arial" w:hAnsi="Arial" w:cs="Arial"/>
          <w:sz w:val="22"/>
          <w:szCs w:val="22"/>
        </w:rPr>
        <w:t xml:space="preserve">predmetne </w:t>
      </w:r>
      <w:r>
        <w:rPr>
          <w:rFonts w:ascii="Arial" w:hAnsi="Arial" w:cs="Arial"/>
          <w:sz w:val="22"/>
          <w:szCs w:val="22"/>
        </w:rPr>
        <w:t>odluke  u članku 1.</w:t>
      </w:r>
      <w:r w:rsidR="00B114E3">
        <w:rPr>
          <w:rFonts w:ascii="Arial" w:hAnsi="Arial" w:cs="Arial"/>
          <w:sz w:val="22"/>
          <w:szCs w:val="22"/>
        </w:rPr>
        <w:t xml:space="preserve"> i dodatak članku 4.</w:t>
      </w: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  <w:bookmarkStart w:id="3" w:name="_GoBack"/>
      <w:bookmarkEnd w:id="3"/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</w:p>
    <w:p w:rsidR="00F55E35" w:rsidRDefault="00F55E35" w:rsidP="00F55E35">
      <w:pPr>
        <w:ind w:left="-227"/>
        <w:jc w:val="both"/>
        <w:outlineLvl w:val="0"/>
        <w:rPr>
          <w:rFonts w:ascii="Arial" w:hAnsi="Arial" w:cs="Arial"/>
          <w:b/>
          <w:sz w:val="22"/>
          <w:szCs w:val="22"/>
          <w:lang w:eastAsia="hr-HR"/>
        </w:rPr>
      </w:pPr>
      <w:r>
        <w:rPr>
          <w:rFonts w:ascii="Arial" w:hAnsi="Arial" w:cs="Arial"/>
          <w:b/>
          <w:sz w:val="22"/>
          <w:szCs w:val="22"/>
          <w:lang w:eastAsia="hr-HR"/>
        </w:rPr>
        <w:t>Upravni odjel za izgradnju i upravljanje projektima</w:t>
      </w:r>
    </w:p>
    <w:p w:rsidR="00F55E35" w:rsidRDefault="00F55E35" w:rsidP="00F55E35">
      <w:pPr>
        <w:ind w:left="-227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</w:rPr>
        <w:t>KLASA: 400-01/18-01/02</w:t>
      </w:r>
    </w:p>
    <w:p w:rsidR="00F55E35" w:rsidRDefault="00F55E35" w:rsidP="00F55E35">
      <w:pPr>
        <w:ind w:left="-227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URBROJ: 2117/01-24/3-18-27</w:t>
      </w:r>
    </w:p>
    <w:p w:rsidR="00F55E35" w:rsidRDefault="00F55E35" w:rsidP="00F55E35">
      <w:pPr>
        <w:ind w:left="-22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Dubrovnik, 26. listopada 2018.g.</w:t>
      </w:r>
    </w:p>
    <w:p w:rsidR="00F55E35" w:rsidRDefault="00F55E35" w:rsidP="00F55E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F55E35" w:rsidRDefault="00F55E35" w:rsidP="00F55E35">
      <w:pPr>
        <w:pStyle w:val="NoSpacing"/>
        <w:ind w:left="424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>GRADONAČELNIK</w:t>
      </w:r>
    </w:p>
    <w:p w:rsidR="00F55E35" w:rsidRDefault="00F55E35" w:rsidP="00F55E3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-ovdje -</w:t>
      </w:r>
    </w:p>
    <w:p w:rsidR="00F55E35" w:rsidRDefault="00F55E35" w:rsidP="00F55E35">
      <w:pPr>
        <w:pStyle w:val="NoSpacing"/>
        <w:ind w:left="6372" w:firstLine="708"/>
        <w:rPr>
          <w:rFonts w:ascii="Arial" w:hAnsi="Arial" w:cs="Arial"/>
        </w:rPr>
      </w:pPr>
    </w:p>
    <w:p w:rsidR="00F55E35" w:rsidRDefault="00F55E35" w:rsidP="00F55E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5E35" w:rsidRDefault="00F55E35" w:rsidP="00F55E35">
      <w:pPr>
        <w:pStyle w:val="NoSpacing"/>
        <w:ind w:left="1247" w:hanging="12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 Prijedlog Zaključka o prihvaćanju Izmjene Odluke o zaduživanju Grada Dubrovnika</w:t>
      </w: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-dostavlja se </w:t>
      </w: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pStyle w:val="BodyTex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odredbe članka 86. Zakona o proračunu ("Narodne novine" br.87/08, 136/12. i 15/15.), članka 10. Pravilnika o postupku zaduživanja te davanja jamstava i suglasnosti jedinica lokalne i područne (regionalne) samouprave ("Narodne novine" br.55/09, 139/10), pripremljena je dokumentacija koja se dostavlja i predlaže se Gradonačelniku, po izvršenom uvidu u predmetni akt sa obrazloženjem, donijeti  slijedeći</w:t>
      </w:r>
    </w:p>
    <w:p w:rsidR="00F55E35" w:rsidRDefault="00F55E35" w:rsidP="00F55E35">
      <w:pPr>
        <w:pStyle w:val="BodyText0"/>
        <w:rPr>
          <w:rFonts w:ascii="Arial" w:hAnsi="Arial" w:cs="Arial"/>
          <w:sz w:val="22"/>
          <w:szCs w:val="22"/>
        </w:rPr>
      </w:pP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pStyle w:val="NoSpacing"/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</w:t>
      </w:r>
    </w:p>
    <w:p w:rsidR="00F55E35" w:rsidRDefault="00F55E35" w:rsidP="00F55E35">
      <w:pPr>
        <w:pStyle w:val="NoSpacing"/>
        <w:ind w:left="2832" w:firstLine="708"/>
        <w:jc w:val="both"/>
        <w:rPr>
          <w:rFonts w:ascii="Arial" w:hAnsi="Arial" w:cs="Arial"/>
          <w:b/>
        </w:rPr>
      </w:pPr>
    </w:p>
    <w:p w:rsidR="00F55E35" w:rsidRDefault="00F55E35" w:rsidP="00F55E35">
      <w:pPr>
        <w:pStyle w:val="NoSpacing"/>
        <w:ind w:left="2832" w:firstLine="708"/>
        <w:jc w:val="both"/>
        <w:rPr>
          <w:rFonts w:ascii="Arial" w:hAnsi="Arial" w:cs="Arial"/>
          <w:b/>
        </w:rPr>
      </w:pPr>
    </w:p>
    <w:p w:rsidR="00F55E35" w:rsidRDefault="00F55E35" w:rsidP="00F55E35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Utvrđuje se prijedlog Odluke o izmjeni Odluke o zaduživanju Grada Dubrovnika i upućuje se Gradskom vijeću Grada Dubrovnika na raspravu i donošenje.</w:t>
      </w:r>
    </w:p>
    <w:p w:rsidR="00F55E35" w:rsidRDefault="00F55E35" w:rsidP="00F55E35">
      <w:pPr>
        <w:pStyle w:val="NoSpacing"/>
        <w:ind w:left="360"/>
        <w:jc w:val="both"/>
        <w:rPr>
          <w:rFonts w:ascii="Arial" w:hAnsi="Arial" w:cs="Arial"/>
        </w:rPr>
      </w:pPr>
    </w:p>
    <w:p w:rsidR="00F55E35" w:rsidRDefault="00F55E35" w:rsidP="00F55E35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Sastavni dio zaključka jest i Odluka o izmjeni Odluke iz toč.1 ovog Zaključka.</w:t>
      </w: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o ovoj točki biti  će gradonačelnik Grada Dubrovnika gosp. Mato </w:t>
      </w:r>
      <w:proofErr w:type="spellStart"/>
      <w:r>
        <w:rPr>
          <w:rFonts w:ascii="Arial" w:hAnsi="Arial" w:cs="Arial"/>
        </w:rPr>
        <w:t>Franković</w:t>
      </w:r>
      <w:proofErr w:type="spellEnd"/>
      <w:r>
        <w:rPr>
          <w:rFonts w:ascii="Arial" w:hAnsi="Arial" w:cs="Arial"/>
        </w:rPr>
        <w:t>.</w:t>
      </w: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Pročelnik</w:t>
      </w:r>
    </w:p>
    <w:p w:rsidR="00F55E35" w:rsidRDefault="00F55E35" w:rsidP="00F55E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Srđan </w:t>
      </w:r>
      <w:proofErr w:type="spellStart"/>
      <w:r>
        <w:rPr>
          <w:rFonts w:ascii="Arial" w:eastAsia="Calibri" w:hAnsi="Arial" w:cs="Arial"/>
          <w:sz w:val="22"/>
          <w:szCs w:val="22"/>
        </w:rPr>
        <w:t>Todorovski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mag.ing.aedif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Odluka o izmjeni Odluke o zaduživanju Grada Dubrovnika </w:t>
      </w: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</w:p>
    <w:p w:rsidR="00F55E35" w:rsidRDefault="00F55E35" w:rsidP="00F55E3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F55E35" w:rsidRDefault="00F55E35" w:rsidP="00F55E35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Naslovu</w:t>
      </w:r>
    </w:p>
    <w:p w:rsidR="00F55E35" w:rsidRDefault="00F55E35" w:rsidP="00F55E35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Upravni odjel za proračun, financije i naplatu</w:t>
      </w:r>
    </w:p>
    <w:p w:rsidR="00F55E35" w:rsidRDefault="00F55E35" w:rsidP="00F55E35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Evidencija</w:t>
      </w:r>
    </w:p>
    <w:p w:rsidR="00F55E35" w:rsidRDefault="00F55E35" w:rsidP="00F55E35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276E2A" w:rsidRPr="00C44454" w:rsidRDefault="00276E2A" w:rsidP="00C44454">
      <w:pPr>
        <w:rPr>
          <w:rFonts w:ascii="Arial" w:hAnsi="Arial" w:cs="Arial"/>
          <w:sz w:val="22"/>
          <w:szCs w:val="22"/>
        </w:rPr>
      </w:pPr>
    </w:p>
    <w:sectPr w:rsidR="00276E2A" w:rsidRPr="00C4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9A2E1C8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000000"/>
        <w:sz w:val="19"/>
        <w:szCs w:val="19"/>
        <w:lang w:val="hr-HR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8C7227"/>
    <w:multiLevelType w:val="hybridMultilevel"/>
    <w:tmpl w:val="25F0B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1240"/>
    <w:multiLevelType w:val="hybridMultilevel"/>
    <w:tmpl w:val="3FE48050"/>
    <w:lvl w:ilvl="0" w:tplc="A5809AF6">
      <w:start w:val="2016"/>
      <w:numFmt w:val="bullet"/>
      <w:lvlText w:val="-"/>
      <w:lvlJc w:val="left"/>
      <w:pPr>
        <w:ind w:left="369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2743734D"/>
    <w:multiLevelType w:val="hybridMultilevel"/>
    <w:tmpl w:val="4628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D439F"/>
    <w:multiLevelType w:val="hybridMultilevel"/>
    <w:tmpl w:val="FF4489E6"/>
    <w:lvl w:ilvl="0" w:tplc="4BC08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A097E"/>
    <w:multiLevelType w:val="hybridMultilevel"/>
    <w:tmpl w:val="6A966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54"/>
    <w:rsid w:val="000149A3"/>
    <w:rsid w:val="00121828"/>
    <w:rsid w:val="00196BDF"/>
    <w:rsid w:val="00210D86"/>
    <w:rsid w:val="00220A04"/>
    <w:rsid w:val="00276E2A"/>
    <w:rsid w:val="003E5C91"/>
    <w:rsid w:val="00505DE5"/>
    <w:rsid w:val="005766BB"/>
    <w:rsid w:val="005B1B3D"/>
    <w:rsid w:val="0065770A"/>
    <w:rsid w:val="006948C9"/>
    <w:rsid w:val="007678D5"/>
    <w:rsid w:val="0078764E"/>
    <w:rsid w:val="007D6445"/>
    <w:rsid w:val="008423C1"/>
    <w:rsid w:val="008C6FA5"/>
    <w:rsid w:val="00A2188F"/>
    <w:rsid w:val="00B114E3"/>
    <w:rsid w:val="00B42B36"/>
    <w:rsid w:val="00C44454"/>
    <w:rsid w:val="00D82ABF"/>
    <w:rsid w:val="00F55E35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02BD"/>
  <w15:chartTrackingRefBased/>
  <w15:docId w15:val="{9E4ED9C5-D3C5-421E-80D8-ADE0324A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5E35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next w:val="Normal"/>
    <w:rsid w:val="00F55E35"/>
    <w:pPr>
      <w:widowControl w:val="0"/>
      <w:spacing w:after="60" w:line="0" w:lineRule="atLeast"/>
    </w:pPr>
    <w:rPr>
      <w:kern w:val="2"/>
      <w:sz w:val="19"/>
      <w:szCs w:val="19"/>
      <w:lang w:eastAsia="hi-IN" w:bidi="hi-IN"/>
    </w:rPr>
  </w:style>
  <w:style w:type="paragraph" w:styleId="BodyText0">
    <w:name w:val="Body Text"/>
    <w:basedOn w:val="Normal"/>
    <w:link w:val="BodyTextChar"/>
    <w:semiHidden/>
    <w:unhideWhenUsed/>
    <w:rsid w:val="00F55E35"/>
    <w:pPr>
      <w:suppressAutoHyphens w:val="0"/>
      <w:jc w:val="both"/>
    </w:pPr>
    <w:rPr>
      <w:lang w:eastAsia="hr-HR"/>
    </w:rPr>
  </w:style>
  <w:style w:type="character" w:customStyle="1" w:styleId="BodyTextChar">
    <w:name w:val="Body Text Char"/>
    <w:basedOn w:val="DefaultParagraphFont"/>
    <w:link w:val="BodyText0"/>
    <w:semiHidden/>
    <w:rsid w:val="00F55E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qFormat/>
    <w:rsid w:val="00F55E35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F55E35"/>
    <w:rPr>
      <w:rFonts w:ascii="Arial" w:eastAsia="Times New Roman" w:hAnsi="Arial" w:cs="Times New Roman"/>
      <w:b/>
      <w:i/>
      <w:sz w:val="24"/>
      <w:szCs w:val="24"/>
      <w:lang w:val="hr-HR" w:eastAsia="ar-SA"/>
    </w:rPr>
  </w:style>
  <w:style w:type="paragraph" w:styleId="ListParagraph">
    <w:name w:val="List Paragraph"/>
    <w:basedOn w:val="Normal"/>
    <w:uiPriority w:val="34"/>
    <w:qFormat/>
    <w:rsid w:val="00F55E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lhladilo</dc:creator>
  <cp:keywords/>
  <dc:description/>
  <cp:lastModifiedBy>tajnvur</cp:lastModifiedBy>
  <cp:revision>3</cp:revision>
  <cp:lastPrinted>2018-07-04T06:08:00Z</cp:lastPrinted>
  <dcterms:created xsi:type="dcterms:W3CDTF">2018-10-26T12:48:00Z</dcterms:created>
  <dcterms:modified xsi:type="dcterms:W3CDTF">2018-10-26T12:51:00Z</dcterms:modified>
</cp:coreProperties>
</file>