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GROBLJE DUBAC d.o.o.</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Vukovarska 48</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20207 Mlini</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Tel: 020/487-505, Fax: 020/487-506</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E-mail: groblje.dubac@du.t-com.hr</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MB: 2347121</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OIB: 14576905005</w:t>
      </w: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r w:rsidRPr="002C63B5">
        <w:rPr>
          <w:rFonts w:ascii="Times New Roman" w:hAnsi="Times New Roman"/>
          <w:sz w:val="26"/>
          <w:szCs w:val="26"/>
        </w:rPr>
        <w:t xml:space="preserve"> </w:t>
      </w:r>
    </w:p>
    <w:p w:rsidR="00730240" w:rsidRPr="002C63B5" w:rsidRDefault="00730240" w:rsidP="00730240">
      <w:pPr>
        <w:tabs>
          <w:tab w:val="left" w:pos="3000"/>
        </w:tabs>
        <w:jc w:val="center"/>
        <w:rPr>
          <w:rFonts w:ascii="Times New Roman" w:hAnsi="Times New Roman"/>
          <w:b/>
          <w:sz w:val="40"/>
          <w:szCs w:val="40"/>
        </w:rPr>
      </w:pPr>
      <w:r w:rsidRPr="002C63B5">
        <w:rPr>
          <w:rFonts w:ascii="Times New Roman" w:hAnsi="Times New Roman"/>
          <w:b/>
          <w:sz w:val="40"/>
          <w:szCs w:val="40"/>
        </w:rPr>
        <w:t xml:space="preserve">I Z V J E Š Ć E    O    R A D U </w:t>
      </w:r>
    </w:p>
    <w:p w:rsidR="00730240" w:rsidRPr="002C63B5" w:rsidRDefault="00730240" w:rsidP="00730240">
      <w:pPr>
        <w:tabs>
          <w:tab w:val="left" w:pos="3000"/>
        </w:tabs>
        <w:jc w:val="center"/>
        <w:rPr>
          <w:rFonts w:ascii="Times New Roman" w:hAnsi="Times New Roman"/>
          <w:b/>
          <w:sz w:val="40"/>
          <w:szCs w:val="40"/>
        </w:rPr>
      </w:pPr>
      <w:r w:rsidRPr="002C63B5">
        <w:rPr>
          <w:rFonts w:ascii="Times New Roman" w:hAnsi="Times New Roman"/>
          <w:b/>
          <w:sz w:val="40"/>
          <w:szCs w:val="40"/>
        </w:rPr>
        <w:t xml:space="preserve">  za  </w:t>
      </w:r>
      <w:r>
        <w:rPr>
          <w:rFonts w:ascii="Times New Roman" w:hAnsi="Times New Roman"/>
          <w:b/>
          <w:sz w:val="40"/>
          <w:szCs w:val="40"/>
        </w:rPr>
        <w:t>2017. godinu</w:t>
      </w: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jc w:val="center"/>
        <w:rPr>
          <w:rFonts w:ascii="Times New Roman" w:hAnsi="Times New Roman"/>
          <w:sz w:val="26"/>
          <w:szCs w:val="26"/>
        </w:rPr>
      </w:pPr>
    </w:p>
    <w:p w:rsidR="00843E59" w:rsidRDefault="00843E59" w:rsidP="00730240">
      <w:pPr>
        <w:tabs>
          <w:tab w:val="left" w:pos="1515"/>
        </w:tabs>
        <w:jc w:val="center"/>
        <w:rPr>
          <w:rFonts w:ascii="Times New Roman" w:hAnsi="Times New Roman"/>
          <w:sz w:val="26"/>
          <w:szCs w:val="26"/>
        </w:rPr>
      </w:pPr>
    </w:p>
    <w:p w:rsidR="00843E59" w:rsidRDefault="00843E59" w:rsidP="00730240">
      <w:pPr>
        <w:tabs>
          <w:tab w:val="left" w:pos="1515"/>
        </w:tabs>
        <w:jc w:val="center"/>
        <w:rPr>
          <w:rFonts w:ascii="Times New Roman" w:hAnsi="Times New Roman"/>
          <w:sz w:val="26"/>
          <w:szCs w:val="26"/>
        </w:rPr>
      </w:pPr>
    </w:p>
    <w:p w:rsidR="00730240" w:rsidRDefault="00843E59" w:rsidP="00843E59">
      <w:pPr>
        <w:tabs>
          <w:tab w:val="left" w:pos="1515"/>
        </w:tabs>
        <w:jc w:val="center"/>
        <w:rPr>
          <w:rFonts w:ascii="Times New Roman" w:hAnsi="Times New Roman"/>
          <w:b/>
          <w:i/>
          <w:sz w:val="26"/>
          <w:szCs w:val="26"/>
          <w:u w:val="single"/>
        </w:rPr>
      </w:pPr>
      <w:r>
        <w:rPr>
          <w:rFonts w:ascii="Times New Roman" w:hAnsi="Times New Roman"/>
          <w:sz w:val="26"/>
          <w:szCs w:val="26"/>
        </w:rPr>
        <w:t>01</w:t>
      </w:r>
      <w:r w:rsidR="00730240">
        <w:rPr>
          <w:rFonts w:ascii="Times New Roman" w:hAnsi="Times New Roman"/>
          <w:sz w:val="26"/>
          <w:szCs w:val="26"/>
        </w:rPr>
        <w:t xml:space="preserve">. </w:t>
      </w:r>
      <w:r>
        <w:rPr>
          <w:rFonts w:ascii="Times New Roman" w:hAnsi="Times New Roman"/>
          <w:sz w:val="26"/>
          <w:szCs w:val="26"/>
        </w:rPr>
        <w:t>veljače</w:t>
      </w:r>
      <w:r w:rsidR="00730240" w:rsidRPr="002C63B5">
        <w:rPr>
          <w:rFonts w:ascii="Times New Roman" w:hAnsi="Times New Roman"/>
          <w:sz w:val="26"/>
          <w:szCs w:val="26"/>
        </w:rPr>
        <w:t xml:space="preserve"> 201</w:t>
      </w:r>
      <w:r w:rsidR="00730240">
        <w:rPr>
          <w:rFonts w:ascii="Times New Roman" w:hAnsi="Times New Roman"/>
          <w:sz w:val="26"/>
          <w:szCs w:val="26"/>
        </w:rPr>
        <w:t>8</w:t>
      </w:r>
      <w:r w:rsidR="00730240" w:rsidRPr="002C63B5">
        <w:rPr>
          <w:rFonts w:ascii="Times New Roman" w:hAnsi="Times New Roman"/>
          <w:sz w:val="26"/>
          <w:szCs w:val="26"/>
        </w:rPr>
        <w:t>. godine</w:t>
      </w:r>
      <w:bookmarkStart w:id="0" w:name="_GoBack"/>
      <w:bookmarkEnd w:id="0"/>
    </w:p>
    <w:p w:rsidR="00A74136" w:rsidRPr="00354EB0" w:rsidRDefault="00A74136" w:rsidP="00A74136">
      <w:pPr>
        <w:pStyle w:val="ListParagraph"/>
        <w:numPr>
          <w:ilvl w:val="0"/>
          <w:numId w:val="2"/>
        </w:numPr>
        <w:jc w:val="both"/>
        <w:rPr>
          <w:rFonts w:ascii="Times New Roman" w:hAnsi="Times New Roman" w:cs="Times New Roman"/>
          <w:b/>
          <w:sz w:val="24"/>
          <w:szCs w:val="24"/>
          <w:u w:val="single"/>
        </w:rPr>
      </w:pPr>
      <w:r w:rsidRPr="00354EB0">
        <w:rPr>
          <w:rFonts w:ascii="Times New Roman" w:hAnsi="Times New Roman" w:cs="Times New Roman"/>
          <w:b/>
          <w:sz w:val="24"/>
          <w:szCs w:val="24"/>
          <w:u w:val="single"/>
        </w:rPr>
        <w:lastRenderedPageBreak/>
        <w:t>UVOD</w:t>
      </w:r>
    </w:p>
    <w:p w:rsidR="00565D98" w:rsidRPr="00703D68" w:rsidRDefault="00565D98" w:rsidP="00770B45">
      <w:pPr>
        <w:ind w:firstLine="708"/>
        <w:jc w:val="both"/>
        <w:rPr>
          <w:rFonts w:ascii="Times New Roman" w:hAnsi="Times New Roman" w:cs="Times New Roman"/>
          <w:sz w:val="24"/>
          <w:szCs w:val="24"/>
        </w:rPr>
      </w:pPr>
      <w:r w:rsidRPr="00703D68">
        <w:rPr>
          <w:rFonts w:ascii="Times New Roman" w:hAnsi="Times New Roman" w:cs="Times New Roman"/>
          <w:sz w:val="24"/>
          <w:szCs w:val="24"/>
        </w:rPr>
        <w:t>Temeljem odredbi Zakona o komunalnom gospodarstvu /Narodne novine br. 26/03 – pročišćeni tekst/, Zakona o grobljima / Narodne novine br. 19/98/ i Pravilnika o grobljima /Narodne novine br. 99/02/</w:t>
      </w:r>
      <w:r w:rsidR="00DB1ACD">
        <w:rPr>
          <w:rFonts w:ascii="Times New Roman" w:hAnsi="Times New Roman" w:cs="Times New Roman"/>
          <w:sz w:val="24"/>
          <w:szCs w:val="24"/>
        </w:rPr>
        <w:t>,</w:t>
      </w:r>
      <w:r w:rsidRPr="00703D68">
        <w:rPr>
          <w:rFonts w:ascii="Times New Roman" w:hAnsi="Times New Roman" w:cs="Times New Roman"/>
          <w:sz w:val="24"/>
          <w:szCs w:val="24"/>
        </w:rPr>
        <w:t xml:space="preserve"> Grad Dubrovnik i Općina Župa dubrovačka </w:t>
      </w:r>
      <w:r w:rsidR="00703D68">
        <w:rPr>
          <w:rFonts w:ascii="Times New Roman" w:hAnsi="Times New Roman" w:cs="Times New Roman"/>
          <w:sz w:val="24"/>
          <w:szCs w:val="24"/>
        </w:rPr>
        <w:t xml:space="preserve">su </w:t>
      </w:r>
      <w:r w:rsidRPr="00703D68">
        <w:rPr>
          <w:rFonts w:ascii="Times New Roman" w:hAnsi="Times New Roman" w:cs="Times New Roman"/>
          <w:sz w:val="24"/>
          <w:szCs w:val="24"/>
        </w:rPr>
        <w:t>dana 3. travnja 2006.</w:t>
      </w:r>
      <w:r w:rsidR="00703D68">
        <w:rPr>
          <w:rFonts w:ascii="Times New Roman" w:hAnsi="Times New Roman" w:cs="Times New Roman"/>
          <w:sz w:val="24"/>
          <w:szCs w:val="24"/>
        </w:rPr>
        <w:t xml:space="preserve">godine zaključili </w:t>
      </w:r>
      <w:r w:rsidRPr="00703D68">
        <w:rPr>
          <w:rFonts w:ascii="Times New Roman" w:hAnsi="Times New Roman" w:cs="Times New Roman"/>
          <w:sz w:val="24"/>
          <w:szCs w:val="24"/>
        </w:rPr>
        <w:t>Sporazum o izgradnji groblja "Dubac" u kojemu je u članku 1. suglasno utvrđen zajednički interes za izgradnju groblja na spomenutoj lokaciji.</w:t>
      </w:r>
    </w:p>
    <w:p w:rsidR="00565D98" w:rsidRDefault="00703D68" w:rsidP="00770B45">
      <w:pPr>
        <w:ind w:firstLine="708"/>
        <w:jc w:val="both"/>
        <w:rPr>
          <w:rFonts w:ascii="Times New Roman" w:hAnsi="Times New Roman" w:cs="Times New Roman"/>
          <w:sz w:val="24"/>
          <w:szCs w:val="24"/>
        </w:rPr>
      </w:pPr>
      <w:r w:rsidRPr="00703D68">
        <w:rPr>
          <w:rFonts w:ascii="Times New Roman" w:hAnsi="Times New Roman" w:cs="Times New Roman"/>
          <w:sz w:val="24"/>
          <w:szCs w:val="24"/>
        </w:rPr>
        <w:t>Sukladno Sporazumu</w:t>
      </w:r>
      <w:r w:rsidR="00770B45">
        <w:rPr>
          <w:rFonts w:ascii="Times New Roman" w:hAnsi="Times New Roman" w:cs="Times New Roman"/>
          <w:sz w:val="24"/>
          <w:szCs w:val="24"/>
        </w:rPr>
        <w:t>,</w:t>
      </w:r>
      <w:r>
        <w:rPr>
          <w:rFonts w:ascii="Times New Roman" w:hAnsi="Times New Roman" w:cs="Times New Roman"/>
          <w:sz w:val="24"/>
          <w:szCs w:val="24"/>
        </w:rPr>
        <w:t xml:space="preserve"> dana 19.06.2007. potpisan je Ugovor o financiranju izgradnje groblja Dubac u kojem je definiran</w:t>
      </w:r>
      <w:r w:rsidR="00770B45">
        <w:rPr>
          <w:rFonts w:ascii="Times New Roman" w:hAnsi="Times New Roman" w:cs="Times New Roman"/>
          <w:sz w:val="24"/>
          <w:szCs w:val="24"/>
        </w:rPr>
        <w:t xml:space="preserve"> </w:t>
      </w:r>
      <w:r>
        <w:rPr>
          <w:rFonts w:ascii="Times New Roman" w:hAnsi="Times New Roman" w:cs="Times New Roman"/>
          <w:sz w:val="24"/>
          <w:szCs w:val="24"/>
        </w:rPr>
        <w:t>postotak fina</w:t>
      </w:r>
      <w:r w:rsidR="00A40899">
        <w:rPr>
          <w:rFonts w:ascii="Times New Roman" w:hAnsi="Times New Roman" w:cs="Times New Roman"/>
          <w:sz w:val="24"/>
          <w:szCs w:val="24"/>
        </w:rPr>
        <w:t>n</w:t>
      </w:r>
      <w:r>
        <w:rPr>
          <w:rFonts w:ascii="Times New Roman" w:hAnsi="Times New Roman" w:cs="Times New Roman"/>
          <w:sz w:val="24"/>
          <w:szCs w:val="24"/>
        </w:rPr>
        <w:t xml:space="preserve">ciranja od strane Grada Dubrovnika </w:t>
      </w:r>
      <w:r w:rsidR="00770B45">
        <w:rPr>
          <w:rFonts w:ascii="Times New Roman" w:hAnsi="Times New Roman" w:cs="Times New Roman"/>
          <w:sz w:val="24"/>
          <w:szCs w:val="24"/>
        </w:rPr>
        <w:t>u visini od</w:t>
      </w:r>
      <w:r>
        <w:rPr>
          <w:rFonts w:ascii="Times New Roman" w:hAnsi="Times New Roman" w:cs="Times New Roman"/>
          <w:sz w:val="24"/>
          <w:szCs w:val="24"/>
        </w:rPr>
        <w:t xml:space="preserve"> 80%, a Općine Župa dubrovačka </w:t>
      </w:r>
      <w:r w:rsidR="00770B45">
        <w:rPr>
          <w:rFonts w:ascii="Times New Roman" w:hAnsi="Times New Roman" w:cs="Times New Roman"/>
          <w:sz w:val="24"/>
          <w:szCs w:val="24"/>
        </w:rPr>
        <w:t xml:space="preserve">od </w:t>
      </w:r>
      <w:r>
        <w:rPr>
          <w:rFonts w:ascii="Times New Roman" w:hAnsi="Times New Roman" w:cs="Times New Roman"/>
          <w:sz w:val="24"/>
          <w:szCs w:val="24"/>
        </w:rPr>
        <w:t>20%. Dodatkom I Ugovoru o financiranju izgradnje groblja Dubac, zaključenom dana 08.04.2013. godine</w:t>
      </w:r>
      <w:r w:rsidR="00770B45">
        <w:rPr>
          <w:rFonts w:ascii="Times New Roman" w:hAnsi="Times New Roman" w:cs="Times New Roman"/>
          <w:sz w:val="24"/>
          <w:szCs w:val="24"/>
        </w:rPr>
        <w:t>,</w:t>
      </w:r>
      <w:r>
        <w:rPr>
          <w:rFonts w:ascii="Times New Roman" w:hAnsi="Times New Roman" w:cs="Times New Roman"/>
          <w:sz w:val="24"/>
          <w:szCs w:val="24"/>
        </w:rPr>
        <w:t xml:space="preserve"> omjer financiranja je</w:t>
      </w:r>
      <w:r w:rsidR="00A40899">
        <w:rPr>
          <w:rFonts w:ascii="Times New Roman" w:hAnsi="Times New Roman" w:cs="Times New Roman"/>
          <w:sz w:val="24"/>
          <w:szCs w:val="24"/>
        </w:rPr>
        <w:t xml:space="preserve"> temeljem provedene ankete</w:t>
      </w:r>
      <w:r>
        <w:rPr>
          <w:rFonts w:ascii="Times New Roman" w:hAnsi="Times New Roman" w:cs="Times New Roman"/>
          <w:sz w:val="24"/>
          <w:szCs w:val="24"/>
        </w:rPr>
        <w:t xml:space="preserve"> usklađen na način da </w:t>
      </w:r>
      <w:r w:rsidR="00770B45">
        <w:rPr>
          <w:rFonts w:ascii="Times New Roman" w:hAnsi="Times New Roman" w:cs="Times New Roman"/>
          <w:sz w:val="24"/>
          <w:szCs w:val="24"/>
        </w:rPr>
        <w:t xml:space="preserve">će </w:t>
      </w:r>
      <w:r>
        <w:rPr>
          <w:rFonts w:ascii="Times New Roman" w:hAnsi="Times New Roman" w:cs="Times New Roman"/>
          <w:sz w:val="24"/>
          <w:szCs w:val="24"/>
        </w:rPr>
        <w:t>Grad Dubrovnik financira</w:t>
      </w:r>
      <w:r w:rsidR="00770B45">
        <w:rPr>
          <w:rFonts w:ascii="Times New Roman" w:hAnsi="Times New Roman" w:cs="Times New Roman"/>
          <w:sz w:val="24"/>
          <w:szCs w:val="24"/>
        </w:rPr>
        <w:t>ti</w:t>
      </w:r>
      <w:r>
        <w:rPr>
          <w:rFonts w:ascii="Times New Roman" w:hAnsi="Times New Roman" w:cs="Times New Roman"/>
          <w:sz w:val="24"/>
          <w:szCs w:val="24"/>
        </w:rPr>
        <w:t xml:space="preserve"> 76%, a Općina Župa dubrovačka 24% troškova vezanih uz izgradnju groblja. </w:t>
      </w:r>
    </w:p>
    <w:p w:rsidR="00703D68" w:rsidRDefault="00703D68" w:rsidP="00770B45">
      <w:pPr>
        <w:ind w:firstLine="708"/>
        <w:jc w:val="both"/>
        <w:rPr>
          <w:rFonts w:ascii="Times New Roman" w:hAnsi="Times New Roman" w:cs="Times New Roman"/>
          <w:sz w:val="24"/>
          <w:szCs w:val="24"/>
        </w:rPr>
      </w:pPr>
      <w:r>
        <w:rPr>
          <w:rFonts w:ascii="Times New Roman" w:hAnsi="Times New Roman" w:cs="Times New Roman"/>
          <w:sz w:val="24"/>
          <w:szCs w:val="24"/>
        </w:rPr>
        <w:t>Kako bi se započe</w:t>
      </w:r>
      <w:r w:rsidR="00A40899">
        <w:rPr>
          <w:rFonts w:ascii="Times New Roman" w:hAnsi="Times New Roman" w:cs="Times New Roman"/>
          <w:sz w:val="24"/>
          <w:szCs w:val="24"/>
        </w:rPr>
        <w:t>lo</w:t>
      </w:r>
      <w:r>
        <w:rPr>
          <w:rFonts w:ascii="Times New Roman" w:hAnsi="Times New Roman" w:cs="Times New Roman"/>
          <w:sz w:val="24"/>
          <w:szCs w:val="24"/>
        </w:rPr>
        <w:t xml:space="preserve"> s aktivnostima vezanim uz izgradnju groblja, Grad Dubrovnik i Općina Župa dubrovačka su dana 18.01.2008. godine potpisale Društveni ugovor o osnivanju društva Groblje Dubac d.o.o. </w:t>
      </w:r>
      <w:r w:rsidR="00E77E37">
        <w:rPr>
          <w:rFonts w:ascii="Times New Roman" w:hAnsi="Times New Roman" w:cs="Times New Roman"/>
          <w:sz w:val="24"/>
          <w:szCs w:val="24"/>
        </w:rPr>
        <w:t xml:space="preserve">s temeljnim kapitalom od 20.000,00 Kn i </w:t>
      </w:r>
      <w:r>
        <w:rPr>
          <w:rFonts w:ascii="Times New Roman" w:hAnsi="Times New Roman" w:cs="Times New Roman"/>
          <w:sz w:val="24"/>
          <w:szCs w:val="24"/>
        </w:rPr>
        <w:t>u ko</w:t>
      </w:r>
      <w:r w:rsidR="00E77E37">
        <w:rPr>
          <w:rFonts w:ascii="Times New Roman" w:hAnsi="Times New Roman" w:cs="Times New Roman"/>
          <w:sz w:val="24"/>
          <w:szCs w:val="24"/>
        </w:rPr>
        <w:t xml:space="preserve">jem je definiran vlasnički udio od </w:t>
      </w:r>
      <w:r>
        <w:rPr>
          <w:rFonts w:ascii="Times New Roman" w:hAnsi="Times New Roman" w:cs="Times New Roman"/>
          <w:sz w:val="24"/>
          <w:szCs w:val="24"/>
        </w:rPr>
        <w:t>51% Općina Župa dubrovačka, 49% Grad Dubrovnik.</w:t>
      </w:r>
      <w:r w:rsidR="00D62021">
        <w:rPr>
          <w:rFonts w:ascii="Times New Roman" w:hAnsi="Times New Roman" w:cs="Times New Roman"/>
          <w:sz w:val="24"/>
          <w:szCs w:val="24"/>
        </w:rPr>
        <w:t xml:space="preserve"> Društvu</w:t>
      </w:r>
      <w:r w:rsidR="00DB1ACD">
        <w:rPr>
          <w:rFonts w:ascii="Times New Roman" w:hAnsi="Times New Roman" w:cs="Times New Roman"/>
          <w:sz w:val="24"/>
          <w:szCs w:val="24"/>
        </w:rPr>
        <w:t xml:space="preserve"> Groblje Dubac d.o.o.</w:t>
      </w:r>
      <w:r w:rsidR="00D62021">
        <w:rPr>
          <w:rFonts w:ascii="Times New Roman" w:hAnsi="Times New Roman" w:cs="Times New Roman"/>
          <w:sz w:val="24"/>
          <w:szCs w:val="24"/>
        </w:rPr>
        <w:t xml:space="preserve"> su povjereni poslovi koordinacije izgradnje groblja, a nakon što isto bude izgrađeno će sukladno Zakonu o grobljima, potpisanom Ugovoru i Dodatku I Ugovora o financiranju groblja Dubac, te odluci Vijeća Općine Župa dubrovačka, upravljati grobljem Dubac (uprava groblja), i to na način da će omogućiti pravo raspolaganja grobnim mjestima stanovnicima koji imaju prebivalište na području Grada Dubrovnika u visini od 76% (2700 grobnih mjesta), i stanovnicima koji imaju prebivalište na području Općine Župa dubrovačka u visini od 24% (850 grobnih mjesta).</w:t>
      </w:r>
    </w:p>
    <w:p w:rsidR="00565D98" w:rsidRDefault="00770B45" w:rsidP="00770B45">
      <w:pPr>
        <w:ind w:firstLine="708"/>
        <w:jc w:val="both"/>
        <w:rPr>
          <w:rFonts w:ascii="Times New Roman" w:hAnsi="Times New Roman" w:cs="Times New Roman"/>
          <w:sz w:val="24"/>
          <w:szCs w:val="24"/>
        </w:rPr>
      </w:pPr>
      <w:r>
        <w:rPr>
          <w:rFonts w:ascii="Times New Roman" w:hAnsi="Times New Roman" w:cs="Times New Roman"/>
          <w:sz w:val="24"/>
          <w:szCs w:val="24"/>
        </w:rPr>
        <w:t xml:space="preserve">Tijekom 2008. godine, raspisan je natječaj za izradu urbanističko-arhitektonskog idejnog rješenja, te je kao najprihvatljivije usvojeno rješenje izrađeno od strane društva Alfaplan Dubrovnik. Nakon toga Općina Župa dubrovačka </w:t>
      </w:r>
      <w:r w:rsidR="00A40899">
        <w:rPr>
          <w:rFonts w:ascii="Times New Roman" w:hAnsi="Times New Roman" w:cs="Times New Roman"/>
          <w:sz w:val="24"/>
          <w:szCs w:val="24"/>
        </w:rPr>
        <w:t xml:space="preserve">je </w:t>
      </w:r>
      <w:r>
        <w:rPr>
          <w:rFonts w:ascii="Times New Roman" w:hAnsi="Times New Roman" w:cs="Times New Roman"/>
          <w:sz w:val="24"/>
          <w:szCs w:val="24"/>
        </w:rPr>
        <w:t>u rujnu 2011. godine usvojila DPU „Groblje“, na temelju kojega je u prosincu 2011. godine izrađen idejni projekt groblja Dubac također od strane društva Alfapla</w:t>
      </w:r>
      <w:r w:rsidR="00903E2B">
        <w:rPr>
          <w:rFonts w:ascii="Times New Roman" w:hAnsi="Times New Roman" w:cs="Times New Roman"/>
          <w:sz w:val="24"/>
          <w:szCs w:val="24"/>
        </w:rPr>
        <w:t>n</w:t>
      </w:r>
      <w:r>
        <w:rPr>
          <w:rFonts w:ascii="Times New Roman" w:hAnsi="Times New Roman" w:cs="Times New Roman"/>
          <w:sz w:val="24"/>
          <w:szCs w:val="24"/>
        </w:rPr>
        <w:t xml:space="preserve"> Dubrovnik. </w:t>
      </w:r>
      <w:r w:rsidR="00DB1ACD">
        <w:rPr>
          <w:rFonts w:ascii="Times New Roman" w:hAnsi="Times New Roman" w:cs="Times New Roman"/>
          <w:sz w:val="24"/>
          <w:szCs w:val="24"/>
        </w:rPr>
        <w:t>Krajem 2013. godine</w:t>
      </w:r>
      <w:r>
        <w:rPr>
          <w:rFonts w:ascii="Times New Roman" w:hAnsi="Times New Roman" w:cs="Times New Roman"/>
          <w:sz w:val="24"/>
          <w:szCs w:val="24"/>
        </w:rPr>
        <w:t xml:space="preserve"> raspisan </w:t>
      </w:r>
      <w:r w:rsidR="00DB1ACD">
        <w:rPr>
          <w:rFonts w:ascii="Times New Roman" w:hAnsi="Times New Roman" w:cs="Times New Roman"/>
          <w:sz w:val="24"/>
          <w:szCs w:val="24"/>
        </w:rPr>
        <w:t xml:space="preserve">je </w:t>
      </w:r>
      <w:r>
        <w:rPr>
          <w:rFonts w:ascii="Times New Roman" w:hAnsi="Times New Roman" w:cs="Times New Roman"/>
          <w:sz w:val="24"/>
          <w:szCs w:val="24"/>
        </w:rPr>
        <w:t>natječaj za izradu glavnog projekta 1.faze groblja, na kojem je kao najpovoljniji pon</w:t>
      </w:r>
      <w:r w:rsidR="00DB1ACD">
        <w:rPr>
          <w:rFonts w:ascii="Times New Roman" w:hAnsi="Times New Roman" w:cs="Times New Roman"/>
          <w:sz w:val="24"/>
          <w:szCs w:val="24"/>
        </w:rPr>
        <w:t>uditelj izabrano društvo Omega E</w:t>
      </w:r>
      <w:r>
        <w:rPr>
          <w:rFonts w:ascii="Times New Roman" w:hAnsi="Times New Roman" w:cs="Times New Roman"/>
          <w:sz w:val="24"/>
          <w:szCs w:val="24"/>
        </w:rPr>
        <w:t>ng</w:t>
      </w:r>
      <w:r w:rsidR="00DB1ACD">
        <w:rPr>
          <w:rFonts w:ascii="Times New Roman" w:hAnsi="Times New Roman" w:cs="Times New Roman"/>
          <w:sz w:val="24"/>
          <w:szCs w:val="24"/>
        </w:rPr>
        <w:t>i</w:t>
      </w:r>
      <w:r>
        <w:rPr>
          <w:rFonts w:ascii="Times New Roman" w:hAnsi="Times New Roman" w:cs="Times New Roman"/>
          <w:sz w:val="24"/>
          <w:szCs w:val="24"/>
        </w:rPr>
        <w:t>n</w:t>
      </w:r>
      <w:r w:rsidR="00DB1ACD">
        <w:rPr>
          <w:rFonts w:ascii="Times New Roman" w:hAnsi="Times New Roman" w:cs="Times New Roman"/>
          <w:sz w:val="24"/>
          <w:szCs w:val="24"/>
        </w:rPr>
        <w:t>e</w:t>
      </w:r>
      <w:r>
        <w:rPr>
          <w:rFonts w:ascii="Times New Roman" w:hAnsi="Times New Roman" w:cs="Times New Roman"/>
          <w:sz w:val="24"/>
          <w:szCs w:val="24"/>
        </w:rPr>
        <w:t>ering d.o.o. iz Dubrovnika i koje je u srpnju 2014. godine izradilo glavni projekt 1.faze groblja.</w:t>
      </w:r>
    </w:p>
    <w:p w:rsidR="00B25E50" w:rsidRPr="0052438A" w:rsidRDefault="00E25C65"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Zbog nemogućnosti ishođenja akata za gradnju i početka gradnje unutar obuhvata groblja prije  izgradnje pristupne ceste</w:t>
      </w:r>
      <w:r w:rsidR="000A120A" w:rsidRPr="0052438A">
        <w:rPr>
          <w:rFonts w:ascii="Times New Roman" w:hAnsi="Times New Roman" w:cs="Times New Roman"/>
          <w:sz w:val="24"/>
          <w:szCs w:val="24"/>
        </w:rPr>
        <w:t xml:space="preserve"> groblju</w:t>
      </w:r>
      <w:r w:rsidR="00507593" w:rsidRPr="0052438A">
        <w:rPr>
          <w:rFonts w:ascii="Times New Roman" w:hAnsi="Times New Roman" w:cs="Times New Roman"/>
          <w:sz w:val="24"/>
          <w:szCs w:val="24"/>
        </w:rPr>
        <w:t>,</w:t>
      </w:r>
      <w:r w:rsidRPr="0052438A">
        <w:rPr>
          <w:rFonts w:ascii="Times New Roman" w:hAnsi="Times New Roman" w:cs="Times New Roman"/>
          <w:sz w:val="24"/>
          <w:szCs w:val="24"/>
        </w:rPr>
        <w:t xml:space="preserve"> za koju su se vodili višegodišnji pregovori oko otkupa zemljišta, </w:t>
      </w:r>
      <w:r w:rsidR="000A120A" w:rsidRPr="0052438A">
        <w:rPr>
          <w:rFonts w:ascii="Times New Roman" w:hAnsi="Times New Roman" w:cs="Times New Roman"/>
          <w:sz w:val="24"/>
          <w:szCs w:val="24"/>
        </w:rPr>
        <w:t>a i zbog izmještanja</w:t>
      </w:r>
      <w:r w:rsidRPr="0052438A">
        <w:rPr>
          <w:rFonts w:ascii="Times New Roman" w:hAnsi="Times New Roman" w:cs="Times New Roman"/>
          <w:sz w:val="24"/>
          <w:szCs w:val="24"/>
        </w:rPr>
        <w:t xml:space="preserve"> linije južnog zida u idejnom projektu Groblja, početkom  2015. godine</w:t>
      </w:r>
      <w:r w:rsidR="00903E2B">
        <w:rPr>
          <w:rFonts w:ascii="Times New Roman" w:hAnsi="Times New Roman" w:cs="Times New Roman"/>
          <w:sz w:val="24"/>
          <w:szCs w:val="24"/>
        </w:rPr>
        <w:t>,</w:t>
      </w:r>
      <w:r w:rsidR="00507593" w:rsidRPr="0052438A">
        <w:rPr>
          <w:rFonts w:ascii="Times New Roman" w:hAnsi="Times New Roman" w:cs="Times New Roman"/>
          <w:sz w:val="24"/>
          <w:szCs w:val="24"/>
        </w:rPr>
        <w:t xml:space="preserve"> Općina Župa dubrovačka je pokrenula postupak izrade</w:t>
      </w:r>
      <w:r w:rsidRPr="0052438A">
        <w:rPr>
          <w:rFonts w:ascii="Times New Roman" w:hAnsi="Times New Roman" w:cs="Times New Roman"/>
          <w:sz w:val="24"/>
          <w:szCs w:val="24"/>
        </w:rPr>
        <w:t xml:space="preserve"> Izmjena</w:t>
      </w:r>
      <w:r w:rsidR="000A120A" w:rsidRPr="0052438A">
        <w:rPr>
          <w:rFonts w:ascii="Times New Roman" w:hAnsi="Times New Roman" w:cs="Times New Roman"/>
          <w:sz w:val="24"/>
          <w:szCs w:val="24"/>
        </w:rPr>
        <w:t xml:space="preserve"> DPU </w:t>
      </w:r>
      <w:r w:rsidR="00507593" w:rsidRPr="0052438A">
        <w:rPr>
          <w:rFonts w:ascii="Times New Roman" w:hAnsi="Times New Roman" w:cs="Times New Roman"/>
          <w:sz w:val="24"/>
          <w:szCs w:val="24"/>
        </w:rPr>
        <w:t>„</w:t>
      </w:r>
      <w:r w:rsidR="000A120A" w:rsidRPr="0052438A">
        <w:rPr>
          <w:rFonts w:ascii="Times New Roman" w:hAnsi="Times New Roman" w:cs="Times New Roman"/>
          <w:sz w:val="24"/>
          <w:szCs w:val="24"/>
        </w:rPr>
        <w:t>Groblje</w:t>
      </w:r>
      <w:r w:rsidR="00507593" w:rsidRPr="0052438A">
        <w:rPr>
          <w:rFonts w:ascii="Times New Roman" w:hAnsi="Times New Roman" w:cs="Times New Roman"/>
          <w:sz w:val="24"/>
          <w:szCs w:val="24"/>
        </w:rPr>
        <w:t>“</w:t>
      </w:r>
      <w:r w:rsidR="000A120A" w:rsidRPr="0052438A">
        <w:rPr>
          <w:rFonts w:ascii="Times New Roman" w:hAnsi="Times New Roman" w:cs="Times New Roman"/>
          <w:sz w:val="24"/>
          <w:szCs w:val="24"/>
        </w:rPr>
        <w:t xml:space="preserve"> kojim</w:t>
      </w:r>
      <w:r w:rsidR="007E0FAB" w:rsidRPr="0052438A">
        <w:rPr>
          <w:rFonts w:ascii="Times New Roman" w:hAnsi="Times New Roman" w:cs="Times New Roman"/>
          <w:sz w:val="24"/>
          <w:szCs w:val="24"/>
        </w:rPr>
        <w:t>a</w:t>
      </w:r>
      <w:r w:rsidR="000A120A" w:rsidRPr="0052438A">
        <w:rPr>
          <w:rFonts w:ascii="Times New Roman" w:hAnsi="Times New Roman" w:cs="Times New Roman"/>
          <w:sz w:val="24"/>
          <w:szCs w:val="24"/>
        </w:rPr>
        <w:t xml:space="preserve"> su</w:t>
      </w:r>
      <w:r w:rsidRPr="0052438A">
        <w:rPr>
          <w:rFonts w:ascii="Times New Roman" w:hAnsi="Times New Roman" w:cs="Times New Roman"/>
          <w:sz w:val="24"/>
          <w:szCs w:val="24"/>
        </w:rPr>
        <w:t xml:space="preserve"> se </w:t>
      </w:r>
      <w:r w:rsidR="00507593" w:rsidRPr="0052438A">
        <w:rPr>
          <w:rFonts w:ascii="Times New Roman" w:hAnsi="Times New Roman" w:cs="Times New Roman"/>
          <w:sz w:val="24"/>
          <w:szCs w:val="24"/>
        </w:rPr>
        <w:t>nakon usvajanja</w:t>
      </w:r>
      <w:r w:rsidR="00E93805">
        <w:rPr>
          <w:rFonts w:ascii="Times New Roman" w:hAnsi="Times New Roman" w:cs="Times New Roman"/>
          <w:sz w:val="24"/>
          <w:szCs w:val="24"/>
        </w:rPr>
        <w:t>,</w:t>
      </w:r>
      <w:r w:rsidR="00507593" w:rsidRPr="0052438A">
        <w:rPr>
          <w:rFonts w:ascii="Times New Roman" w:hAnsi="Times New Roman" w:cs="Times New Roman"/>
          <w:sz w:val="24"/>
          <w:szCs w:val="24"/>
        </w:rPr>
        <w:t xml:space="preserve"> </w:t>
      </w:r>
      <w:r w:rsidRPr="0052438A">
        <w:rPr>
          <w:rFonts w:ascii="Times New Roman" w:hAnsi="Times New Roman" w:cs="Times New Roman"/>
          <w:sz w:val="24"/>
          <w:szCs w:val="24"/>
        </w:rPr>
        <w:t>stvoril</w:t>
      </w:r>
      <w:r w:rsidR="000A120A" w:rsidRPr="0052438A">
        <w:rPr>
          <w:rFonts w:ascii="Times New Roman" w:hAnsi="Times New Roman" w:cs="Times New Roman"/>
          <w:sz w:val="24"/>
          <w:szCs w:val="24"/>
        </w:rPr>
        <w:t>e</w:t>
      </w:r>
      <w:r w:rsidRPr="0052438A">
        <w:rPr>
          <w:rFonts w:ascii="Times New Roman" w:hAnsi="Times New Roman" w:cs="Times New Roman"/>
          <w:sz w:val="24"/>
          <w:szCs w:val="24"/>
        </w:rPr>
        <w:t xml:space="preserve"> mogućnost</w:t>
      </w:r>
      <w:r w:rsidR="000A120A" w:rsidRPr="0052438A">
        <w:rPr>
          <w:rFonts w:ascii="Times New Roman" w:hAnsi="Times New Roman" w:cs="Times New Roman"/>
          <w:sz w:val="24"/>
          <w:szCs w:val="24"/>
        </w:rPr>
        <w:t>i</w:t>
      </w:r>
      <w:r w:rsidRPr="0052438A">
        <w:rPr>
          <w:rFonts w:ascii="Times New Roman" w:hAnsi="Times New Roman" w:cs="Times New Roman"/>
          <w:sz w:val="24"/>
          <w:szCs w:val="24"/>
        </w:rPr>
        <w:t xml:space="preserve"> </w:t>
      </w:r>
      <w:r w:rsidR="000A120A" w:rsidRPr="0052438A">
        <w:rPr>
          <w:rFonts w:ascii="Times New Roman" w:hAnsi="Times New Roman" w:cs="Times New Roman"/>
          <w:sz w:val="24"/>
          <w:szCs w:val="24"/>
        </w:rPr>
        <w:t>za početak izvođenja radova na izgradnji potpornih zidova s ciljem saniranja i stabiliziranja terena (stvaranje platoa) na kojima će se u budućnosti graditi grobnice i objekti na groblju.</w:t>
      </w:r>
    </w:p>
    <w:p w:rsidR="000A120A" w:rsidRDefault="000A120A"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Detaljni plan uređenja </w:t>
      </w:r>
      <w:r w:rsidR="002A2DB3" w:rsidRPr="0052438A">
        <w:rPr>
          <w:rFonts w:ascii="Times New Roman" w:hAnsi="Times New Roman" w:cs="Times New Roman"/>
          <w:sz w:val="24"/>
          <w:szCs w:val="24"/>
        </w:rPr>
        <w:t>„</w:t>
      </w:r>
      <w:r w:rsidRPr="0052438A">
        <w:rPr>
          <w:rFonts w:ascii="Times New Roman" w:hAnsi="Times New Roman" w:cs="Times New Roman"/>
          <w:sz w:val="24"/>
          <w:szCs w:val="24"/>
        </w:rPr>
        <w:t>Groblje</w:t>
      </w:r>
      <w:r w:rsidR="002A2DB3" w:rsidRPr="0052438A">
        <w:rPr>
          <w:rFonts w:ascii="Times New Roman" w:hAnsi="Times New Roman" w:cs="Times New Roman"/>
          <w:sz w:val="24"/>
          <w:szCs w:val="24"/>
        </w:rPr>
        <w:t>“</w:t>
      </w:r>
      <w:r w:rsidRPr="0052438A">
        <w:rPr>
          <w:rFonts w:ascii="Times New Roman" w:hAnsi="Times New Roman" w:cs="Times New Roman"/>
          <w:sz w:val="24"/>
          <w:szCs w:val="24"/>
        </w:rPr>
        <w:t xml:space="preserve"> koji je trenutno na snazi, predviđa izgradnju groblja u pet faza. U prvoj fazi je predviđana izgradnja svih prometnica i parkirališta unutar obuhvata </w:t>
      </w:r>
      <w:r w:rsidRPr="0052438A">
        <w:rPr>
          <w:rFonts w:ascii="Times New Roman" w:hAnsi="Times New Roman" w:cs="Times New Roman"/>
          <w:sz w:val="24"/>
          <w:szCs w:val="24"/>
        </w:rPr>
        <w:lastRenderedPageBreak/>
        <w:t>groblja, trafostanice, centralnog poslovnog objekta, dvorana za ispraćaj, kapelice, centralnog trga, paviljona, sanitarnih čvorova, biblijskog vrta, te ukupno 1585 grob</w:t>
      </w:r>
      <w:r w:rsidR="00E93805">
        <w:rPr>
          <w:rFonts w:ascii="Times New Roman" w:hAnsi="Times New Roman" w:cs="Times New Roman"/>
          <w:sz w:val="24"/>
          <w:szCs w:val="24"/>
        </w:rPr>
        <w:t>nih mjesta</w:t>
      </w:r>
      <w:r w:rsidRPr="0052438A">
        <w:rPr>
          <w:rFonts w:ascii="Times New Roman" w:hAnsi="Times New Roman" w:cs="Times New Roman"/>
          <w:sz w:val="24"/>
          <w:szCs w:val="24"/>
        </w:rPr>
        <w:t>.</w:t>
      </w:r>
      <w:r w:rsidR="002E175D" w:rsidRPr="0052438A">
        <w:rPr>
          <w:rFonts w:ascii="Times New Roman" w:hAnsi="Times New Roman" w:cs="Times New Roman"/>
          <w:sz w:val="24"/>
          <w:szCs w:val="24"/>
        </w:rPr>
        <w:t xml:space="preserve"> U svim ostalim fazama predviđena je izgradnja ostatka do konačnih 35</w:t>
      </w:r>
      <w:r w:rsidR="00903E2B">
        <w:rPr>
          <w:rFonts w:ascii="Times New Roman" w:hAnsi="Times New Roman" w:cs="Times New Roman"/>
          <w:sz w:val="24"/>
          <w:szCs w:val="24"/>
        </w:rPr>
        <w:t>5</w:t>
      </w:r>
      <w:r w:rsidR="002E175D" w:rsidRPr="0052438A">
        <w:rPr>
          <w:rFonts w:ascii="Times New Roman" w:hAnsi="Times New Roman" w:cs="Times New Roman"/>
          <w:sz w:val="24"/>
          <w:szCs w:val="24"/>
        </w:rPr>
        <w:t>0 grob</w:t>
      </w:r>
      <w:r w:rsidR="00E93805">
        <w:rPr>
          <w:rFonts w:ascii="Times New Roman" w:hAnsi="Times New Roman" w:cs="Times New Roman"/>
          <w:sz w:val="24"/>
          <w:szCs w:val="24"/>
        </w:rPr>
        <w:t>nih mjesta</w:t>
      </w:r>
      <w:r w:rsidR="002E175D" w:rsidRPr="0052438A">
        <w:rPr>
          <w:rFonts w:ascii="Times New Roman" w:hAnsi="Times New Roman" w:cs="Times New Roman"/>
          <w:sz w:val="24"/>
          <w:szCs w:val="24"/>
        </w:rPr>
        <w:t xml:space="preserve"> s pripadajućim stazama, podzidama i rampama, a koliko je i planirano čitavim projektom.</w:t>
      </w:r>
    </w:p>
    <w:p w:rsidR="00A541AC" w:rsidRPr="00A541AC" w:rsidRDefault="00A541AC" w:rsidP="00A541AC">
      <w:pPr>
        <w:ind w:firstLine="708"/>
        <w:contextualSpacing/>
        <w:jc w:val="both"/>
        <w:rPr>
          <w:rFonts w:ascii="Times New Roman" w:hAnsi="Times New Roman"/>
          <w:sz w:val="24"/>
          <w:szCs w:val="24"/>
        </w:rPr>
      </w:pPr>
      <w:r w:rsidRPr="00A541AC">
        <w:rPr>
          <w:rFonts w:ascii="Times New Roman" w:hAnsi="Times New Roman"/>
          <w:sz w:val="24"/>
          <w:szCs w:val="24"/>
        </w:rPr>
        <w:t>Unutar obuhvata groblja postoje čest. zem. koje još nisu kupljene dok dio vlasnika međusobnim tužbama i ugovorima o zamjeni zemljišta ne upišu svoje vlasništvo 1/1 na česticama. Ugovori o zamjeni su već provedeni, a tužbe u kojima će se dokazati vlasništvo, budući se vode u posjedu na katastru, su podne</w:t>
      </w:r>
      <w:r>
        <w:rPr>
          <w:rFonts w:ascii="Times New Roman" w:hAnsi="Times New Roman"/>
          <w:sz w:val="24"/>
          <w:szCs w:val="24"/>
        </w:rPr>
        <w:t>s</w:t>
      </w:r>
      <w:r w:rsidRPr="00A541AC">
        <w:rPr>
          <w:rFonts w:ascii="Times New Roman" w:hAnsi="Times New Roman"/>
          <w:sz w:val="24"/>
          <w:szCs w:val="24"/>
        </w:rPr>
        <w:t>ene početkom 2016. godine, te očekujemo njihov završetak kroz 201</w:t>
      </w:r>
      <w:r>
        <w:rPr>
          <w:rFonts w:ascii="Times New Roman" w:hAnsi="Times New Roman"/>
          <w:sz w:val="24"/>
          <w:szCs w:val="24"/>
        </w:rPr>
        <w:t>8</w:t>
      </w:r>
      <w:r w:rsidRPr="00A541AC">
        <w:rPr>
          <w:rFonts w:ascii="Times New Roman" w:hAnsi="Times New Roman"/>
          <w:sz w:val="24"/>
          <w:szCs w:val="24"/>
        </w:rPr>
        <w:t>. godinu. U pitanju je ukupno 11.660 m2 zemljišta, od kojih se 3.120 m2 nalaze unutar obuhvata groblja, a 8.540 m2 se nalaze izvan obuhvata groblja, ali unutar DPU Groblje. Čine ga sljedeće čestice i njihovi vlasnici:</w:t>
      </w:r>
    </w:p>
    <w:p w:rsidR="00A541AC" w:rsidRPr="00A541AC" w:rsidRDefault="00A541AC" w:rsidP="00A541AC">
      <w:pPr>
        <w:ind w:left="720"/>
        <w:contextualSpacing/>
        <w:jc w:val="both"/>
        <w:rPr>
          <w:rFonts w:ascii="Times New Roman" w:hAnsi="Times New Roman"/>
          <w:sz w:val="24"/>
          <w:szCs w:val="24"/>
        </w:rPr>
      </w:pP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81/23 u površini od 1155 m2 – vlasnik Lujo Mato i Lujo Vlaho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81/24 u površini od 710 m2 –   vlasnik Lujo Mato i Lujo Vlaho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81/10 u površini od 1251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81/21 u površini od 1345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81/22 u površini od 1032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81/27 u površini od 509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81/26 u površini od 2092 m2 – vlasnik Marija Seko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81/25 u površini od 3566 m2 – vlasnik Stajić</w:t>
      </w:r>
      <w:r w:rsidR="00A40899">
        <w:rPr>
          <w:rFonts w:ascii="Times New Roman" w:hAnsi="Times New Roman"/>
          <w:sz w:val="24"/>
          <w:szCs w:val="24"/>
        </w:rPr>
        <w:t xml:space="preserve"> Anja</w:t>
      </w:r>
    </w:p>
    <w:p w:rsidR="00A541AC" w:rsidRPr="00A541AC" w:rsidRDefault="00A541AC" w:rsidP="00A541AC">
      <w:pPr>
        <w:ind w:left="360"/>
        <w:contextualSpacing/>
        <w:jc w:val="both"/>
        <w:rPr>
          <w:rFonts w:ascii="Times New Roman" w:hAnsi="Times New Roman"/>
          <w:sz w:val="24"/>
          <w:szCs w:val="24"/>
        </w:rPr>
      </w:pPr>
    </w:p>
    <w:p w:rsidR="00A541AC" w:rsidRPr="00A541AC" w:rsidRDefault="00A541AC" w:rsidP="00A541AC">
      <w:pPr>
        <w:ind w:firstLine="360"/>
        <w:contextualSpacing/>
        <w:jc w:val="both"/>
        <w:rPr>
          <w:rFonts w:ascii="Times New Roman" w:hAnsi="Times New Roman"/>
          <w:sz w:val="24"/>
          <w:szCs w:val="24"/>
        </w:rPr>
      </w:pPr>
      <w:r w:rsidRPr="00A541AC">
        <w:rPr>
          <w:rFonts w:ascii="Times New Roman" w:hAnsi="Times New Roman"/>
          <w:sz w:val="24"/>
          <w:szCs w:val="24"/>
        </w:rPr>
        <w:t xml:space="preserve">Unutar obuhvata groblja je i čest.zem. 210/9 u površini od 1.518 m2 </w:t>
      </w:r>
      <w:r w:rsidR="00C26828">
        <w:rPr>
          <w:rFonts w:ascii="Times New Roman" w:hAnsi="Times New Roman"/>
          <w:sz w:val="24"/>
          <w:szCs w:val="24"/>
        </w:rPr>
        <w:t>koje</w:t>
      </w:r>
      <w:r w:rsidRPr="00A541AC">
        <w:rPr>
          <w:rFonts w:ascii="Times New Roman" w:hAnsi="Times New Roman"/>
          <w:sz w:val="24"/>
          <w:szCs w:val="24"/>
        </w:rPr>
        <w:t xml:space="preserve"> je vlasnik Bratstvo Sv.Josipa radnika iz Čibače i s njima će se ugovor potpisati kada sve ostalo bude realizirano.</w:t>
      </w:r>
    </w:p>
    <w:p w:rsidR="00A541AC" w:rsidRPr="00A541AC" w:rsidRDefault="00A541AC" w:rsidP="00A541AC">
      <w:pPr>
        <w:ind w:firstLine="708"/>
        <w:contextualSpacing/>
        <w:jc w:val="both"/>
        <w:rPr>
          <w:rFonts w:ascii="Times New Roman" w:hAnsi="Times New Roman"/>
          <w:sz w:val="24"/>
          <w:szCs w:val="24"/>
        </w:rPr>
      </w:pPr>
      <w:r w:rsidRPr="00A541AC">
        <w:rPr>
          <w:rFonts w:ascii="Times New Roman" w:hAnsi="Times New Roman"/>
          <w:sz w:val="24"/>
          <w:szCs w:val="24"/>
        </w:rPr>
        <w:t xml:space="preserve">Od ukupne površine od 130.548 m2 (5.104 m2 za pristupnu cestu i 125.444 m2 za obuhvat groblja) do sada je kupljeno ukupno 117.370 m2 (90%), a nije kupljeno 13.178 m2 (10%). Nakon završetka međusobnih tužbi vlasnika i sređivanja vlasničkih odnosa otkupiti ćemo dodatnih 11.660 m2, a površinu od 1.518 m2 otkupit ćemo od Bratstva Sv.Josipa kada sve ostalo bude realizirano. </w:t>
      </w:r>
    </w:p>
    <w:p w:rsidR="00A541AC" w:rsidRPr="0052438A" w:rsidRDefault="00A541AC" w:rsidP="00EC7E60">
      <w:pPr>
        <w:ind w:firstLine="708"/>
        <w:jc w:val="both"/>
        <w:rPr>
          <w:rFonts w:ascii="Times New Roman" w:hAnsi="Times New Roman" w:cs="Times New Roman"/>
          <w:sz w:val="24"/>
          <w:szCs w:val="24"/>
        </w:rPr>
      </w:pPr>
    </w:p>
    <w:p w:rsidR="00A74136" w:rsidRDefault="00A74136" w:rsidP="00A74136">
      <w:pPr>
        <w:spacing w:after="0"/>
        <w:ind w:firstLine="708"/>
        <w:contextualSpacing/>
        <w:jc w:val="both"/>
        <w:rPr>
          <w:rFonts w:ascii="Times New Roman" w:hAnsi="Times New Roman" w:cs="Times New Roman"/>
          <w:sz w:val="24"/>
          <w:szCs w:val="24"/>
        </w:rPr>
      </w:pPr>
    </w:p>
    <w:p w:rsidR="00A74136" w:rsidRPr="00354EB0" w:rsidRDefault="00A74136" w:rsidP="00A74136">
      <w:pPr>
        <w:pStyle w:val="ListParagraph"/>
        <w:numPr>
          <w:ilvl w:val="0"/>
          <w:numId w:val="2"/>
        </w:numPr>
        <w:spacing w:after="0"/>
        <w:jc w:val="both"/>
        <w:rPr>
          <w:rFonts w:ascii="Times New Roman" w:hAnsi="Times New Roman" w:cs="Times New Roman"/>
          <w:b/>
          <w:sz w:val="24"/>
          <w:szCs w:val="24"/>
          <w:u w:val="single"/>
        </w:rPr>
      </w:pPr>
      <w:r w:rsidRPr="00354EB0">
        <w:rPr>
          <w:rFonts w:ascii="Times New Roman" w:hAnsi="Times New Roman" w:cs="Times New Roman"/>
          <w:b/>
          <w:sz w:val="24"/>
          <w:szCs w:val="24"/>
          <w:u w:val="single"/>
        </w:rPr>
        <w:t>DETALJNI PLAN UREĐENJA „GROBLJE“ – Izmjene i dopune</w:t>
      </w:r>
    </w:p>
    <w:p w:rsidR="00A74136" w:rsidRDefault="00A74136" w:rsidP="00A74136">
      <w:pPr>
        <w:spacing w:after="0"/>
        <w:ind w:firstLine="708"/>
        <w:contextualSpacing/>
        <w:jc w:val="both"/>
        <w:rPr>
          <w:rFonts w:ascii="Times New Roman" w:hAnsi="Times New Roman" w:cs="Times New Roman"/>
          <w:sz w:val="24"/>
          <w:szCs w:val="24"/>
        </w:rPr>
      </w:pPr>
    </w:p>
    <w:p w:rsidR="002A2DB3" w:rsidRPr="00A74136" w:rsidRDefault="002E175D" w:rsidP="00A74136">
      <w:pPr>
        <w:spacing w:after="0"/>
        <w:ind w:firstLine="708"/>
        <w:contextualSpacing/>
        <w:jc w:val="both"/>
        <w:rPr>
          <w:rFonts w:ascii="Times New Roman" w:hAnsi="Times New Roman" w:cs="Times New Roman"/>
          <w:sz w:val="24"/>
          <w:szCs w:val="24"/>
        </w:rPr>
      </w:pPr>
      <w:r w:rsidRPr="0052438A">
        <w:rPr>
          <w:rFonts w:ascii="Times New Roman" w:hAnsi="Times New Roman" w:cs="Times New Roman"/>
          <w:sz w:val="24"/>
          <w:szCs w:val="24"/>
        </w:rPr>
        <w:t xml:space="preserve">Izgradnjom potpornih </w:t>
      </w:r>
      <w:r w:rsidR="00950472" w:rsidRPr="0052438A">
        <w:rPr>
          <w:rFonts w:ascii="Times New Roman" w:hAnsi="Times New Roman" w:cs="Times New Roman"/>
          <w:sz w:val="24"/>
          <w:szCs w:val="24"/>
        </w:rPr>
        <w:t>zidova koji su u tijeku, došlo j</w:t>
      </w:r>
      <w:r w:rsidRPr="0052438A">
        <w:rPr>
          <w:rFonts w:ascii="Times New Roman" w:hAnsi="Times New Roman" w:cs="Times New Roman"/>
          <w:sz w:val="24"/>
          <w:szCs w:val="24"/>
        </w:rPr>
        <w:t xml:space="preserve">e do novih </w:t>
      </w:r>
      <w:r w:rsidR="00950472" w:rsidRPr="0052438A">
        <w:rPr>
          <w:rFonts w:ascii="Times New Roman" w:hAnsi="Times New Roman" w:cs="Times New Roman"/>
          <w:sz w:val="24"/>
          <w:szCs w:val="24"/>
        </w:rPr>
        <w:t>izmjena u projektu (izmješta</w:t>
      </w:r>
      <w:r w:rsidR="00685BB0" w:rsidRPr="0052438A">
        <w:rPr>
          <w:rFonts w:ascii="Times New Roman" w:hAnsi="Times New Roman" w:cs="Times New Roman"/>
          <w:sz w:val="24"/>
          <w:szCs w:val="24"/>
        </w:rPr>
        <w:t>nje pozicija</w:t>
      </w:r>
      <w:r w:rsidR="00950472" w:rsidRPr="0052438A">
        <w:rPr>
          <w:rFonts w:ascii="Times New Roman" w:hAnsi="Times New Roman" w:cs="Times New Roman"/>
          <w:sz w:val="24"/>
          <w:szCs w:val="24"/>
        </w:rPr>
        <w:t xml:space="preserve"> zida na sigurnu liniju iskopa zbog opasanosti od odrona </w:t>
      </w:r>
      <w:r w:rsidR="00685BB0" w:rsidRPr="0052438A">
        <w:rPr>
          <w:rFonts w:ascii="Times New Roman" w:hAnsi="Times New Roman" w:cs="Times New Roman"/>
          <w:sz w:val="24"/>
          <w:szCs w:val="24"/>
        </w:rPr>
        <w:t xml:space="preserve">na državnu cestu D8), </w:t>
      </w:r>
      <w:r w:rsidR="00950472" w:rsidRPr="0052438A">
        <w:rPr>
          <w:rFonts w:ascii="Times New Roman" w:hAnsi="Times New Roman" w:cs="Times New Roman"/>
          <w:sz w:val="24"/>
          <w:szCs w:val="24"/>
        </w:rPr>
        <w:t>novih saznanja o nemogućnosti izgradnje određenih grobnih mjesta sukladno predviđenom DPU-u</w:t>
      </w:r>
      <w:r w:rsidR="00685BB0" w:rsidRPr="0052438A">
        <w:rPr>
          <w:rFonts w:ascii="Times New Roman" w:hAnsi="Times New Roman" w:cs="Times New Roman"/>
          <w:sz w:val="24"/>
          <w:szCs w:val="24"/>
        </w:rPr>
        <w:t>, te potrebe za izmjenom hortikulturnog rješenja biblijskog vrta s ciljem znatnih ušteda u izvedbi i kasnijem održavanju</w:t>
      </w:r>
      <w:r w:rsidR="002A2DB3" w:rsidRPr="0052438A">
        <w:rPr>
          <w:rFonts w:ascii="Times New Roman" w:hAnsi="Times New Roman" w:cs="Times New Roman"/>
          <w:sz w:val="24"/>
          <w:szCs w:val="24"/>
        </w:rPr>
        <w:t xml:space="preserve"> istog</w:t>
      </w:r>
      <w:r w:rsidR="00507593" w:rsidRPr="0052438A">
        <w:rPr>
          <w:rFonts w:ascii="Times New Roman" w:hAnsi="Times New Roman" w:cs="Times New Roman"/>
          <w:sz w:val="24"/>
          <w:szCs w:val="24"/>
        </w:rPr>
        <w:t>. Stoga j</w:t>
      </w:r>
      <w:r w:rsidR="00950472" w:rsidRPr="0052438A">
        <w:rPr>
          <w:rFonts w:ascii="Times New Roman" w:hAnsi="Times New Roman" w:cs="Times New Roman"/>
          <w:sz w:val="24"/>
          <w:szCs w:val="24"/>
        </w:rPr>
        <w:t xml:space="preserve">e </w:t>
      </w:r>
      <w:r w:rsidR="00507593" w:rsidRPr="0052438A">
        <w:rPr>
          <w:rFonts w:ascii="Times New Roman" w:hAnsi="Times New Roman" w:cs="Times New Roman"/>
          <w:sz w:val="24"/>
          <w:szCs w:val="24"/>
        </w:rPr>
        <w:t xml:space="preserve">Općina Župa dubrovačka </w:t>
      </w:r>
      <w:r w:rsidR="00950472" w:rsidRPr="0052438A">
        <w:rPr>
          <w:rFonts w:ascii="Times New Roman" w:hAnsi="Times New Roman" w:cs="Times New Roman"/>
          <w:sz w:val="24"/>
          <w:szCs w:val="24"/>
        </w:rPr>
        <w:t>početkom 201</w:t>
      </w:r>
      <w:r w:rsidR="00507593" w:rsidRPr="0052438A">
        <w:rPr>
          <w:rFonts w:ascii="Times New Roman" w:hAnsi="Times New Roman" w:cs="Times New Roman"/>
          <w:sz w:val="24"/>
          <w:szCs w:val="24"/>
        </w:rPr>
        <w:t>7. godine pokrenula postupak izrade</w:t>
      </w:r>
      <w:r w:rsidR="00950472" w:rsidRPr="0052438A">
        <w:rPr>
          <w:rFonts w:ascii="Times New Roman" w:hAnsi="Times New Roman" w:cs="Times New Roman"/>
          <w:sz w:val="24"/>
          <w:szCs w:val="24"/>
        </w:rPr>
        <w:t xml:space="preserve"> novih izmjena DPU-a </w:t>
      </w:r>
      <w:r w:rsidR="00507593" w:rsidRPr="0052438A">
        <w:rPr>
          <w:rFonts w:ascii="Times New Roman" w:hAnsi="Times New Roman" w:cs="Times New Roman"/>
          <w:sz w:val="24"/>
          <w:szCs w:val="24"/>
        </w:rPr>
        <w:t>„</w:t>
      </w:r>
      <w:r w:rsidR="00950472" w:rsidRPr="0052438A">
        <w:rPr>
          <w:rFonts w:ascii="Times New Roman" w:hAnsi="Times New Roman" w:cs="Times New Roman"/>
          <w:sz w:val="24"/>
          <w:szCs w:val="24"/>
        </w:rPr>
        <w:t>Groblje</w:t>
      </w:r>
      <w:r w:rsidR="00507593" w:rsidRPr="0052438A">
        <w:rPr>
          <w:rFonts w:ascii="Times New Roman" w:hAnsi="Times New Roman" w:cs="Times New Roman"/>
          <w:sz w:val="24"/>
          <w:szCs w:val="24"/>
        </w:rPr>
        <w:t>“</w:t>
      </w:r>
      <w:r w:rsidR="00950472" w:rsidRPr="0052438A">
        <w:rPr>
          <w:rFonts w:ascii="Times New Roman" w:hAnsi="Times New Roman" w:cs="Times New Roman"/>
          <w:sz w:val="24"/>
          <w:szCs w:val="24"/>
        </w:rPr>
        <w:t>, kojima će se osim navedenih izmjena u projektu, promijeniti i faznost izgradnje, oblik i broj građevinskih čestica</w:t>
      </w:r>
      <w:r w:rsidR="00431B42" w:rsidRPr="0052438A">
        <w:rPr>
          <w:rFonts w:ascii="Times New Roman" w:hAnsi="Times New Roman" w:cs="Times New Roman"/>
          <w:sz w:val="24"/>
          <w:szCs w:val="24"/>
        </w:rPr>
        <w:t>,</w:t>
      </w:r>
      <w:r w:rsidR="00226211" w:rsidRPr="0052438A">
        <w:rPr>
          <w:rFonts w:ascii="Times New Roman" w:hAnsi="Times New Roman" w:cs="Times New Roman"/>
          <w:sz w:val="24"/>
          <w:szCs w:val="24"/>
        </w:rPr>
        <w:t xml:space="preserve"> definirati površine za izgradnju grobnica kao jedinstvene markice unutar zadanih okvira, definirati nova hortikulturna rješenja, t</w:t>
      </w:r>
      <w:r w:rsidR="00431B42" w:rsidRPr="0052438A">
        <w:rPr>
          <w:rFonts w:ascii="Times New Roman" w:hAnsi="Times New Roman" w:cs="Times New Roman"/>
          <w:sz w:val="24"/>
          <w:szCs w:val="24"/>
        </w:rPr>
        <w:t>e će se iz prve</w:t>
      </w:r>
      <w:r w:rsidR="00950472" w:rsidRPr="0052438A">
        <w:rPr>
          <w:rFonts w:ascii="Times New Roman" w:hAnsi="Times New Roman" w:cs="Times New Roman"/>
          <w:sz w:val="24"/>
          <w:szCs w:val="24"/>
        </w:rPr>
        <w:t xml:space="preserve"> fa</w:t>
      </w:r>
      <w:r w:rsidR="00431B42" w:rsidRPr="0052438A">
        <w:rPr>
          <w:rFonts w:ascii="Times New Roman" w:hAnsi="Times New Roman" w:cs="Times New Roman"/>
          <w:sz w:val="24"/>
          <w:szCs w:val="24"/>
        </w:rPr>
        <w:t xml:space="preserve">ze izbaciti točno definirani broj </w:t>
      </w:r>
      <w:r w:rsidR="00685BB0" w:rsidRPr="0052438A">
        <w:rPr>
          <w:rFonts w:ascii="Times New Roman" w:hAnsi="Times New Roman" w:cs="Times New Roman"/>
          <w:sz w:val="24"/>
          <w:szCs w:val="24"/>
        </w:rPr>
        <w:t xml:space="preserve">od 1585 </w:t>
      </w:r>
      <w:r w:rsidR="00431B42" w:rsidRPr="0052438A">
        <w:rPr>
          <w:rFonts w:ascii="Times New Roman" w:hAnsi="Times New Roman" w:cs="Times New Roman"/>
          <w:sz w:val="24"/>
          <w:szCs w:val="24"/>
        </w:rPr>
        <w:t xml:space="preserve">grobnih mjesta. Naime, trenutno u evidenciji imamo oko 1800 zahtjeva građana za </w:t>
      </w:r>
      <w:r w:rsidR="00431B42" w:rsidRPr="0052438A">
        <w:rPr>
          <w:rFonts w:ascii="Times New Roman" w:hAnsi="Times New Roman" w:cs="Times New Roman"/>
          <w:sz w:val="24"/>
          <w:szCs w:val="24"/>
        </w:rPr>
        <w:lastRenderedPageBreak/>
        <w:t xml:space="preserve">kupnju prava korištenja grobnog mjesta. U trenutku poziva građanima na plaćanje grobnih mjesta, budući se prije </w:t>
      </w:r>
      <w:r w:rsidR="000B4B3D" w:rsidRPr="0052438A">
        <w:rPr>
          <w:rFonts w:ascii="Times New Roman" w:hAnsi="Times New Roman" w:cs="Times New Roman"/>
          <w:sz w:val="24"/>
          <w:szCs w:val="24"/>
        </w:rPr>
        <w:t xml:space="preserve">ugovaranja </w:t>
      </w:r>
      <w:r w:rsidR="00431B42" w:rsidRPr="0052438A">
        <w:rPr>
          <w:rFonts w:ascii="Times New Roman" w:hAnsi="Times New Roman" w:cs="Times New Roman"/>
          <w:sz w:val="24"/>
          <w:szCs w:val="24"/>
        </w:rPr>
        <w:t>izgradnje grobnica mo</w:t>
      </w:r>
      <w:r w:rsidR="00903E2B">
        <w:rPr>
          <w:rFonts w:ascii="Times New Roman" w:hAnsi="Times New Roman" w:cs="Times New Roman"/>
          <w:sz w:val="24"/>
          <w:szCs w:val="24"/>
        </w:rPr>
        <w:t>raju osigurati sredstva,</w:t>
      </w:r>
      <w:r w:rsidR="00431B42" w:rsidRPr="0052438A">
        <w:rPr>
          <w:rFonts w:ascii="Times New Roman" w:hAnsi="Times New Roman" w:cs="Times New Roman"/>
          <w:sz w:val="24"/>
          <w:szCs w:val="24"/>
        </w:rPr>
        <w:t xml:space="preserve"> </w:t>
      </w:r>
      <w:r w:rsidR="002A2DB3" w:rsidRPr="0052438A">
        <w:rPr>
          <w:rFonts w:ascii="Times New Roman" w:hAnsi="Times New Roman" w:cs="Times New Roman"/>
          <w:sz w:val="24"/>
          <w:szCs w:val="24"/>
        </w:rPr>
        <w:t xml:space="preserve">prema iskustvima ostalih </w:t>
      </w:r>
      <w:r w:rsidR="00E93805">
        <w:rPr>
          <w:rFonts w:ascii="Times New Roman" w:hAnsi="Times New Roman" w:cs="Times New Roman"/>
          <w:sz w:val="24"/>
          <w:szCs w:val="24"/>
        </w:rPr>
        <w:t xml:space="preserve">uprava </w:t>
      </w:r>
      <w:r w:rsidR="002A2DB3" w:rsidRPr="0052438A">
        <w:rPr>
          <w:rFonts w:ascii="Times New Roman" w:hAnsi="Times New Roman" w:cs="Times New Roman"/>
          <w:sz w:val="24"/>
          <w:szCs w:val="24"/>
        </w:rPr>
        <w:t xml:space="preserve">velikih groblja u Republici Hrvatskoj, </w:t>
      </w:r>
      <w:r w:rsidR="00903E2B">
        <w:rPr>
          <w:rFonts w:ascii="Times New Roman" w:hAnsi="Times New Roman" w:cs="Times New Roman"/>
          <w:sz w:val="24"/>
          <w:szCs w:val="24"/>
        </w:rPr>
        <w:t xml:space="preserve">postoji </w:t>
      </w:r>
      <w:r w:rsidR="00431B42" w:rsidRPr="0052438A">
        <w:rPr>
          <w:rFonts w:ascii="Times New Roman" w:hAnsi="Times New Roman" w:cs="Times New Roman"/>
          <w:sz w:val="24"/>
          <w:szCs w:val="24"/>
        </w:rPr>
        <w:t xml:space="preserve">velika vjerojatnost da će uplatu izvršiti značajno manji broj građana </w:t>
      </w:r>
      <w:r w:rsidR="000B4B3D" w:rsidRPr="0052438A">
        <w:rPr>
          <w:rFonts w:ascii="Times New Roman" w:hAnsi="Times New Roman" w:cs="Times New Roman"/>
          <w:sz w:val="24"/>
          <w:szCs w:val="24"/>
        </w:rPr>
        <w:t>od evidentiranih. U</w:t>
      </w:r>
      <w:r w:rsidR="00431B42" w:rsidRPr="0052438A">
        <w:rPr>
          <w:rFonts w:ascii="Times New Roman" w:hAnsi="Times New Roman" w:cs="Times New Roman"/>
          <w:sz w:val="24"/>
          <w:szCs w:val="24"/>
        </w:rPr>
        <w:t xml:space="preserve">koliko bi </w:t>
      </w:r>
      <w:r w:rsidR="000B4B3D" w:rsidRPr="0052438A">
        <w:rPr>
          <w:rFonts w:ascii="Times New Roman" w:hAnsi="Times New Roman" w:cs="Times New Roman"/>
          <w:sz w:val="24"/>
          <w:szCs w:val="24"/>
        </w:rPr>
        <w:t xml:space="preserve">u planu </w:t>
      </w:r>
      <w:r w:rsidR="00431B42" w:rsidRPr="0052438A">
        <w:rPr>
          <w:rFonts w:ascii="Times New Roman" w:hAnsi="Times New Roman" w:cs="Times New Roman"/>
          <w:sz w:val="24"/>
          <w:szCs w:val="24"/>
        </w:rPr>
        <w:t>zadržali obvez</w:t>
      </w:r>
      <w:r w:rsidR="000B4B3D" w:rsidRPr="0052438A">
        <w:rPr>
          <w:rFonts w:ascii="Times New Roman" w:hAnsi="Times New Roman" w:cs="Times New Roman"/>
          <w:sz w:val="24"/>
          <w:szCs w:val="24"/>
        </w:rPr>
        <w:t>u izgradnje točno</w:t>
      </w:r>
      <w:r w:rsidR="00431B42" w:rsidRPr="0052438A">
        <w:rPr>
          <w:rFonts w:ascii="Times New Roman" w:hAnsi="Times New Roman" w:cs="Times New Roman"/>
          <w:sz w:val="24"/>
          <w:szCs w:val="24"/>
        </w:rPr>
        <w:t xml:space="preserve"> 1585 grobova</w:t>
      </w:r>
      <w:r w:rsidR="000B4B3D" w:rsidRPr="0052438A">
        <w:rPr>
          <w:rFonts w:ascii="Times New Roman" w:hAnsi="Times New Roman" w:cs="Times New Roman"/>
          <w:sz w:val="24"/>
          <w:szCs w:val="24"/>
        </w:rPr>
        <w:t>, a uplate građana izostanu</w:t>
      </w:r>
      <w:r w:rsidR="00685BB0" w:rsidRPr="0052438A">
        <w:rPr>
          <w:rFonts w:ascii="Times New Roman" w:hAnsi="Times New Roman" w:cs="Times New Roman"/>
          <w:sz w:val="24"/>
          <w:szCs w:val="24"/>
        </w:rPr>
        <w:t xml:space="preserve"> u tom broju</w:t>
      </w:r>
      <w:r w:rsidR="000B4B3D" w:rsidRPr="0052438A">
        <w:rPr>
          <w:rFonts w:ascii="Times New Roman" w:hAnsi="Times New Roman" w:cs="Times New Roman"/>
          <w:sz w:val="24"/>
          <w:szCs w:val="24"/>
        </w:rPr>
        <w:t xml:space="preserve">, </w:t>
      </w:r>
      <w:r w:rsidR="00431B42" w:rsidRPr="0052438A">
        <w:rPr>
          <w:rFonts w:ascii="Times New Roman" w:hAnsi="Times New Roman" w:cs="Times New Roman"/>
          <w:sz w:val="24"/>
          <w:szCs w:val="24"/>
        </w:rPr>
        <w:t xml:space="preserve"> značajno </w:t>
      </w:r>
      <w:r w:rsidR="000B4B3D" w:rsidRPr="0052438A">
        <w:rPr>
          <w:rFonts w:ascii="Times New Roman" w:hAnsi="Times New Roman" w:cs="Times New Roman"/>
          <w:sz w:val="24"/>
          <w:szCs w:val="24"/>
        </w:rPr>
        <w:t xml:space="preserve">bi </w:t>
      </w:r>
      <w:r w:rsidR="00431B42" w:rsidRPr="0052438A">
        <w:rPr>
          <w:rFonts w:ascii="Times New Roman" w:hAnsi="Times New Roman" w:cs="Times New Roman"/>
          <w:sz w:val="24"/>
          <w:szCs w:val="24"/>
        </w:rPr>
        <w:t>opteretili proračun Grada Dubrovnika i Općine Župa dubrovačka jer bi iste morali izgradit</w:t>
      </w:r>
      <w:r w:rsidR="000B4B3D" w:rsidRPr="0052438A">
        <w:rPr>
          <w:rFonts w:ascii="Times New Roman" w:hAnsi="Times New Roman" w:cs="Times New Roman"/>
          <w:sz w:val="24"/>
          <w:szCs w:val="24"/>
        </w:rPr>
        <w:t xml:space="preserve">i </w:t>
      </w:r>
      <w:r w:rsidR="00685BB0" w:rsidRPr="0052438A">
        <w:rPr>
          <w:rFonts w:ascii="Times New Roman" w:hAnsi="Times New Roman" w:cs="Times New Roman"/>
          <w:sz w:val="24"/>
          <w:szCs w:val="24"/>
        </w:rPr>
        <w:t>zbog uporabne dozvole i početka korištenja groblja</w:t>
      </w:r>
      <w:r w:rsidR="000B4B3D" w:rsidRPr="0052438A">
        <w:rPr>
          <w:rFonts w:ascii="Times New Roman" w:hAnsi="Times New Roman" w:cs="Times New Roman"/>
          <w:sz w:val="24"/>
          <w:szCs w:val="24"/>
        </w:rPr>
        <w:t>. Izmjenama DPU-a bi se također promijenio broj i oblik građevinskih čestica, kako dijelovi zemljišta koji još nisu otkupljeni ne bi onemogućili formiranje građevinskih čestica, a time i realizaciju projekta sukladno predviđenim etapama.</w:t>
      </w:r>
      <w:r w:rsidR="00A74136">
        <w:rPr>
          <w:rFonts w:ascii="Times New Roman" w:hAnsi="Times New Roman" w:cs="Times New Roman"/>
          <w:sz w:val="24"/>
          <w:szCs w:val="24"/>
        </w:rPr>
        <w:t xml:space="preserve"> Također je z</w:t>
      </w:r>
      <w:r w:rsidR="00A74136" w:rsidRPr="00A74136">
        <w:rPr>
          <w:rFonts w:ascii="Times New Roman" w:eastAsia="Calibri" w:hAnsi="Times New Roman"/>
          <w:noProof/>
          <w:sz w:val="24"/>
          <w:szCs w:val="24"/>
        </w:rPr>
        <w:t>bog izuzetno zahtjevnih vremenskih uvjeta (velika izloženost suncu i ekstremni udari vjetra), te velikih troškova u izvođenju i održavanju, potrebno redefinirati hortikulturna rješenja na obuhvatu čitavog kompleksa groblja s posebnim osvrtom na projektno rješenje tzv. Biblijskog vrta.</w:t>
      </w:r>
    </w:p>
    <w:p w:rsidR="00685BB0" w:rsidRPr="0052438A" w:rsidRDefault="001B5E84"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Novim i</w:t>
      </w:r>
      <w:r w:rsidR="00685BB0" w:rsidRPr="0052438A">
        <w:rPr>
          <w:rFonts w:ascii="Times New Roman" w:hAnsi="Times New Roman" w:cs="Times New Roman"/>
          <w:sz w:val="24"/>
          <w:szCs w:val="24"/>
        </w:rPr>
        <w:t xml:space="preserve">zmjenama DPU-a predviđaju se </w:t>
      </w:r>
      <w:r w:rsidR="00BE2261">
        <w:rPr>
          <w:rFonts w:ascii="Times New Roman" w:hAnsi="Times New Roman" w:cs="Times New Roman"/>
          <w:sz w:val="24"/>
          <w:szCs w:val="24"/>
        </w:rPr>
        <w:t>tr</w:t>
      </w:r>
      <w:r w:rsidR="00FB4FB9" w:rsidRPr="0052438A">
        <w:rPr>
          <w:rFonts w:ascii="Times New Roman" w:hAnsi="Times New Roman" w:cs="Times New Roman"/>
          <w:sz w:val="24"/>
          <w:szCs w:val="24"/>
        </w:rPr>
        <w:t>i</w:t>
      </w:r>
      <w:r w:rsidR="00685BB0" w:rsidRPr="0052438A">
        <w:rPr>
          <w:rFonts w:ascii="Times New Roman" w:hAnsi="Times New Roman" w:cs="Times New Roman"/>
          <w:sz w:val="24"/>
          <w:szCs w:val="24"/>
        </w:rPr>
        <w:t xml:space="preserve"> etape. Prva etapa bi obuhvatila izgradnju svih prometnica s parkiralištima unutar obuhvata groblja</w:t>
      </w:r>
      <w:r w:rsidR="00BE2261">
        <w:rPr>
          <w:rFonts w:ascii="Times New Roman" w:hAnsi="Times New Roman" w:cs="Times New Roman"/>
          <w:sz w:val="24"/>
          <w:szCs w:val="24"/>
        </w:rPr>
        <w:t xml:space="preserve"> i</w:t>
      </w:r>
      <w:r w:rsidR="00685BB0" w:rsidRPr="0052438A">
        <w:rPr>
          <w:rFonts w:ascii="Times New Roman" w:hAnsi="Times New Roman" w:cs="Times New Roman"/>
          <w:sz w:val="24"/>
          <w:szCs w:val="24"/>
        </w:rPr>
        <w:t xml:space="preserve"> izgradnju trafostanice. </w:t>
      </w:r>
      <w:r w:rsidR="00BE2261">
        <w:rPr>
          <w:rFonts w:ascii="Times New Roman" w:hAnsi="Times New Roman" w:cs="Times New Roman"/>
          <w:sz w:val="24"/>
          <w:szCs w:val="24"/>
        </w:rPr>
        <w:t>Druga</w:t>
      </w:r>
      <w:r w:rsidR="00685BB0" w:rsidRPr="0052438A">
        <w:rPr>
          <w:rFonts w:ascii="Times New Roman" w:hAnsi="Times New Roman" w:cs="Times New Roman"/>
          <w:sz w:val="24"/>
          <w:szCs w:val="24"/>
        </w:rPr>
        <w:t xml:space="preserve"> etapa bi obuhvatila izgradnju svih objekata na obuhvatu groblja (poslovni dio, dvorane za ispraćaj, kapelice, paviljoni, sanitarni čvorovi</w:t>
      </w:r>
      <w:r w:rsidR="00A74136">
        <w:rPr>
          <w:rFonts w:ascii="Times New Roman" w:hAnsi="Times New Roman" w:cs="Times New Roman"/>
          <w:sz w:val="24"/>
          <w:szCs w:val="24"/>
        </w:rPr>
        <w:t>, te grobna polja</w:t>
      </w:r>
      <w:r w:rsidR="00685BB0" w:rsidRPr="0052438A">
        <w:rPr>
          <w:rFonts w:ascii="Times New Roman" w:hAnsi="Times New Roman" w:cs="Times New Roman"/>
          <w:sz w:val="24"/>
          <w:szCs w:val="24"/>
        </w:rPr>
        <w:t xml:space="preserve">). </w:t>
      </w:r>
      <w:r w:rsidR="00BE2261">
        <w:rPr>
          <w:rFonts w:ascii="Times New Roman" w:hAnsi="Times New Roman" w:cs="Times New Roman"/>
          <w:sz w:val="24"/>
          <w:szCs w:val="24"/>
        </w:rPr>
        <w:t>Druga</w:t>
      </w:r>
      <w:r w:rsidR="00685BB0" w:rsidRPr="0052438A">
        <w:rPr>
          <w:rFonts w:ascii="Times New Roman" w:hAnsi="Times New Roman" w:cs="Times New Roman"/>
          <w:sz w:val="24"/>
          <w:szCs w:val="24"/>
        </w:rPr>
        <w:t xml:space="preserve"> etapa bi imala</w:t>
      </w:r>
      <w:r w:rsidR="00BE2261">
        <w:rPr>
          <w:rFonts w:ascii="Times New Roman" w:hAnsi="Times New Roman" w:cs="Times New Roman"/>
          <w:sz w:val="24"/>
          <w:szCs w:val="24"/>
        </w:rPr>
        <w:t xml:space="preserve"> više</w:t>
      </w:r>
      <w:r w:rsidR="002A2DB3" w:rsidRPr="0052438A">
        <w:rPr>
          <w:rFonts w:ascii="Times New Roman" w:hAnsi="Times New Roman" w:cs="Times New Roman"/>
          <w:sz w:val="24"/>
          <w:szCs w:val="24"/>
        </w:rPr>
        <w:t xml:space="preserve"> faz</w:t>
      </w:r>
      <w:r w:rsidR="00BE2261">
        <w:rPr>
          <w:rFonts w:ascii="Times New Roman" w:hAnsi="Times New Roman" w:cs="Times New Roman"/>
          <w:sz w:val="24"/>
          <w:szCs w:val="24"/>
        </w:rPr>
        <w:t>a</w:t>
      </w:r>
      <w:r w:rsidR="002A2DB3" w:rsidRPr="0052438A">
        <w:rPr>
          <w:rFonts w:ascii="Times New Roman" w:hAnsi="Times New Roman" w:cs="Times New Roman"/>
          <w:sz w:val="24"/>
          <w:szCs w:val="24"/>
        </w:rPr>
        <w:t xml:space="preserve"> izgradnje, a fazna realizacija bi ovisila o potrebama tržišta za proširenjem groblja. Izgradnja </w:t>
      </w:r>
      <w:r w:rsidR="00A74136">
        <w:rPr>
          <w:rFonts w:ascii="Times New Roman" w:hAnsi="Times New Roman" w:cs="Times New Roman"/>
          <w:sz w:val="24"/>
          <w:szCs w:val="24"/>
        </w:rPr>
        <w:t xml:space="preserve">pojedinačnih </w:t>
      </w:r>
      <w:r w:rsidR="002A2DB3" w:rsidRPr="0052438A">
        <w:rPr>
          <w:rFonts w:ascii="Times New Roman" w:hAnsi="Times New Roman" w:cs="Times New Roman"/>
          <w:sz w:val="24"/>
          <w:szCs w:val="24"/>
        </w:rPr>
        <w:t xml:space="preserve">grobnica ovim izmjenama ne bi bila obuhvaćena etapama, niti bi se određivao njihov broj, već bi se isto gradilo sukladno </w:t>
      </w:r>
      <w:r w:rsidR="00FB4FB9" w:rsidRPr="0052438A">
        <w:rPr>
          <w:rFonts w:ascii="Times New Roman" w:hAnsi="Times New Roman" w:cs="Times New Roman"/>
          <w:sz w:val="24"/>
          <w:szCs w:val="24"/>
        </w:rPr>
        <w:t xml:space="preserve">glavnom projektu i </w:t>
      </w:r>
      <w:r w:rsidR="002A2DB3" w:rsidRPr="0052438A">
        <w:rPr>
          <w:rFonts w:ascii="Times New Roman" w:hAnsi="Times New Roman" w:cs="Times New Roman"/>
          <w:sz w:val="24"/>
          <w:szCs w:val="24"/>
        </w:rPr>
        <w:t>Pravilniku o jednostavnim</w:t>
      </w:r>
      <w:r w:rsidR="00EF563A" w:rsidRPr="0052438A">
        <w:rPr>
          <w:rFonts w:ascii="Times New Roman" w:hAnsi="Times New Roman" w:cs="Times New Roman"/>
          <w:sz w:val="24"/>
          <w:szCs w:val="24"/>
        </w:rPr>
        <w:t xml:space="preserve"> i drugim</w:t>
      </w:r>
      <w:r w:rsidR="002A2DB3" w:rsidRPr="0052438A">
        <w:rPr>
          <w:rFonts w:ascii="Times New Roman" w:hAnsi="Times New Roman" w:cs="Times New Roman"/>
          <w:sz w:val="24"/>
          <w:szCs w:val="24"/>
        </w:rPr>
        <w:t xml:space="preserve"> građevinama</w:t>
      </w:r>
      <w:r w:rsidR="00EF563A" w:rsidRPr="0052438A">
        <w:rPr>
          <w:rFonts w:ascii="Times New Roman" w:hAnsi="Times New Roman" w:cs="Times New Roman"/>
          <w:sz w:val="24"/>
          <w:szCs w:val="24"/>
        </w:rPr>
        <w:t xml:space="preserve"> i radovima</w:t>
      </w:r>
      <w:r w:rsidR="002A2DB3" w:rsidRPr="0052438A">
        <w:rPr>
          <w:rFonts w:ascii="Times New Roman" w:hAnsi="Times New Roman" w:cs="Times New Roman"/>
          <w:sz w:val="24"/>
          <w:szCs w:val="24"/>
        </w:rPr>
        <w:t>, a sve prema potrebama tržišta.</w:t>
      </w:r>
      <w:r w:rsidR="00A74136">
        <w:rPr>
          <w:rFonts w:ascii="Times New Roman" w:hAnsi="Times New Roman" w:cs="Times New Roman"/>
          <w:sz w:val="24"/>
          <w:szCs w:val="24"/>
        </w:rPr>
        <w:t xml:space="preserve"> Realizacija treće etape će ovisiti o potrebama stanovništva za grobnim mjestima u budućem razdoblju.</w:t>
      </w:r>
      <w:r w:rsidR="002A2DB3" w:rsidRPr="0052438A">
        <w:rPr>
          <w:rFonts w:ascii="Times New Roman" w:hAnsi="Times New Roman" w:cs="Times New Roman"/>
          <w:sz w:val="24"/>
          <w:szCs w:val="24"/>
        </w:rPr>
        <w:t xml:space="preserve"> </w:t>
      </w:r>
    </w:p>
    <w:p w:rsidR="002A2DB3" w:rsidRDefault="00FB4FB9"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Izmjene DPU-a su u završnoj fazi izrade, </w:t>
      </w:r>
      <w:r w:rsidR="00BE2261">
        <w:rPr>
          <w:rFonts w:ascii="Times New Roman" w:hAnsi="Times New Roman" w:cs="Times New Roman"/>
          <w:sz w:val="24"/>
          <w:szCs w:val="24"/>
        </w:rPr>
        <w:t xml:space="preserve">proveden je </w:t>
      </w:r>
      <w:r w:rsidRPr="0052438A">
        <w:rPr>
          <w:rFonts w:ascii="Times New Roman" w:hAnsi="Times New Roman" w:cs="Times New Roman"/>
          <w:sz w:val="24"/>
          <w:szCs w:val="24"/>
        </w:rPr>
        <w:t xml:space="preserve">postupak javne rasprave i </w:t>
      </w:r>
      <w:r w:rsidR="00BE2261">
        <w:rPr>
          <w:rFonts w:ascii="Times New Roman" w:hAnsi="Times New Roman" w:cs="Times New Roman"/>
          <w:sz w:val="24"/>
          <w:szCs w:val="24"/>
        </w:rPr>
        <w:t xml:space="preserve">trenutno se radi na izradi konačnog prijedloga plana nakon kojega će uslijediti </w:t>
      </w:r>
      <w:r w:rsidRPr="0052438A">
        <w:rPr>
          <w:rFonts w:ascii="Times New Roman" w:hAnsi="Times New Roman" w:cs="Times New Roman"/>
          <w:sz w:val="24"/>
          <w:szCs w:val="24"/>
        </w:rPr>
        <w:t>usvajanja ist</w:t>
      </w:r>
      <w:r w:rsidR="00BE2261">
        <w:rPr>
          <w:rFonts w:ascii="Times New Roman" w:hAnsi="Times New Roman" w:cs="Times New Roman"/>
          <w:sz w:val="24"/>
          <w:szCs w:val="24"/>
        </w:rPr>
        <w:t>og</w:t>
      </w:r>
      <w:r w:rsidRPr="0052438A">
        <w:rPr>
          <w:rFonts w:ascii="Times New Roman" w:hAnsi="Times New Roman" w:cs="Times New Roman"/>
          <w:sz w:val="24"/>
          <w:szCs w:val="24"/>
        </w:rPr>
        <w:t xml:space="preserve">. Temeljem usvojenih izmjena DPU-a, očekujemo ishođenje lokacijske dozvole za čitavi obuhvat groblja </w:t>
      </w:r>
      <w:r w:rsidR="00BE2261">
        <w:rPr>
          <w:rFonts w:ascii="Times New Roman" w:hAnsi="Times New Roman" w:cs="Times New Roman"/>
          <w:sz w:val="24"/>
          <w:szCs w:val="24"/>
        </w:rPr>
        <w:t>polovicom</w:t>
      </w:r>
      <w:r w:rsidRPr="0052438A">
        <w:rPr>
          <w:rFonts w:ascii="Times New Roman" w:hAnsi="Times New Roman" w:cs="Times New Roman"/>
          <w:sz w:val="24"/>
          <w:szCs w:val="24"/>
        </w:rPr>
        <w:t xml:space="preserve"> 2018. godine, a nakon toga i građevinske dozvole za prvu etapu. Očekivani početak izgradnje prve etape je </w:t>
      </w:r>
      <w:r w:rsidR="00BE2261">
        <w:rPr>
          <w:rFonts w:ascii="Times New Roman" w:hAnsi="Times New Roman" w:cs="Times New Roman"/>
          <w:sz w:val="24"/>
          <w:szCs w:val="24"/>
        </w:rPr>
        <w:t>početkom 2019. godine.</w:t>
      </w:r>
    </w:p>
    <w:p w:rsidR="00730240" w:rsidRDefault="00730240" w:rsidP="00EC7E60">
      <w:pPr>
        <w:ind w:firstLine="708"/>
        <w:jc w:val="both"/>
        <w:rPr>
          <w:rFonts w:ascii="Times New Roman" w:hAnsi="Times New Roman" w:cs="Times New Roman"/>
          <w:sz w:val="24"/>
          <w:szCs w:val="24"/>
        </w:rPr>
      </w:pPr>
    </w:p>
    <w:p w:rsidR="00796D80" w:rsidRDefault="00796D80" w:rsidP="00796D80">
      <w:pPr>
        <w:pStyle w:val="ListParagraph"/>
        <w:ind w:left="1068"/>
        <w:jc w:val="both"/>
        <w:rPr>
          <w:rFonts w:ascii="Times New Roman" w:hAnsi="Times New Roman" w:cs="Times New Roman"/>
          <w:sz w:val="24"/>
          <w:szCs w:val="24"/>
        </w:rPr>
      </w:pPr>
    </w:p>
    <w:p w:rsidR="00796D80" w:rsidRPr="00796D80" w:rsidRDefault="00796D80" w:rsidP="00796D80">
      <w:pPr>
        <w:pStyle w:val="ListParagraph"/>
        <w:numPr>
          <w:ilvl w:val="0"/>
          <w:numId w:val="2"/>
        </w:numPr>
        <w:jc w:val="both"/>
        <w:rPr>
          <w:rFonts w:ascii="Times New Roman" w:hAnsi="Times New Roman" w:cs="Times New Roman"/>
          <w:b/>
          <w:sz w:val="24"/>
          <w:szCs w:val="24"/>
          <w:u w:val="single"/>
        </w:rPr>
      </w:pPr>
      <w:r w:rsidRPr="00796D80">
        <w:rPr>
          <w:rFonts w:ascii="Times New Roman" w:hAnsi="Times New Roman" w:cs="Times New Roman"/>
          <w:b/>
          <w:sz w:val="24"/>
          <w:szCs w:val="24"/>
          <w:u w:val="single"/>
        </w:rPr>
        <w:t>AKTIVNOSTI NA IZGRADNJI GROBLJA U 2017. godini</w:t>
      </w:r>
    </w:p>
    <w:p w:rsidR="00730240" w:rsidRDefault="00730240" w:rsidP="00BE2261">
      <w:pPr>
        <w:jc w:val="both"/>
        <w:rPr>
          <w:rFonts w:ascii="Times New Roman" w:hAnsi="Times New Roman" w:cs="Times New Roman"/>
          <w:sz w:val="24"/>
          <w:szCs w:val="24"/>
        </w:rPr>
      </w:pPr>
    </w:p>
    <w:p w:rsidR="00C76876" w:rsidRPr="0052438A" w:rsidRDefault="00BE2261" w:rsidP="00BE2261">
      <w:pPr>
        <w:jc w:val="both"/>
        <w:rPr>
          <w:rFonts w:ascii="Times New Roman" w:hAnsi="Times New Roman" w:cs="Times New Roman"/>
          <w:sz w:val="24"/>
          <w:szCs w:val="24"/>
        </w:rPr>
      </w:pPr>
      <w:r>
        <w:rPr>
          <w:rFonts w:ascii="Times New Roman" w:hAnsi="Times New Roman" w:cs="Times New Roman"/>
          <w:sz w:val="24"/>
          <w:szCs w:val="24"/>
        </w:rPr>
        <w:t>A</w:t>
      </w:r>
      <w:r w:rsidR="00FB4FB9" w:rsidRPr="0052438A">
        <w:rPr>
          <w:rFonts w:ascii="Times New Roman" w:hAnsi="Times New Roman" w:cs="Times New Roman"/>
          <w:sz w:val="24"/>
          <w:szCs w:val="24"/>
        </w:rPr>
        <w:t xml:space="preserve">ktivnosti na izgradnji groblja Dubac </w:t>
      </w:r>
      <w:r>
        <w:rPr>
          <w:rFonts w:ascii="Times New Roman" w:hAnsi="Times New Roman" w:cs="Times New Roman"/>
          <w:sz w:val="24"/>
          <w:szCs w:val="24"/>
        </w:rPr>
        <w:t xml:space="preserve">tijekom 2017. godine </w:t>
      </w:r>
      <w:r w:rsidR="00FB4FB9" w:rsidRPr="0052438A">
        <w:rPr>
          <w:rFonts w:ascii="Times New Roman" w:hAnsi="Times New Roman" w:cs="Times New Roman"/>
          <w:sz w:val="24"/>
          <w:szCs w:val="24"/>
        </w:rPr>
        <w:t>odvija</w:t>
      </w:r>
      <w:r>
        <w:rPr>
          <w:rFonts w:ascii="Times New Roman" w:hAnsi="Times New Roman" w:cs="Times New Roman"/>
          <w:sz w:val="24"/>
          <w:szCs w:val="24"/>
        </w:rPr>
        <w:t>le su se</w:t>
      </w:r>
      <w:r w:rsidR="00FB4FB9" w:rsidRPr="0052438A">
        <w:rPr>
          <w:rFonts w:ascii="Times New Roman" w:hAnsi="Times New Roman" w:cs="Times New Roman"/>
          <w:sz w:val="24"/>
          <w:szCs w:val="24"/>
        </w:rPr>
        <w:t xml:space="preserve"> kroz tri </w:t>
      </w:r>
      <w:r w:rsidR="00C76876" w:rsidRPr="0052438A">
        <w:rPr>
          <w:rFonts w:ascii="Times New Roman" w:hAnsi="Times New Roman" w:cs="Times New Roman"/>
          <w:sz w:val="24"/>
          <w:szCs w:val="24"/>
        </w:rPr>
        <w:t>ugovora s izvođačima radova i to:</w:t>
      </w:r>
    </w:p>
    <w:p w:rsidR="00C76876" w:rsidRPr="0052438A" w:rsidRDefault="00C76876" w:rsidP="00E25C65">
      <w:pPr>
        <w:jc w:val="both"/>
        <w:rPr>
          <w:rFonts w:ascii="Times New Roman" w:hAnsi="Times New Roman" w:cs="Times New Roman"/>
          <w:sz w:val="24"/>
          <w:szCs w:val="24"/>
        </w:rPr>
      </w:pPr>
      <w:r w:rsidRPr="0052438A">
        <w:rPr>
          <w:rFonts w:ascii="Times New Roman" w:hAnsi="Times New Roman" w:cs="Times New Roman"/>
          <w:sz w:val="24"/>
          <w:szCs w:val="24"/>
        </w:rPr>
        <w:t>1. Izgradnja potpornih zidova PZ2 – PZ5 unutar obuhvata groblja</w:t>
      </w:r>
    </w:p>
    <w:p w:rsidR="00C76876" w:rsidRPr="0052438A" w:rsidRDefault="00C76876" w:rsidP="00E25C65">
      <w:pPr>
        <w:jc w:val="both"/>
        <w:rPr>
          <w:rFonts w:ascii="Times New Roman" w:hAnsi="Times New Roman" w:cs="Times New Roman"/>
          <w:sz w:val="24"/>
          <w:szCs w:val="24"/>
        </w:rPr>
      </w:pPr>
      <w:r w:rsidRPr="0052438A">
        <w:rPr>
          <w:rFonts w:ascii="Times New Roman" w:hAnsi="Times New Roman" w:cs="Times New Roman"/>
          <w:sz w:val="24"/>
          <w:szCs w:val="24"/>
        </w:rPr>
        <w:t>2. Izgradnja južnog potpornog zida PZ1 i 2. faze zapad PZ3 – PZ6</w:t>
      </w:r>
    </w:p>
    <w:p w:rsidR="002E175D" w:rsidRDefault="00C76876" w:rsidP="00E25C65">
      <w:pPr>
        <w:jc w:val="both"/>
        <w:rPr>
          <w:rFonts w:ascii="Times New Roman" w:hAnsi="Times New Roman" w:cs="Times New Roman"/>
          <w:sz w:val="24"/>
          <w:szCs w:val="24"/>
        </w:rPr>
      </w:pPr>
      <w:r w:rsidRPr="0052438A">
        <w:rPr>
          <w:rFonts w:ascii="Times New Roman" w:hAnsi="Times New Roman" w:cs="Times New Roman"/>
          <w:sz w:val="24"/>
          <w:szCs w:val="24"/>
        </w:rPr>
        <w:t>3. Izgradnja kolnog pristupa za buduće groblje</w:t>
      </w:r>
      <w:r w:rsidR="000B4B3D" w:rsidRPr="0052438A">
        <w:rPr>
          <w:rFonts w:ascii="Times New Roman" w:hAnsi="Times New Roman" w:cs="Times New Roman"/>
          <w:sz w:val="24"/>
          <w:szCs w:val="24"/>
        </w:rPr>
        <w:t xml:space="preserve"> </w:t>
      </w:r>
      <w:r w:rsidR="00431B42" w:rsidRPr="0052438A">
        <w:rPr>
          <w:rFonts w:ascii="Times New Roman" w:hAnsi="Times New Roman" w:cs="Times New Roman"/>
          <w:sz w:val="24"/>
          <w:szCs w:val="24"/>
        </w:rPr>
        <w:t xml:space="preserve">  </w:t>
      </w:r>
    </w:p>
    <w:p w:rsidR="00730240" w:rsidRDefault="00730240" w:rsidP="00E25C65">
      <w:pPr>
        <w:jc w:val="both"/>
        <w:rPr>
          <w:rFonts w:ascii="Times New Roman" w:hAnsi="Times New Roman" w:cs="Times New Roman"/>
          <w:b/>
          <w:sz w:val="24"/>
          <w:szCs w:val="24"/>
        </w:rPr>
      </w:pPr>
    </w:p>
    <w:p w:rsidR="00F56A67" w:rsidRDefault="00F56A67" w:rsidP="00E25C65">
      <w:pPr>
        <w:jc w:val="both"/>
        <w:rPr>
          <w:rFonts w:ascii="Times New Roman" w:hAnsi="Times New Roman" w:cs="Times New Roman"/>
          <w:b/>
          <w:sz w:val="24"/>
          <w:szCs w:val="24"/>
        </w:rPr>
      </w:pPr>
      <w:r w:rsidRPr="0052438A">
        <w:rPr>
          <w:rFonts w:ascii="Times New Roman" w:hAnsi="Times New Roman" w:cs="Times New Roman"/>
          <w:b/>
          <w:sz w:val="24"/>
          <w:szCs w:val="24"/>
        </w:rPr>
        <w:lastRenderedPageBreak/>
        <w:t>AD-1  Izgradnja potpornih zidova PZ2 – PZ5 unutar obuhvata groblja</w:t>
      </w:r>
    </w:p>
    <w:p w:rsidR="00A541AC" w:rsidRPr="0052438A" w:rsidRDefault="00A541AC" w:rsidP="00E25C65">
      <w:pPr>
        <w:jc w:val="both"/>
        <w:rPr>
          <w:rFonts w:ascii="Times New Roman" w:hAnsi="Times New Roman" w:cs="Times New Roman"/>
          <w:b/>
          <w:sz w:val="24"/>
          <w:szCs w:val="24"/>
        </w:rPr>
      </w:pPr>
    </w:p>
    <w:p w:rsidR="00EA2094" w:rsidRDefault="00C76876"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Glavni i izvedbeni projekt potpornih zidova PZ2 – PZ5</w:t>
      </w:r>
      <w:r w:rsidR="00281AF2" w:rsidRPr="0052438A">
        <w:rPr>
          <w:rFonts w:ascii="Times New Roman" w:hAnsi="Times New Roman" w:cs="Times New Roman"/>
          <w:sz w:val="24"/>
          <w:szCs w:val="24"/>
        </w:rPr>
        <w:t xml:space="preserve"> ugovoren je s društvom Trames C</w:t>
      </w:r>
      <w:r w:rsidRPr="0052438A">
        <w:rPr>
          <w:rFonts w:ascii="Times New Roman" w:hAnsi="Times New Roman" w:cs="Times New Roman"/>
          <w:sz w:val="24"/>
          <w:szCs w:val="24"/>
        </w:rPr>
        <w:t>onsultants</w:t>
      </w:r>
      <w:r w:rsidR="00EA2094" w:rsidRPr="0052438A">
        <w:rPr>
          <w:rFonts w:ascii="Times New Roman" w:hAnsi="Times New Roman" w:cs="Times New Roman"/>
          <w:sz w:val="24"/>
          <w:szCs w:val="24"/>
        </w:rPr>
        <w:t xml:space="preserve"> d.o.o. iz Dubrovnika. Dana </w:t>
      </w:r>
      <w:r w:rsidR="00F56A67" w:rsidRPr="0052438A">
        <w:rPr>
          <w:rFonts w:ascii="Times New Roman" w:hAnsi="Times New Roman" w:cs="Times New Roman"/>
          <w:sz w:val="24"/>
          <w:szCs w:val="24"/>
        </w:rPr>
        <w:t>15</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02</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2016</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g.</w:t>
      </w:r>
      <w:r w:rsidR="00EA2094" w:rsidRPr="0052438A">
        <w:rPr>
          <w:rFonts w:ascii="Times New Roman" w:hAnsi="Times New Roman" w:cs="Times New Roman"/>
          <w:sz w:val="24"/>
          <w:szCs w:val="24"/>
        </w:rPr>
        <w:t xml:space="preserve"> podnesen je zahtjev za izdavanje građevinske dozvole, te je dana </w:t>
      </w:r>
      <w:r w:rsidR="00F56A67" w:rsidRPr="0052438A">
        <w:rPr>
          <w:rFonts w:ascii="Times New Roman" w:hAnsi="Times New Roman" w:cs="Times New Roman"/>
          <w:sz w:val="24"/>
          <w:szCs w:val="24"/>
        </w:rPr>
        <w:t>23</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02</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201</w:t>
      </w:r>
      <w:r w:rsidR="004F66AD">
        <w:rPr>
          <w:rFonts w:ascii="Times New Roman" w:hAnsi="Times New Roman" w:cs="Times New Roman"/>
          <w:sz w:val="24"/>
          <w:szCs w:val="24"/>
        </w:rPr>
        <w:t>6</w:t>
      </w:r>
      <w:r w:rsidR="00F56A67" w:rsidRPr="0052438A">
        <w:rPr>
          <w:rFonts w:ascii="Times New Roman" w:hAnsi="Times New Roman" w:cs="Times New Roman"/>
          <w:sz w:val="24"/>
          <w:szCs w:val="24"/>
        </w:rPr>
        <w:t>.</w:t>
      </w:r>
      <w:r w:rsidR="00EA2094" w:rsidRPr="0052438A">
        <w:rPr>
          <w:rFonts w:ascii="Times New Roman" w:hAnsi="Times New Roman" w:cs="Times New Roman"/>
          <w:sz w:val="24"/>
          <w:szCs w:val="24"/>
        </w:rPr>
        <w:t xml:space="preserve"> doneseno Rješenje u kojem je radove na izgradnji potpornih zidova moguće izvoditi prema Pravilniku o jednostavnim </w:t>
      </w:r>
      <w:r w:rsidR="00F56A67" w:rsidRPr="0052438A">
        <w:rPr>
          <w:rFonts w:ascii="Times New Roman" w:hAnsi="Times New Roman" w:cs="Times New Roman"/>
          <w:sz w:val="24"/>
          <w:szCs w:val="24"/>
        </w:rPr>
        <w:t xml:space="preserve">i drugim </w:t>
      </w:r>
      <w:r w:rsidR="00EA2094" w:rsidRPr="0052438A">
        <w:rPr>
          <w:rFonts w:ascii="Times New Roman" w:hAnsi="Times New Roman" w:cs="Times New Roman"/>
          <w:sz w:val="24"/>
          <w:szCs w:val="24"/>
        </w:rPr>
        <w:t>građevinama</w:t>
      </w:r>
      <w:r w:rsidR="00F56A67" w:rsidRPr="0052438A">
        <w:rPr>
          <w:rFonts w:ascii="Times New Roman" w:hAnsi="Times New Roman" w:cs="Times New Roman"/>
          <w:sz w:val="24"/>
          <w:szCs w:val="24"/>
        </w:rPr>
        <w:t xml:space="preserve"> i radovima (NN br. 79/14 i 41/15)</w:t>
      </w:r>
      <w:r w:rsidR="00EA2094" w:rsidRPr="0052438A">
        <w:rPr>
          <w:rFonts w:ascii="Times New Roman" w:hAnsi="Times New Roman" w:cs="Times New Roman"/>
          <w:sz w:val="24"/>
          <w:szCs w:val="24"/>
        </w:rPr>
        <w:t>, a temeljem glavnog projekta i potvrda na glavni projekt od svih nadležnih javnopravnih tijela. Nakon toga je t</w:t>
      </w:r>
      <w:r w:rsidRPr="0052438A">
        <w:rPr>
          <w:rFonts w:ascii="Times New Roman" w:hAnsi="Times New Roman" w:cs="Times New Roman"/>
          <w:sz w:val="24"/>
          <w:szCs w:val="24"/>
        </w:rPr>
        <w:t>emeljem</w:t>
      </w:r>
      <w:r w:rsidR="00EA2094" w:rsidRPr="0052438A">
        <w:rPr>
          <w:rFonts w:ascii="Times New Roman" w:hAnsi="Times New Roman" w:cs="Times New Roman"/>
          <w:sz w:val="24"/>
          <w:szCs w:val="24"/>
        </w:rPr>
        <w:t xml:space="preserve"> izvedbenog troškovnika</w:t>
      </w:r>
      <w:r w:rsidRPr="0052438A">
        <w:rPr>
          <w:rFonts w:ascii="Times New Roman" w:hAnsi="Times New Roman" w:cs="Times New Roman"/>
          <w:sz w:val="24"/>
          <w:szCs w:val="24"/>
        </w:rPr>
        <w:t xml:space="preserve"> proveden</w:t>
      </w:r>
      <w:r w:rsidR="00EA2094" w:rsidRPr="0052438A">
        <w:rPr>
          <w:rFonts w:ascii="Times New Roman" w:hAnsi="Times New Roman" w:cs="Times New Roman"/>
          <w:sz w:val="24"/>
          <w:szCs w:val="24"/>
        </w:rPr>
        <w:t xml:space="preserve"> </w:t>
      </w:r>
      <w:r w:rsidRPr="0052438A">
        <w:rPr>
          <w:rFonts w:ascii="Times New Roman" w:hAnsi="Times New Roman" w:cs="Times New Roman"/>
          <w:sz w:val="24"/>
          <w:szCs w:val="24"/>
        </w:rPr>
        <w:t xml:space="preserve">postupak javne nabave u kojoj je kao najpovoljniji ponuditelj izabrano društvo </w:t>
      </w:r>
      <w:r w:rsidR="00194510">
        <w:rPr>
          <w:rFonts w:ascii="Times New Roman" w:hAnsi="Times New Roman" w:cs="Times New Roman"/>
          <w:sz w:val="24"/>
          <w:szCs w:val="24"/>
        </w:rPr>
        <w:t xml:space="preserve">Inženjering </w:t>
      </w:r>
      <w:r w:rsidRPr="0052438A">
        <w:rPr>
          <w:rFonts w:ascii="Times New Roman" w:hAnsi="Times New Roman" w:cs="Times New Roman"/>
          <w:sz w:val="24"/>
          <w:szCs w:val="24"/>
        </w:rPr>
        <w:t xml:space="preserve">Georad d.o.o. iz Makarske. Dana 27.06.2016. godine Općina Župa dubrovačka zaključila je </w:t>
      </w:r>
      <w:r w:rsidR="00281AF2" w:rsidRPr="0052438A">
        <w:rPr>
          <w:rFonts w:ascii="Times New Roman" w:hAnsi="Times New Roman" w:cs="Times New Roman"/>
          <w:sz w:val="24"/>
          <w:szCs w:val="24"/>
        </w:rPr>
        <w:t xml:space="preserve">Osnovni </w:t>
      </w:r>
      <w:r w:rsidRPr="0052438A">
        <w:rPr>
          <w:rFonts w:ascii="Times New Roman" w:hAnsi="Times New Roman" w:cs="Times New Roman"/>
          <w:sz w:val="24"/>
          <w:szCs w:val="24"/>
        </w:rPr>
        <w:t xml:space="preserve">Ugovor </w:t>
      </w:r>
      <w:r w:rsidR="00281AF2" w:rsidRPr="0052438A">
        <w:rPr>
          <w:rFonts w:ascii="Times New Roman" w:hAnsi="Times New Roman" w:cs="Times New Roman"/>
          <w:sz w:val="24"/>
          <w:szCs w:val="24"/>
        </w:rPr>
        <w:t>o javnoj nabavi</w:t>
      </w:r>
      <w:r w:rsidRPr="0052438A">
        <w:rPr>
          <w:rFonts w:ascii="Times New Roman" w:hAnsi="Times New Roman" w:cs="Times New Roman"/>
          <w:sz w:val="24"/>
          <w:szCs w:val="24"/>
        </w:rPr>
        <w:t xml:space="preserve"> u ukupnom iznosu od  5.9</w:t>
      </w:r>
      <w:r w:rsidR="00281AF2" w:rsidRPr="0052438A">
        <w:rPr>
          <w:rFonts w:ascii="Times New Roman" w:hAnsi="Times New Roman" w:cs="Times New Roman"/>
          <w:sz w:val="24"/>
          <w:szCs w:val="24"/>
        </w:rPr>
        <w:t>36</w:t>
      </w:r>
      <w:r w:rsidRPr="0052438A">
        <w:rPr>
          <w:rFonts w:ascii="Times New Roman" w:hAnsi="Times New Roman" w:cs="Times New Roman"/>
          <w:sz w:val="24"/>
          <w:szCs w:val="24"/>
        </w:rPr>
        <w:t>.</w:t>
      </w:r>
      <w:r w:rsidR="00281AF2" w:rsidRPr="0052438A">
        <w:rPr>
          <w:rFonts w:ascii="Times New Roman" w:hAnsi="Times New Roman" w:cs="Times New Roman"/>
          <w:sz w:val="24"/>
          <w:szCs w:val="24"/>
        </w:rPr>
        <w:t>545</w:t>
      </w:r>
      <w:r w:rsidRPr="0052438A">
        <w:rPr>
          <w:rFonts w:ascii="Times New Roman" w:hAnsi="Times New Roman" w:cs="Times New Roman"/>
          <w:sz w:val="24"/>
          <w:szCs w:val="24"/>
        </w:rPr>
        <w:t>,</w:t>
      </w:r>
      <w:r w:rsidR="00281AF2" w:rsidRPr="0052438A">
        <w:rPr>
          <w:rFonts w:ascii="Times New Roman" w:hAnsi="Times New Roman" w:cs="Times New Roman"/>
          <w:sz w:val="24"/>
          <w:szCs w:val="24"/>
        </w:rPr>
        <w:t>28</w:t>
      </w:r>
      <w:r w:rsidRPr="0052438A">
        <w:rPr>
          <w:rFonts w:ascii="Times New Roman" w:hAnsi="Times New Roman" w:cs="Times New Roman"/>
          <w:sz w:val="24"/>
          <w:szCs w:val="24"/>
        </w:rPr>
        <w:t xml:space="preserve"> Kn s uključenim PDV-om</w:t>
      </w:r>
      <w:r w:rsidR="00506F00" w:rsidRPr="0052438A">
        <w:rPr>
          <w:rFonts w:ascii="Times New Roman" w:hAnsi="Times New Roman" w:cs="Times New Roman"/>
          <w:sz w:val="24"/>
          <w:szCs w:val="24"/>
        </w:rPr>
        <w:t xml:space="preserve"> </w:t>
      </w:r>
      <w:r w:rsidR="00EA2094" w:rsidRPr="0052438A">
        <w:rPr>
          <w:rFonts w:ascii="Times New Roman" w:hAnsi="Times New Roman" w:cs="Times New Roman"/>
          <w:sz w:val="24"/>
          <w:szCs w:val="24"/>
        </w:rPr>
        <w:t xml:space="preserve">i </w:t>
      </w:r>
      <w:r w:rsidRPr="0052438A">
        <w:rPr>
          <w:rFonts w:ascii="Times New Roman" w:hAnsi="Times New Roman" w:cs="Times New Roman"/>
          <w:sz w:val="24"/>
          <w:szCs w:val="24"/>
        </w:rPr>
        <w:t>s rokom završet</w:t>
      </w:r>
      <w:r w:rsidR="00EA2094" w:rsidRPr="0052438A">
        <w:rPr>
          <w:rFonts w:ascii="Times New Roman" w:hAnsi="Times New Roman" w:cs="Times New Roman"/>
          <w:sz w:val="24"/>
          <w:szCs w:val="24"/>
        </w:rPr>
        <w:t>ka radova od godinu dana. Također je zaključen Ugovor o građevinskom i geodetskom nadzoru s društvom Institut IGH d.o.o. i g.</w:t>
      </w:r>
      <w:r w:rsidR="0052438A">
        <w:rPr>
          <w:rFonts w:ascii="Times New Roman" w:hAnsi="Times New Roman" w:cs="Times New Roman"/>
          <w:sz w:val="24"/>
          <w:szCs w:val="24"/>
        </w:rPr>
        <w:t xml:space="preserve"> </w:t>
      </w:r>
      <w:r w:rsidR="00EA2094" w:rsidRPr="0052438A">
        <w:rPr>
          <w:rFonts w:ascii="Times New Roman" w:hAnsi="Times New Roman" w:cs="Times New Roman"/>
          <w:sz w:val="24"/>
          <w:szCs w:val="24"/>
        </w:rPr>
        <w:t>Marijom Ćurić Tutman kao glavnim inženjerom, Ugovor s koordinatorom zaštite na radu s društvom Projektna organizacija d.o</w:t>
      </w:r>
      <w:r w:rsidR="00281AF2" w:rsidRPr="0052438A">
        <w:rPr>
          <w:rFonts w:ascii="Times New Roman" w:hAnsi="Times New Roman" w:cs="Times New Roman"/>
          <w:sz w:val="24"/>
          <w:szCs w:val="24"/>
        </w:rPr>
        <w:t>.o. iz Dubrovnika, te Ugovor o projektantskom nadzoru s društvom Trames Consultants d.o.o. iz Dubrovnika.</w:t>
      </w:r>
    </w:p>
    <w:p w:rsidR="00EA2094" w:rsidRPr="0052438A" w:rsidRDefault="00EA2094"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Tijekom izvođenja radova došlo je do objektivnih promjena u samom projektu, što je </w:t>
      </w:r>
      <w:r w:rsidR="00C94509" w:rsidRPr="0052438A">
        <w:rPr>
          <w:rFonts w:ascii="Times New Roman" w:hAnsi="Times New Roman" w:cs="Times New Roman"/>
          <w:sz w:val="24"/>
          <w:szCs w:val="24"/>
        </w:rPr>
        <w:t xml:space="preserve">od strane projektanta </w:t>
      </w:r>
      <w:r w:rsidRPr="0052438A">
        <w:rPr>
          <w:rFonts w:ascii="Times New Roman" w:hAnsi="Times New Roman" w:cs="Times New Roman"/>
          <w:sz w:val="24"/>
          <w:szCs w:val="24"/>
        </w:rPr>
        <w:t xml:space="preserve">popraćeno prvom izmjenom glavnog projekta, a sve je </w:t>
      </w:r>
      <w:r w:rsidR="00C94509" w:rsidRPr="0052438A">
        <w:rPr>
          <w:rFonts w:ascii="Times New Roman" w:hAnsi="Times New Roman" w:cs="Times New Roman"/>
          <w:sz w:val="24"/>
          <w:szCs w:val="24"/>
        </w:rPr>
        <w:t xml:space="preserve">također </w:t>
      </w:r>
      <w:r w:rsidRPr="0052438A">
        <w:rPr>
          <w:rFonts w:ascii="Times New Roman" w:hAnsi="Times New Roman" w:cs="Times New Roman"/>
          <w:sz w:val="24"/>
          <w:szCs w:val="24"/>
        </w:rPr>
        <w:t>dokumentirano zahtjevima izvođača</w:t>
      </w:r>
      <w:r w:rsidR="00C94509" w:rsidRPr="0052438A">
        <w:rPr>
          <w:rFonts w:ascii="Times New Roman" w:hAnsi="Times New Roman" w:cs="Times New Roman"/>
          <w:sz w:val="24"/>
          <w:szCs w:val="24"/>
        </w:rPr>
        <w:t xml:space="preserve"> i</w:t>
      </w:r>
      <w:r w:rsidRPr="0052438A">
        <w:rPr>
          <w:rFonts w:ascii="Times New Roman" w:hAnsi="Times New Roman" w:cs="Times New Roman"/>
          <w:sz w:val="24"/>
          <w:szCs w:val="24"/>
        </w:rPr>
        <w:t xml:space="preserve"> izvještajima glavnog nadzornog inženjera, projek</w:t>
      </w:r>
      <w:r w:rsidR="00C94509" w:rsidRPr="0052438A">
        <w:rPr>
          <w:rFonts w:ascii="Times New Roman" w:hAnsi="Times New Roman" w:cs="Times New Roman"/>
          <w:sz w:val="24"/>
          <w:szCs w:val="24"/>
        </w:rPr>
        <w:t>tanta i geomehaničara. Prve izmjene glavnog projekta potpornih zidova PZ2-PZ5 uvjetovale su zaključivanje 1.</w:t>
      </w:r>
      <w:r w:rsidR="00281AF2" w:rsidRPr="0052438A">
        <w:rPr>
          <w:rFonts w:ascii="Times New Roman" w:hAnsi="Times New Roman" w:cs="Times New Roman"/>
          <w:sz w:val="24"/>
          <w:szCs w:val="24"/>
        </w:rPr>
        <w:t xml:space="preserve"> Izmjena i dopuna osnovnog ugovora o javnoj nabavi</w:t>
      </w:r>
      <w:r w:rsidR="00C94509" w:rsidRPr="0052438A">
        <w:rPr>
          <w:rFonts w:ascii="Times New Roman" w:hAnsi="Times New Roman" w:cs="Times New Roman"/>
          <w:sz w:val="24"/>
          <w:szCs w:val="24"/>
        </w:rPr>
        <w:t xml:space="preserve"> s izvođačem radova u kojem je novi ugovoreni iznos 6.5</w:t>
      </w:r>
      <w:r w:rsidR="00281AF2" w:rsidRPr="0052438A">
        <w:rPr>
          <w:rFonts w:ascii="Times New Roman" w:hAnsi="Times New Roman" w:cs="Times New Roman"/>
          <w:sz w:val="24"/>
          <w:szCs w:val="24"/>
        </w:rPr>
        <w:t>90</w:t>
      </w:r>
      <w:r w:rsidR="00C94509" w:rsidRPr="0052438A">
        <w:rPr>
          <w:rFonts w:ascii="Times New Roman" w:hAnsi="Times New Roman" w:cs="Times New Roman"/>
          <w:sz w:val="24"/>
          <w:szCs w:val="24"/>
        </w:rPr>
        <w:t>.0</w:t>
      </w:r>
      <w:r w:rsidR="00281AF2" w:rsidRPr="0052438A">
        <w:rPr>
          <w:rFonts w:ascii="Times New Roman" w:hAnsi="Times New Roman" w:cs="Times New Roman"/>
          <w:sz w:val="24"/>
          <w:szCs w:val="24"/>
        </w:rPr>
        <w:t>13</w:t>
      </w:r>
      <w:r w:rsidR="00C94509" w:rsidRPr="0052438A">
        <w:rPr>
          <w:rFonts w:ascii="Times New Roman" w:hAnsi="Times New Roman" w:cs="Times New Roman"/>
          <w:sz w:val="24"/>
          <w:szCs w:val="24"/>
        </w:rPr>
        <w:t>,</w:t>
      </w:r>
      <w:r w:rsidR="00281AF2" w:rsidRPr="0052438A">
        <w:rPr>
          <w:rFonts w:ascii="Times New Roman" w:hAnsi="Times New Roman" w:cs="Times New Roman"/>
          <w:sz w:val="24"/>
          <w:szCs w:val="24"/>
        </w:rPr>
        <w:t>88</w:t>
      </w:r>
      <w:r w:rsidR="00506F00" w:rsidRPr="0052438A">
        <w:rPr>
          <w:rFonts w:ascii="Times New Roman" w:hAnsi="Times New Roman" w:cs="Times New Roman"/>
          <w:sz w:val="24"/>
          <w:szCs w:val="24"/>
        </w:rPr>
        <w:t xml:space="preserve"> Kn s PDV-om, te kasnije i 2. Dodatka Ugovoru u kojem je produžen rok izvođenja radova za dodatna dva mjeseca.</w:t>
      </w:r>
    </w:p>
    <w:p w:rsidR="00C94509" w:rsidRPr="0052438A" w:rsidRDefault="00C94509"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Nažalost, tijekom daljnjeg izvođenja radova utvrđeno je da je sjeverni zid nemoguće izvesti prema projektu zbo</w:t>
      </w:r>
      <w:r w:rsidR="00270416" w:rsidRPr="0052438A">
        <w:rPr>
          <w:rFonts w:ascii="Times New Roman" w:hAnsi="Times New Roman" w:cs="Times New Roman"/>
          <w:sz w:val="24"/>
          <w:szCs w:val="24"/>
        </w:rPr>
        <w:t>g izuzetno zahtjevnih iskopa i</w:t>
      </w:r>
      <w:r w:rsidRPr="0052438A">
        <w:rPr>
          <w:rFonts w:ascii="Times New Roman" w:hAnsi="Times New Roman" w:cs="Times New Roman"/>
          <w:sz w:val="24"/>
          <w:szCs w:val="24"/>
        </w:rPr>
        <w:t xml:space="preserve"> velike opasnosti od odrona čitavog brda prema državnoj cesti D8, te je </w:t>
      </w:r>
      <w:r w:rsidR="00506F00" w:rsidRPr="0052438A">
        <w:rPr>
          <w:rFonts w:ascii="Times New Roman" w:hAnsi="Times New Roman" w:cs="Times New Roman"/>
          <w:sz w:val="24"/>
          <w:szCs w:val="24"/>
        </w:rPr>
        <w:t xml:space="preserve">izmjenom projekta </w:t>
      </w:r>
      <w:r w:rsidRPr="0052438A">
        <w:rPr>
          <w:rFonts w:ascii="Times New Roman" w:hAnsi="Times New Roman" w:cs="Times New Roman"/>
          <w:sz w:val="24"/>
          <w:szCs w:val="24"/>
        </w:rPr>
        <w:t>potrebno izmjestiti poziciju zida na liniju sigurnog iskopa. Također je zbog nepovoljn</w:t>
      </w:r>
      <w:r w:rsidR="00270416" w:rsidRPr="0052438A">
        <w:rPr>
          <w:rFonts w:ascii="Times New Roman" w:hAnsi="Times New Roman" w:cs="Times New Roman"/>
          <w:sz w:val="24"/>
          <w:szCs w:val="24"/>
        </w:rPr>
        <w:t>e sti</w:t>
      </w:r>
      <w:r w:rsidRPr="0052438A">
        <w:rPr>
          <w:rFonts w:ascii="Times New Roman" w:hAnsi="Times New Roman" w:cs="Times New Roman"/>
          <w:sz w:val="24"/>
          <w:szCs w:val="24"/>
        </w:rPr>
        <w:t xml:space="preserve">jenske mase nemoguće izvesti potporne zidove zamišljene kao gabionska obloga zbog kasnije izvedbe grobnica iza zida, te je stoga </w:t>
      </w:r>
      <w:r w:rsidR="00BE2261">
        <w:rPr>
          <w:rFonts w:ascii="Times New Roman" w:hAnsi="Times New Roman" w:cs="Times New Roman"/>
          <w:sz w:val="24"/>
          <w:szCs w:val="24"/>
        </w:rPr>
        <w:t xml:space="preserve">bilo </w:t>
      </w:r>
      <w:r w:rsidRPr="0052438A">
        <w:rPr>
          <w:rFonts w:ascii="Times New Roman" w:hAnsi="Times New Roman" w:cs="Times New Roman"/>
          <w:sz w:val="24"/>
          <w:szCs w:val="24"/>
        </w:rPr>
        <w:t>potrebno iznaći nova projektna rješenja</w:t>
      </w:r>
      <w:r w:rsidR="00270416" w:rsidRPr="0052438A">
        <w:rPr>
          <w:rFonts w:ascii="Times New Roman" w:hAnsi="Times New Roman" w:cs="Times New Roman"/>
          <w:sz w:val="24"/>
          <w:szCs w:val="24"/>
        </w:rPr>
        <w:t>. Z</w:t>
      </w:r>
      <w:r w:rsidRPr="0052438A">
        <w:rPr>
          <w:rFonts w:ascii="Times New Roman" w:hAnsi="Times New Roman" w:cs="Times New Roman"/>
          <w:sz w:val="24"/>
          <w:szCs w:val="24"/>
        </w:rPr>
        <w:t xml:space="preserve">bog </w:t>
      </w:r>
      <w:r w:rsidR="00270416" w:rsidRPr="0052438A">
        <w:rPr>
          <w:rFonts w:ascii="Times New Roman" w:hAnsi="Times New Roman" w:cs="Times New Roman"/>
          <w:sz w:val="24"/>
          <w:szCs w:val="24"/>
        </w:rPr>
        <w:t xml:space="preserve">navedenih izmjena došlo bi do odstupanja od ugovorenih količina, te je stoga s izvođačem radova </w:t>
      </w:r>
      <w:r w:rsidRPr="0052438A">
        <w:rPr>
          <w:rFonts w:ascii="Times New Roman" w:hAnsi="Times New Roman" w:cs="Times New Roman"/>
          <w:sz w:val="24"/>
          <w:szCs w:val="24"/>
        </w:rPr>
        <w:t xml:space="preserve">dogovoren sporazumni raskid ugovora bez </w:t>
      </w:r>
      <w:r w:rsidR="00270416" w:rsidRPr="0052438A">
        <w:rPr>
          <w:rFonts w:ascii="Times New Roman" w:hAnsi="Times New Roman" w:cs="Times New Roman"/>
          <w:sz w:val="24"/>
          <w:szCs w:val="24"/>
        </w:rPr>
        <w:t>ikakvih potraživanja s njihove strane</w:t>
      </w:r>
      <w:r w:rsidR="00BE2261">
        <w:rPr>
          <w:rFonts w:ascii="Times New Roman" w:hAnsi="Times New Roman" w:cs="Times New Roman"/>
          <w:sz w:val="24"/>
          <w:szCs w:val="24"/>
        </w:rPr>
        <w:t>, što je konačno i zaključeno 21.12.2017.godine</w:t>
      </w:r>
      <w:r w:rsidR="00796D80">
        <w:rPr>
          <w:rFonts w:ascii="Times New Roman" w:hAnsi="Times New Roman" w:cs="Times New Roman"/>
          <w:sz w:val="24"/>
          <w:szCs w:val="24"/>
        </w:rPr>
        <w:t>.</w:t>
      </w:r>
    </w:p>
    <w:p w:rsidR="00EA2094" w:rsidRDefault="00BE2261" w:rsidP="00EC7E60">
      <w:pPr>
        <w:ind w:firstLine="708"/>
        <w:jc w:val="both"/>
        <w:rPr>
          <w:rFonts w:ascii="Times New Roman" w:hAnsi="Times New Roman" w:cs="Times New Roman"/>
          <w:sz w:val="24"/>
          <w:szCs w:val="24"/>
        </w:rPr>
      </w:pPr>
      <w:r>
        <w:rPr>
          <w:rFonts w:ascii="Times New Roman" w:hAnsi="Times New Roman" w:cs="Times New Roman"/>
          <w:sz w:val="24"/>
          <w:szCs w:val="24"/>
        </w:rPr>
        <w:t xml:space="preserve">Prema konačnom obračunu </w:t>
      </w:r>
      <w:r w:rsidR="00270416" w:rsidRPr="0052438A">
        <w:rPr>
          <w:rFonts w:ascii="Times New Roman" w:hAnsi="Times New Roman" w:cs="Times New Roman"/>
          <w:sz w:val="24"/>
          <w:szCs w:val="24"/>
        </w:rPr>
        <w:t xml:space="preserve">od ukupno ugovorenog iznosa od </w:t>
      </w:r>
      <w:r w:rsidR="00281AF2" w:rsidRPr="0052438A">
        <w:rPr>
          <w:rFonts w:ascii="Times New Roman" w:hAnsi="Times New Roman" w:cs="Times New Roman"/>
          <w:sz w:val="24"/>
          <w:szCs w:val="24"/>
        </w:rPr>
        <w:t xml:space="preserve">6.590.013,88 </w:t>
      </w:r>
      <w:r w:rsidR="00270416" w:rsidRPr="0052438A">
        <w:rPr>
          <w:rFonts w:ascii="Times New Roman" w:hAnsi="Times New Roman" w:cs="Times New Roman"/>
          <w:sz w:val="24"/>
          <w:szCs w:val="24"/>
        </w:rPr>
        <w:t xml:space="preserve">kn realiziran </w:t>
      </w:r>
      <w:r>
        <w:rPr>
          <w:rFonts w:ascii="Times New Roman" w:hAnsi="Times New Roman" w:cs="Times New Roman"/>
          <w:sz w:val="24"/>
          <w:szCs w:val="24"/>
        </w:rPr>
        <w:t xml:space="preserve">je </w:t>
      </w:r>
      <w:r w:rsidR="00270416" w:rsidRPr="0052438A">
        <w:rPr>
          <w:rFonts w:ascii="Times New Roman" w:hAnsi="Times New Roman" w:cs="Times New Roman"/>
          <w:sz w:val="24"/>
          <w:szCs w:val="24"/>
        </w:rPr>
        <w:t>iznos od 4.</w:t>
      </w:r>
      <w:r>
        <w:rPr>
          <w:rFonts w:ascii="Times New Roman" w:hAnsi="Times New Roman" w:cs="Times New Roman"/>
          <w:sz w:val="24"/>
          <w:szCs w:val="24"/>
        </w:rPr>
        <w:t>430</w:t>
      </w:r>
      <w:r w:rsidR="00270416" w:rsidRPr="0052438A">
        <w:rPr>
          <w:rFonts w:ascii="Times New Roman" w:hAnsi="Times New Roman" w:cs="Times New Roman"/>
          <w:sz w:val="24"/>
          <w:szCs w:val="24"/>
        </w:rPr>
        <w:t>.</w:t>
      </w:r>
      <w:r>
        <w:rPr>
          <w:rFonts w:ascii="Times New Roman" w:hAnsi="Times New Roman" w:cs="Times New Roman"/>
          <w:sz w:val="24"/>
          <w:szCs w:val="24"/>
        </w:rPr>
        <w:t>335</w:t>
      </w:r>
      <w:r w:rsidR="00270416" w:rsidRPr="0052438A">
        <w:rPr>
          <w:rFonts w:ascii="Times New Roman" w:hAnsi="Times New Roman" w:cs="Times New Roman"/>
          <w:sz w:val="24"/>
          <w:szCs w:val="24"/>
        </w:rPr>
        <w:t>,</w:t>
      </w:r>
      <w:r>
        <w:rPr>
          <w:rFonts w:ascii="Times New Roman" w:hAnsi="Times New Roman" w:cs="Times New Roman"/>
          <w:sz w:val="24"/>
          <w:szCs w:val="24"/>
        </w:rPr>
        <w:t>96</w:t>
      </w:r>
      <w:r w:rsidR="00270416" w:rsidRPr="0052438A">
        <w:rPr>
          <w:rFonts w:ascii="Times New Roman" w:hAnsi="Times New Roman" w:cs="Times New Roman"/>
          <w:sz w:val="24"/>
          <w:szCs w:val="24"/>
        </w:rPr>
        <w:t xml:space="preserve"> Kn, tj</w:t>
      </w:r>
      <w:r w:rsidR="00B51231">
        <w:rPr>
          <w:rFonts w:ascii="Times New Roman" w:hAnsi="Times New Roman" w:cs="Times New Roman"/>
          <w:sz w:val="24"/>
          <w:szCs w:val="24"/>
        </w:rPr>
        <w:t>.</w:t>
      </w:r>
      <w:r w:rsidR="00270416" w:rsidRPr="0052438A">
        <w:rPr>
          <w:rFonts w:ascii="Times New Roman" w:hAnsi="Times New Roman" w:cs="Times New Roman"/>
          <w:sz w:val="24"/>
          <w:szCs w:val="24"/>
        </w:rPr>
        <w:t xml:space="preserve"> </w:t>
      </w:r>
      <w:r w:rsidR="00B46C06" w:rsidRPr="0052438A">
        <w:rPr>
          <w:rFonts w:ascii="Times New Roman" w:hAnsi="Times New Roman" w:cs="Times New Roman"/>
          <w:sz w:val="24"/>
          <w:szCs w:val="24"/>
        </w:rPr>
        <w:t>6</w:t>
      </w:r>
      <w:r w:rsidR="0010536D">
        <w:rPr>
          <w:rFonts w:ascii="Times New Roman" w:hAnsi="Times New Roman" w:cs="Times New Roman"/>
          <w:sz w:val="24"/>
          <w:szCs w:val="24"/>
        </w:rPr>
        <w:t>7</w:t>
      </w:r>
      <w:r w:rsidR="00B46C06" w:rsidRPr="0052438A">
        <w:rPr>
          <w:rFonts w:ascii="Times New Roman" w:hAnsi="Times New Roman" w:cs="Times New Roman"/>
          <w:sz w:val="24"/>
          <w:szCs w:val="24"/>
        </w:rPr>
        <w:t>% vrijednosti Ugovora</w:t>
      </w:r>
      <w:r w:rsidR="00270416" w:rsidRPr="0052438A">
        <w:rPr>
          <w:rFonts w:ascii="Times New Roman" w:hAnsi="Times New Roman" w:cs="Times New Roman"/>
          <w:sz w:val="24"/>
          <w:szCs w:val="24"/>
        </w:rPr>
        <w:t xml:space="preserve">. U </w:t>
      </w:r>
      <w:r w:rsidR="0010536D">
        <w:rPr>
          <w:rFonts w:ascii="Times New Roman" w:hAnsi="Times New Roman" w:cs="Times New Roman"/>
          <w:sz w:val="24"/>
          <w:szCs w:val="24"/>
        </w:rPr>
        <w:t xml:space="preserve">međuvremenu su ugovorene i izrađene </w:t>
      </w:r>
      <w:r w:rsidR="00270416" w:rsidRPr="0052438A">
        <w:rPr>
          <w:rFonts w:ascii="Times New Roman" w:hAnsi="Times New Roman" w:cs="Times New Roman"/>
          <w:sz w:val="24"/>
          <w:szCs w:val="24"/>
        </w:rPr>
        <w:t>2. izmjen</w:t>
      </w:r>
      <w:r w:rsidR="0010536D">
        <w:rPr>
          <w:rFonts w:ascii="Times New Roman" w:hAnsi="Times New Roman" w:cs="Times New Roman"/>
          <w:sz w:val="24"/>
          <w:szCs w:val="24"/>
        </w:rPr>
        <w:t>e</w:t>
      </w:r>
      <w:r w:rsidR="00270416" w:rsidRPr="0052438A">
        <w:rPr>
          <w:rFonts w:ascii="Times New Roman" w:hAnsi="Times New Roman" w:cs="Times New Roman"/>
          <w:sz w:val="24"/>
          <w:szCs w:val="24"/>
        </w:rPr>
        <w:t xml:space="preserve"> glavnog projekta</w:t>
      </w:r>
      <w:r w:rsidR="00796D80">
        <w:rPr>
          <w:rFonts w:ascii="Times New Roman" w:hAnsi="Times New Roman" w:cs="Times New Roman"/>
          <w:sz w:val="24"/>
          <w:szCs w:val="24"/>
        </w:rPr>
        <w:t xml:space="preserve"> potpornih zidova</w:t>
      </w:r>
      <w:r w:rsidR="00270416" w:rsidRPr="0052438A">
        <w:rPr>
          <w:rFonts w:ascii="Times New Roman" w:hAnsi="Times New Roman" w:cs="Times New Roman"/>
          <w:sz w:val="24"/>
          <w:szCs w:val="24"/>
        </w:rPr>
        <w:t xml:space="preserve">, te se nastavak radova na izgradnji potpornih zidova PZ2-PZ5 očekuje nakon provedbe postupka javne nabave </w:t>
      </w:r>
      <w:r w:rsidR="00796D80">
        <w:rPr>
          <w:rFonts w:ascii="Times New Roman" w:hAnsi="Times New Roman" w:cs="Times New Roman"/>
          <w:sz w:val="24"/>
          <w:szCs w:val="24"/>
        </w:rPr>
        <w:t>na proljeće</w:t>
      </w:r>
      <w:r w:rsidR="00270416" w:rsidRPr="0052438A">
        <w:rPr>
          <w:rFonts w:ascii="Times New Roman" w:hAnsi="Times New Roman" w:cs="Times New Roman"/>
          <w:sz w:val="24"/>
          <w:szCs w:val="24"/>
        </w:rPr>
        <w:t xml:space="preserve"> 201</w:t>
      </w:r>
      <w:r w:rsidR="0010536D">
        <w:rPr>
          <w:rFonts w:ascii="Times New Roman" w:hAnsi="Times New Roman" w:cs="Times New Roman"/>
          <w:sz w:val="24"/>
          <w:szCs w:val="24"/>
        </w:rPr>
        <w:t>8</w:t>
      </w:r>
      <w:r w:rsidR="00270416" w:rsidRPr="0052438A">
        <w:rPr>
          <w:rFonts w:ascii="Times New Roman" w:hAnsi="Times New Roman" w:cs="Times New Roman"/>
          <w:sz w:val="24"/>
          <w:szCs w:val="24"/>
        </w:rPr>
        <w:t>. godine</w:t>
      </w:r>
      <w:r w:rsidR="00506F00" w:rsidRPr="0052438A">
        <w:rPr>
          <w:rFonts w:ascii="Times New Roman" w:hAnsi="Times New Roman" w:cs="Times New Roman"/>
          <w:sz w:val="24"/>
          <w:szCs w:val="24"/>
        </w:rPr>
        <w:t xml:space="preserve">, a završetak </w:t>
      </w:r>
      <w:r w:rsidR="00C26828">
        <w:rPr>
          <w:rFonts w:ascii="Times New Roman" w:hAnsi="Times New Roman" w:cs="Times New Roman"/>
          <w:sz w:val="24"/>
          <w:szCs w:val="24"/>
        </w:rPr>
        <w:t>u jesen</w:t>
      </w:r>
      <w:r w:rsidR="00506F00" w:rsidRPr="0052438A">
        <w:rPr>
          <w:rFonts w:ascii="Times New Roman" w:hAnsi="Times New Roman" w:cs="Times New Roman"/>
          <w:sz w:val="24"/>
          <w:szCs w:val="24"/>
        </w:rPr>
        <w:t xml:space="preserve"> 2018. godine.</w:t>
      </w:r>
      <w:r w:rsidR="00270416" w:rsidRPr="0052438A">
        <w:rPr>
          <w:rFonts w:ascii="Times New Roman" w:hAnsi="Times New Roman" w:cs="Times New Roman"/>
          <w:sz w:val="24"/>
          <w:szCs w:val="24"/>
        </w:rPr>
        <w:t xml:space="preserve"> </w:t>
      </w:r>
    </w:p>
    <w:p w:rsidR="0010536D" w:rsidRDefault="0010536D" w:rsidP="00EC7E60">
      <w:pPr>
        <w:ind w:firstLine="708"/>
        <w:jc w:val="both"/>
        <w:rPr>
          <w:rFonts w:ascii="Times New Roman" w:hAnsi="Times New Roman" w:cs="Times New Roman"/>
          <w:sz w:val="24"/>
          <w:szCs w:val="24"/>
        </w:rPr>
      </w:pPr>
    </w:p>
    <w:p w:rsidR="00A541AC" w:rsidRDefault="00A541AC" w:rsidP="00E25C65">
      <w:pPr>
        <w:jc w:val="both"/>
        <w:rPr>
          <w:rFonts w:ascii="Times New Roman" w:hAnsi="Times New Roman" w:cs="Times New Roman"/>
          <w:b/>
          <w:sz w:val="24"/>
          <w:szCs w:val="24"/>
        </w:rPr>
      </w:pPr>
    </w:p>
    <w:p w:rsidR="00A541AC" w:rsidRDefault="00A541AC" w:rsidP="00E25C65">
      <w:pPr>
        <w:jc w:val="both"/>
        <w:rPr>
          <w:rFonts w:ascii="Times New Roman" w:hAnsi="Times New Roman" w:cs="Times New Roman"/>
          <w:b/>
          <w:sz w:val="24"/>
          <w:szCs w:val="24"/>
        </w:rPr>
      </w:pPr>
    </w:p>
    <w:p w:rsidR="000A120A" w:rsidRDefault="00390E03" w:rsidP="00E25C65">
      <w:pPr>
        <w:jc w:val="both"/>
        <w:rPr>
          <w:rFonts w:ascii="Times New Roman" w:hAnsi="Times New Roman" w:cs="Times New Roman"/>
          <w:b/>
          <w:sz w:val="24"/>
          <w:szCs w:val="24"/>
        </w:rPr>
      </w:pPr>
      <w:r w:rsidRPr="0052438A">
        <w:rPr>
          <w:rFonts w:ascii="Times New Roman" w:hAnsi="Times New Roman" w:cs="Times New Roman"/>
          <w:b/>
          <w:sz w:val="24"/>
          <w:szCs w:val="24"/>
        </w:rPr>
        <w:lastRenderedPageBreak/>
        <w:t>AD-2</w:t>
      </w:r>
      <w:r w:rsidR="00B46C06" w:rsidRPr="0052438A">
        <w:rPr>
          <w:rFonts w:ascii="Times New Roman" w:hAnsi="Times New Roman" w:cs="Times New Roman"/>
          <w:b/>
          <w:sz w:val="24"/>
          <w:szCs w:val="24"/>
        </w:rPr>
        <w:t xml:space="preserve">  Izgradnja južnog potpornog zida PZ1 i 2. faze zapad PZ3 – PZ6</w:t>
      </w:r>
    </w:p>
    <w:p w:rsidR="00A541AC" w:rsidRDefault="00A541AC" w:rsidP="00E25C65">
      <w:pPr>
        <w:jc w:val="both"/>
        <w:rPr>
          <w:rFonts w:ascii="Times New Roman" w:hAnsi="Times New Roman" w:cs="Times New Roman"/>
          <w:b/>
          <w:sz w:val="24"/>
          <w:szCs w:val="24"/>
        </w:rPr>
      </w:pPr>
    </w:p>
    <w:p w:rsidR="00B46C06" w:rsidRPr="0052438A" w:rsidRDefault="00390E03"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Glavni i izvedbeni projekt južnog potpornog zida PZ1 i 2. Faze zapad PZ3-PZ6 ugovoren je s društvom Trames consultants d.o.o. iz Dubrovnika. Dana </w:t>
      </w:r>
      <w:r w:rsidR="00B46C06" w:rsidRPr="0052438A">
        <w:rPr>
          <w:rFonts w:ascii="Times New Roman" w:hAnsi="Times New Roman" w:cs="Times New Roman"/>
          <w:sz w:val="24"/>
          <w:szCs w:val="24"/>
        </w:rPr>
        <w:t>03</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03</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2016</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 xml:space="preserve"> g.</w:t>
      </w:r>
      <w:r w:rsidRPr="0052438A">
        <w:rPr>
          <w:rFonts w:ascii="Times New Roman" w:hAnsi="Times New Roman" w:cs="Times New Roman"/>
          <w:sz w:val="24"/>
          <w:szCs w:val="24"/>
        </w:rPr>
        <w:t xml:space="preserve"> dobili smo Mišljenje nadležnog županijskog ureda po kojem je radove na izgradnji potpornih zidova moguće izvoditi prema Pravilniku o jednostavnim </w:t>
      </w:r>
      <w:r w:rsidR="00B46C06" w:rsidRPr="0052438A">
        <w:rPr>
          <w:rFonts w:ascii="Times New Roman" w:hAnsi="Times New Roman" w:cs="Times New Roman"/>
          <w:sz w:val="24"/>
          <w:szCs w:val="24"/>
        </w:rPr>
        <w:t xml:space="preserve">i drugim </w:t>
      </w:r>
      <w:r w:rsidRPr="0052438A">
        <w:rPr>
          <w:rFonts w:ascii="Times New Roman" w:hAnsi="Times New Roman" w:cs="Times New Roman"/>
          <w:sz w:val="24"/>
          <w:szCs w:val="24"/>
        </w:rPr>
        <w:t>građevinama</w:t>
      </w:r>
      <w:r w:rsidR="00B46C06" w:rsidRPr="0052438A">
        <w:rPr>
          <w:rFonts w:ascii="Times New Roman" w:hAnsi="Times New Roman" w:cs="Times New Roman"/>
          <w:sz w:val="24"/>
          <w:szCs w:val="24"/>
        </w:rPr>
        <w:t xml:space="preserve"> i radovima (NN br. 79/14 i 41/15)</w:t>
      </w:r>
      <w:r w:rsidRPr="0052438A">
        <w:rPr>
          <w:rFonts w:ascii="Times New Roman" w:hAnsi="Times New Roman" w:cs="Times New Roman"/>
          <w:sz w:val="24"/>
          <w:szCs w:val="24"/>
        </w:rPr>
        <w:t xml:space="preserve">, a temeljem glavnog projekta i potvrda na glavni projekt od svih nadležnih javnopravnih tijela. Nakon toga je temeljem izvedbenog troškovnika proveden postupak javne nabave u kojoj je kao najpovoljniji ponuditelj izabrano društvo Texogradnja d.o.o. iz Kupara. Dana </w:t>
      </w:r>
      <w:r w:rsidR="00B46C06" w:rsidRPr="0052438A">
        <w:rPr>
          <w:rFonts w:ascii="Times New Roman" w:hAnsi="Times New Roman" w:cs="Times New Roman"/>
          <w:sz w:val="24"/>
          <w:szCs w:val="24"/>
        </w:rPr>
        <w:t>14</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10</w:t>
      </w:r>
      <w:r w:rsidRPr="0052438A">
        <w:rPr>
          <w:rFonts w:ascii="Times New Roman" w:hAnsi="Times New Roman" w:cs="Times New Roman"/>
          <w:sz w:val="24"/>
          <w:szCs w:val="24"/>
        </w:rPr>
        <w:t xml:space="preserve">.2016. godine Općina Župa dubrovačka zaključila je </w:t>
      </w:r>
      <w:r w:rsidR="00B46C06" w:rsidRPr="0052438A">
        <w:rPr>
          <w:rFonts w:ascii="Times New Roman" w:hAnsi="Times New Roman" w:cs="Times New Roman"/>
          <w:sz w:val="24"/>
          <w:szCs w:val="24"/>
        </w:rPr>
        <w:t xml:space="preserve">Osnovni </w:t>
      </w:r>
      <w:r w:rsidRPr="0052438A">
        <w:rPr>
          <w:rFonts w:ascii="Times New Roman" w:hAnsi="Times New Roman" w:cs="Times New Roman"/>
          <w:sz w:val="24"/>
          <w:szCs w:val="24"/>
        </w:rPr>
        <w:t xml:space="preserve">Ugovor </w:t>
      </w:r>
      <w:r w:rsidR="00B46C06" w:rsidRPr="0052438A">
        <w:rPr>
          <w:rFonts w:ascii="Times New Roman" w:hAnsi="Times New Roman" w:cs="Times New Roman"/>
          <w:sz w:val="24"/>
          <w:szCs w:val="24"/>
        </w:rPr>
        <w:t xml:space="preserve">o javnoj nabavi </w:t>
      </w:r>
      <w:r w:rsidRPr="0052438A">
        <w:rPr>
          <w:rFonts w:ascii="Times New Roman" w:hAnsi="Times New Roman" w:cs="Times New Roman"/>
          <w:sz w:val="24"/>
          <w:szCs w:val="24"/>
        </w:rPr>
        <w:t>u ukupnom iznosu od 13.2</w:t>
      </w:r>
      <w:r w:rsidR="00B46C06" w:rsidRPr="0052438A">
        <w:rPr>
          <w:rFonts w:ascii="Times New Roman" w:hAnsi="Times New Roman" w:cs="Times New Roman"/>
          <w:sz w:val="24"/>
          <w:szCs w:val="24"/>
        </w:rPr>
        <w:t>24</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218</w:t>
      </w:r>
      <w:r w:rsidRPr="0052438A">
        <w:rPr>
          <w:rFonts w:ascii="Times New Roman" w:hAnsi="Times New Roman" w:cs="Times New Roman"/>
          <w:sz w:val="24"/>
          <w:szCs w:val="24"/>
        </w:rPr>
        <w:t>,00 Kn s uključenim PDV-om i s rokom završetka radova od godinu dana. Također je zaključen Ugovor o građevinskom i geodetskom nadzoru s društvom Institut IGH d.o.o. i g.</w:t>
      </w:r>
      <w:r w:rsidR="00B51231">
        <w:rPr>
          <w:rFonts w:ascii="Times New Roman" w:hAnsi="Times New Roman" w:cs="Times New Roman"/>
          <w:sz w:val="24"/>
          <w:szCs w:val="24"/>
        </w:rPr>
        <w:t xml:space="preserve"> </w:t>
      </w:r>
      <w:r w:rsidRPr="0052438A">
        <w:rPr>
          <w:rFonts w:ascii="Times New Roman" w:hAnsi="Times New Roman" w:cs="Times New Roman"/>
          <w:sz w:val="24"/>
          <w:szCs w:val="24"/>
        </w:rPr>
        <w:t>Marijom Ćurić T</w:t>
      </w:r>
      <w:r w:rsidR="00B46C06" w:rsidRPr="0052438A">
        <w:rPr>
          <w:rFonts w:ascii="Times New Roman" w:hAnsi="Times New Roman" w:cs="Times New Roman"/>
          <w:sz w:val="24"/>
          <w:szCs w:val="24"/>
        </w:rPr>
        <w:t xml:space="preserve">utman kao glavnim inženjerom, </w:t>
      </w:r>
      <w:r w:rsidRPr="0052438A">
        <w:rPr>
          <w:rFonts w:ascii="Times New Roman" w:hAnsi="Times New Roman" w:cs="Times New Roman"/>
          <w:sz w:val="24"/>
          <w:szCs w:val="24"/>
        </w:rPr>
        <w:t>Ugovor s koordinatorom zaštite na radu s društvom Projektna or</w:t>
      </w:r>
      <w:r w:rsidR="00B46C06" w:rsidRPr="0052438A">
        <w:rPr>
          <w:rFonts w:ascii="Times New Roman" w:hAnsi="Times New Roman" w:cs="Times New Roman"/>
          <w:sz w:val="24"/>
          <w:szCs w:val="24"/>
        </w:rPr>
        <w:t>ganizacija d.o.o. iz Dubrovnika, te Ugovor o projektantskom nadzoru s društvom Trames Consultants d.o.o. iz Dubrovnika.</w:t>
      </w:r>
    </w:p>
    <w:p w:rsidR="00A34EA0" w:rsidRDefault="00390E03"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Radovi na izgradnji južnog potpornog zida </w:t>
      </w:r>
      <w:r w:rsidR="00A40899">
        <w:rPr>
          <w:rFonts w:ascii="Times New Roman" w:hAnsi="Times New Roman" w:cs="Times New Roman"/>
          <w:sz w:val="24"/>
          <w:szCs w:val="24"/>
        </w:rPr>
        <w:t xml:space="preserve">su </w:t>
      </w:r>
      <w:r w:rsidRPr="0052438A">
        <w:rPr>
          <w:rFonts w:ascii="Times New Roman" w:hAnsi="Times New Roman" w:cs="Times New Roman"/>
          <w:sz w:val="24"/>
          <w:szCs w:val="24"/>
        </w:rPr>
        <w:t>se odvija</w:t>
      </w:r>
      <w:r w:rsidR="00A40899">
        <w:rPr>
          <w:rFonts w:ascii="Times New Roman" w:hAnsi="Times New Roman" w:cs="Times New Roman"/>
          <w:sz w:val="24"/>
          <w:szCs w:val="24"/>
        </w:rPr>
        <w:t>li</w:t>
      </w:r>
      <w:r w:rsidRPr="0052438A">
        <w:rPr>
          <w:rFonts w:ascii="Times New Roman" w:hAnsi="Times New Roman" w:cs="Times New Roman"/>
          <w:sz w:val="24"/>
          <w:szCs w:val="24"/>
        </w:rPr>
        <w:t xml:space="preserve"> prema utvrđenoj dinamici radova s malim kašnjenjem zbog problema koje je izvođač imao s opremom za bušenje pilota. Prilikom izvođenja radova na iskopima temelja za potporno gabionski zid tipa „terramesh“</w:t>
      </w:r>
      <w:r w:rsidR="00A34EA0" w:rsidRPr="0052438A">
        <w:rPr>
          <w:rFonts w:ascii="Times New Roman" w:hAnsi="Times New Roman" w:cs="Times New Roman"/>
          <w:sz w:val="24"/>
          <w:szCs w:val="24"/>
        </w:rPr>
        <w:t xml:space="preserve"> na sjeverozapadnom dijelu obuhvata došlo je do odrona stijene prema državnoj cesti D8, te je iz preventivnih razloga glavni inženjer privremeno zabranio daljnje radove na iskopima, dok se ne iznađe rješenje zaštite pokosa i nestabilnih stijena koje prijete </w:t>
      </w:r>
      <w:r w:rsidR="00A40899">
        <w:rPr>
          <w:rFonts w:ascii="Times New Roman" w:hAnsi="Times New Roman" w:cs="Times New Roman"/>
          <w:sz w:val="24"/>
          <w:szCs w:val="24"/>
        </w:rPr>
        <w:t xml:space="preserve">državno </w:t>
      </w:r>
      <w:r w:rsidR="00A34EA0" w:rsidRPr="0052438A">
        <w:rPr>
          <w:rFonts w:ascii="Times New Roman" w:hAnsi="Times New Roman" w:cs="Times New Roman"/>
          <w:sz w:val="24"/>
          <w:szCs w:val="24"/>
        </w:rPr>
        <w:t xml:space="preserve">cesti </w:t>
      </w:r>
      <w:r w:rsidR="00A40899">
        <w:rPr>
          <w:rFonts w:ascii="Times New Roman" w:hAnsi="Times New Roman" w:cs="Times New Roman"/>
          <w:sz w:val="24"/>
          <w:szCs w:val="24"/>
        </w:rPr>
        <w:t xml:space="preserve">D8 </w:t>
      </w:r>
      <w:r w:rsidR="00A34EA0" w:rsidRPr="0052438A">
        <w:rPr>
          <w:rFonts w:ascii="Times New Roman" w:hAnsi="Times New Roman" w:cs="Times New Roman"/>
          <w:sz w:val="24"/>
          <w:szCs w:val="24"/>
        </w:rPr>
        <w:t>i sigurnosti građana. Napravljen</w:t>
      </w:r>
      <w:r w:rsidR="00E66C03" w:rsidRPr="0052438A">
        <w:rPr>
          <w:rFonts w:ascii="Times New Roman" w:hAnsi="Times New Roman" w:cs="Times New Roman"/>
          <w:sz w:val="24"/>
          <w:szCs w:val="24"/>
        </w:rPr>
        <w:t>o</w:t>
      </w:r>
      <w:r w:rsidR="00A34EA0" w:rsidRPr="0052438A">
        <w:rPr>
          <w:rFonts w:ascii="Times New Roman" w:hAnsi="Times New Roman" w:cs="Times New Roman"/>
          <w:sz w:val="24"/>
          <w:szCs w:val="24"/>
        </w:rPr>
        <w:t xml:space="preserve"> je </w:t>
      </w:r>
      <w:r w:rsidR="00E66C03" w:rsidRPr="0052438A">
        <w:rPr>
          <w:rFonts w:ascii="Times New Roman" w:hAnsi="Times New Roman" w:cs="Times New Roman"/>
          <w:sz w:val="24"/>
          <w:szCs w:val="24"/>
        </w:rPr>
        <w:t xml:space="preserve">tehničko rješenje privremene </w:t>
      </w:r>
      <w:r w:rsidR="00A34EA0" w:rsidRPr="0052438A">
        <w:rPr>
          <w:rFonts w:ascii="Times New Roman" w:hAnsi="Times New Roman" w:cs="Times New Roman"/>
          <w:sz w:val="24"/>
          <w:szCs w:val="24"/>
        </w:rPr>
        <w:t>zaštite pokosa od strane ovlaštenog društva i geologa iz Zagreba</w:t>
      </w:r>
      <w:r w:rsidR="00E66C03" w:rsidRPr="0052438A">
        <w:rPr>
          <w:rFonts w:ascii="Times New Roman" w:hAnsi="Times New Roman" w:cs="Times New Roman"/>
          <w:sz w:val="24"/>
          <w:szCs w:val="24"/>
        </w:rPr>
        <w:t xml:space="preserve"> Geotehnički studio d.o.o.</w:t>
      </w:r>
      <w:r w:rsidR="0010536D">
        <w:rPr>
          <w:rFonts w:ascii="Times New Roman" w:hAnsi="Times New Roman" w:cs="Times New Roman"/>
          <w:sz w:val="24"/>
          <w:szCs w:val="24"/>
        </w:rPr>
        <w:t>.</w:t>
      </w:r>
      <w:r w:rsidR="00A34EA0" w:rsidRPr="0052438A">
        <w:rPr>
          <w:rFonts w:ascii="Times New Roman" w:hAnsi="Times New Roman" w:cs="Times New Roman"/>
          <w:sz w:val="24"/>
          <w:szCs w:val="24"/>
        </w:rPr>
        <w:t xml:space="preserve"> Na zapadnom zidu je također došlo do neusklađenosti  projektiranih visina zida s visinama utvrđenim na terenu, te je bilo potrebno izmijeniti projektno rješenje. Prilikom izrade </w:t>
      </w:r>
      <w:r w:rsidR="00194510">
        <w:rPr>
          <w:rFonts w:ascii="Times New Roman" w:hAnsi="Times New Roman" w:cs="Times New Roman"/>
          <w:sz w:val="24"/>
          <w:szCs w:val="24"/>
        </w:rPr>
        <w:t xml:space="preserve">izvedbenog </w:t>
      </w:r>
      <w:r w:rsidR="00A34EA0" w:rsidRPr="0052438A">
        <w:rPr>
          <w:rFonts w:ascii="Times New Roman" w:hAnsi="Times New Roman" w:cs="Times New Roman"/>
          <w:sz w:val="24"/>
          <w:szCs w:val="24"/>
        </w:rPr>
        <w:t xml:space="preserve">troškovnika došlo je do greške u količinama na pojedinim pozicijama, a što je utvrđeno prilikom izvođenja radova. Stoga se temeljem zahtjeva izvođača radova, te detaljne analize i obrazloženja glavnog nadzornog inženjera pristupilo zaključivanju </w:t>
      </w:r>
      <w:bookmarkStart w:id="1" w:name="_Hlk491068597"/>
      <w:r w:rsidR="00E66C03" w:rsidRPr="0052438A">
        <w:rPr>
          <w:rFonts w:ascii="Times New Roman" w:hAnsi="Times New Roman" w:cs="Times New Roman"/>
          <w:sz w:val="24"/>
          <w:szCs w:val="24"/>
        </w:rPr>
        <w:t>1.</w:t>
      </w:r>
      <w:r w:rsidR="0010536D">
        <w:rPr>
          <w:rFonts w:ascii="Times New Roman" w:hAnsi="Times New Roman" w:cs="Times New Roman"/>
          <w:sz w:val="24"/>
          <w:szCs w:val="24"/>
        </w:rPr>
        <w:t xml:space="preserve"> </w:t>
      </w:r>
      <w:r w:rsidR="00E66C03" w:rsidRPr="0052438A">
        <w:rPr>
          <w:rFonts w:ascii="Times New Roman" w:hAnsi="Times New Roman" w:cs="Times New Roman"/>
          <w:sz w:val="24"/>
          <w:szCs w:val="24"/>
        </w:rPr>
        <w:t xml:space="preserve">Izmjena i dopuna osnovnog ugovora o javnoj nabavi </w:t>
      </w:r>
      <w:bookmarkEnd w:id="1"/>
      <w:r w:rsidR="00A34EA0" w:rsidRPr="0052438A">
        <w:rPr>
          <w:rFonts w:ascii="Times New Roman" w:hAnsi="Times New Roman" w:cs="Times New Roman"/>
          <w:sz w:val="24"/>
          <w:szCs w:val="24"/>
        </w:rPr>
        <w:t xml:space="preserve">s izvođačem radova </w:t>
      </w:r>
      <w:r w:rsidR="001179E4" w:rsidRPr="0052438A">
        <w:rPr>
          <w:rFonts w:ascii="Times New Roman" w:hAnsi="Times New Roman" w:cs="Times New Roman"/>
          <w:sz w:val="24"/>
          <w:szCs w:val="24"/>
        </w:rPr>
        <w:t xml:space="preserve">za dodatnih </w:t>
      </w:r>
      <w:r w:rsidR="0010536D">
        <w:rPr>
          <w:rFonts w:ascii="Times New Roman" w:hAnsi="Times New Roman" w:cs="Times New Roman"/>
          <w:sz w:val="24"/>
          <w:szCs w:val="24"/>
        </w:rPr>
        <w:t>375.178,60</w:t>
      </w:r>
      <w:r w:rsidR="001179E4" w:rsidRPr="0052438A">
        <w:rPr>
          <w:rFonts w:ascii="Times New Roman" w:hAnsi="Times New Roman" w:cs="Times New Roman"/>
          <w:sz w:val="24"/>
          <w:szCs w:val="24"/>
        </w:rPr>
        <w:t xml:space="preserve"> </w:t>
      </w:r>
      <w:r w:rsidR="00A34EA0" w:rsidRPr="0052438A">
        <w:rPr>
          <w:rFonts w:ascii="Times New Roman" w:hAnsi="Times New Roman" w:cs="Times New Roman"/>
          <w:sz w:val="24"/>
          <w:szCs w:val="24"/>
        </w:rPr>
        <w:t>Kn</w:t>
      </w:r>
      <w:r w:rsidR="0010536D">
        <w:rPr>
          <w:rFonts w:ascii="Times New Roman" w:hAnsi="Times New Roman" w:cs="Times New Roman"/>
          <w:sz w:val="24"/>
          <w:szCs w:val="24"/>
        </w:rPr>
        <w:t xml:space="preserve"> uvećano za PDV i 2</w:t>
      </w:r>
      <w:r w:rsidR="0010536D" w:rsidRPr="0052438A">
        <w:rPr>
          <w:rFonts w:ascii="Times New Roman" w:hAnsi="Times New Roman" w:cs="Times New Roman"/>
          <w:sz w:val="24"/>
          <w:szCs w:val="24"/>
        </w:rPr>
        <w:t>.</w:t>
      </w:r>
      <w:r w:rsidR="0010536D">
        <w:rPr>
          <w:rFonts w:ascii="Times New Roman" w:hAnsi="Times New Roman" w:cs="Times New Roman"/>
          <w:sz w:val="24"/>
          <w:szCs w:val="24"/>
        </w:rPr>
        <w:t xml:space="preserve"> </w:t>
      </w:r>
      <w:r w:rsidR="0010536D" w:rsidRPr="0052438A">
        <w:rPr>
          <w:rFonts w:ascii="Times New Roman" w:hAnsi="Times New Roman" w:cs="Times New Roman"/>
          <w:sz w:val="24"/>
          <w:szCs w:val="24"/>
        </w:rPr>
        <w:t xml:space="preserve">Izmjena i dopuna osnovnog ugovora o javnoj nabavi s izvođačem radova za dodatnih </w:t>
      </w:r>
      <w:r w:rsidR="0010536D">
        <w:rPr>
          <w:rFonts w:ascii="Times New Roman" w:hAnsi="Times New Roman" w:cs="Times New Roman"/>
          <w:sz w:val="24"/>
          <w:szCs w:val="24"/>
        </w:rPr>
        <w:t>409.416,40</w:t>
      </w:r>
      <w:r w:rsidR="0010536D" w:rsidRPr="0052438A">
        <w:rPr>
          <w:rFonts w:ascii="Times New Roman" w:hAnsi="Times New Roman" w:cs="Times New Roman"/>
          <w:sz w:val="24"/>
          <w:szCs w:val="24"/>
        </w:rPr>
        <w:t xml:space="preserve"> Kn</w:t>
      </w:r>
      <w:r w:rsidR="0010536D">
        <w:rPr>
          <w:rFonts w:ascii="Times New Roman" w:hAnsi="Times New Roman" w:cs="Times New Roman"/>
          <w:sz w:val="24"/>
          <w:szCs w:val="24"/>
        </w:rPr>
        <w:t xml:space="preserve"> uvećano za PDV, </w:t>
      </w:r>
      <w:r w:rsidR="00A34EA0" w:rsidRPr="0052438A">
        <w:rPr>
          <w:rFonts w:ascii="Times New Roman" w:hAnsi="Times New Roman" w:cs="Times New Roman"/>
          <w:sz w:val="24"/>
          <w:szCs w:val="24"/>
        </w:rPr>
        <w:t xml:space="preserve">što čini </w:t>
      </w:r>
      <w:r w:rsidR="0010536D">
        <w:rPr>
          <w:rFonts w:ascii="Times New Roman" w:hAnsi="Times New Roman" w:cs="Times New Roman"/>
          <w:sz w:val="24"/>
          <w:szCs w:val="24"/>
        </w:rPr>
        <w:t xml:space="preserve">ukupno </w:t>
      </w:r>
      <w:r w:rsidR="00E42C80" w:rsidRPr="0052438A">
        <w:rPr>
          <w:rFonts w:ascii="Times New Roman" w:hAnsi="Times New Roman" w:cs="Times New Roman"/>
          <w:sz w:val="24"/>
          <w:szCs w:val="24"/>
        </w:rPr>
        <w:t xml:space="preserve">povećanje od </w:t>
      </w:r>
      <w:r w:rsidR="0010536D">
        <w:rPr>
          <w:rFonts w:ascii="Times New Roman" w:hAnsi="Times New Roman" w:cs="Times New Roman"/>
          <w:sz w:val="24"/>
          <w:szCs w:val="24"/>
        </w:rPr>
        <w:t>7,4</w:t>
      </w:r>
      <w:r w:rsidR="00A34EA0" w:rsidRPr="0052438A">
        <w:rPr>
          <w:rFonts w:ascii="Times New Roman" w:hAnsi="Times New Roman" w:cs="Times New Roman"/>
          <w:sz w:val="24"/>
          <w:szCs w:val="24"/>
        </w:rPr>
        <w:t>% vrijednosti osnovnog ugovora</w:t>
      </w:r>
      <w:r w:rsidR="001179E4" w:rsidRPr="0052438A">
        <w:rPr>
          <w:rFonts w:ascii="Times New Roman" w:hAnsi="Times New Roman" w:cs="Times New Roman"/>
          <w:sz w:val="24"/>
          <w:szCs w:val="24"/>
        </w:rPr>
        <w:t>, tako da je novi ugovoreni iznos 1</w:t>
      </w:r>
      <w:r w:rsidR="0010536D">
        <w:rPr>
          <w:rFonts w:ascii="Times New Roman" w:hAnsi="Times New Roman" w:cs="Times New Roman"/>
          <w:sz w:val="24"/>
          <w:szCs w:val="24"/>
        </w:rPr>
        <w:t>4</w:t>
      </w:r>
      <w:r w:rsidR="001179E4" w:rsidRPr="0052438A">
        <w:rPr>
          <w:rFonts w:ascii="Times New Roman" w:hAnsi="Times New Roman" w:cs="Times New Roman"/>
          <w:sz w:val="24"/>
          <w:szCs w:val="24"/>
        </w:rPr>
        <w:t>.</w:t>
      </w:r>
      <w:r w:rsidR="0010536D">
        <w:rPr>
          <w:rFonts w:ascii="Times New Roman" w:hAnsi="Times New Roman" w:cs="Times New Roman"/>
          <w:sz w:val="24"/>
          <w:szCs w:val="24"/>
        </w:rPr>
        <w:t>204</w:t>
      </w:r>
      <w:r w:rsidR="001179E4" w:rsidRPr="0052438A">
        <w:rPr>
          <w:rFonts w:ascii="Times New Roman" w:hAnsi="Times New Roman" w:cs="Times New Roman"/>
          <w:sz w:val="24"/>
          <w:szCs w:val="24"/>
        </w:rPr>
        <w:t>.</w:t>
      </w:r>
      <w:r w:rsidR="0010536D">
        <w:rPr>
          <w:rFonts w:ascii="Times New Roman" w:hAnsi="Times New Roman" w:cs="Times New Roman"/>
          <w:sz w:val="24"/>
          <w:szCs w:val="24"/>
        </w:rPr>
        <w:t>961,7</w:t>
      </w:r>
      <w:r w:rsidR="00E66C03" w:rsidRPr="0052438A">
        <w:rPr>
          <w:rFonts w:ascii="Times New Roman" w:hAnsi="Times New Roman" w:cs="Times New Roman"/>
          <w:sz w:val="24"/>
          <w:szCs w:val="24"/>
        </w:rPr>
        <w:t>5</w:t>
      </w:r>
      <w:r w:rsidR="001179E4" w:rsidRPr="0052438A">
        <w:rPr>
          <w:rFonts w:ascii="Times New Roman" w:hAnsi="Times New Roman" w:cs="Times New Roman"/>
          <w:sz w:val="24"/>
          <w:szCs w:val="24"/>
        </w:rPr>
        <w:t xml:space="preserve"> Kn</w:t>
      </w:r>
      <w:r w:rsidR="00A34EA0" w:rsidRPr="0052438A">
        <w:rPr>
          <w:rFonts w:ascii="Times New Roman" w:hAnsi="Times New Roman" w:cs="Times New Roman"/>
          <w:sz w:val="24"/>
          <w:szCs w:val="24"/>
        </w:rPr>
        <w:t>. Ukoliko prilikom daljnjeg izvođenja radova dođe do značajnih odstupanja od ugovorenih količina</w:t>
      </w:r>
      <w:r w:rsidR="001179E4" w:rsidRPr="0052438A">
        <w:rPr>
          <w:rFonts w:ascii="Times New Roman" w:hAnsi="Times New Roman" w:cs="Times New Roman"/>
          <w:sz w:val="24"/>
          <w:szCs w:val="24"/>
        </w:rPr>
        <w:t>, bit ćemo prisiljeni s izvođačem radova raskinuti ugovor i raspisati novi postupak</w:t>
      </w:r>
      <w:r w:rsidR="00B51231">
        <w:rPr>
          <w:rFonts w:ascii="Times New Roman" w:hAnsi="Times New Roman" w:cs="Times New Roman"/>
          <w:sz w:val="24"/>
          <w:szCs w:val="24"/>
        </w:rPr>
        <w:t xml:space="preserve"> javne nabave, posebno iz razloga što</w:t>
      </w:r>
      <w:r w:rsidR="001179E4" w:rsidRPr="0052438A">
        <w:rPr>
          <w:rFonts w:ascii="Times New Roman" w:hAnsi="Times New Roman" w:cs="Times New Roman"/>
          <w:sz w:val="24"/>
          <w:szCs w:val="24"/>
        </w:rPr>
        <w:t xml:space="preserve"> </w:t>
      </w:r>
      <w:r w:rsidR="00796D80">
        <w:rPr>
          <w:rFonts w:ascii="Times New Roman" w:hAnsi="Times New Roman" w:cs="Times New Roman"/>
          <w:sz w:val="24"/>
          <w:szCs w:val="24"/>
        </w:rPr>
        <w:t xml:space="preserve">je provedeno </w:t>
      </w:r>
      <w:r w:rsidR="001179E4" w:rsidRPr="0052438A">
        <w:rPr>
          <w:rFonts w:ascii="Times New Roman" w:hAnsi="Times New Roman" w:cs="Times New Roman"/>
          <w:sz w:val="24"/>
          <w:szCs w:val="24"/>
        </w:rPr>
        <w:t>vješ</w:t>
      </w:r>
      <w:r w:rsidR="00B51231">
        <w:rPr>
          <w:rFonts w:ascii="Times New Roman" w:hAnsi="Times New Roman" w:cs="Times New Roman"/>
          <w:sz w:val="24"/>
          <w:szCs w:val="24"/>
        </w:rPr>
        <w:t>tačenja jedne ugovorne stavke koju</w:t>
      </w:r>
      <w:r w:rsidR="001179E4" w:rsidRPr="0052438A">
        <w:rPr>
          <w:rFonts w:ascii="Times New Roman" w:hAnsi="Times New Roman" w:cs="Times New Roman"/>
          <w:sz w:val="24"/>
          <w:szCs w:val="24"/>
        </w:rPr>
        <w:t xml:space="preserve"> projektant, izvođač i nadzorni inženjer različito tumače, a radi se o značajn</w:t>
      </w:r>
      <w:r w:rsidR="00C26828">
        <w:rPr>
          <w:rFonts w:ascii="Times New Roman" w:hAnsi="Times New Roman" w:cs="Times New Roman"/>
          <w:sz w:val="24"/>
          <w:szCs w:val="24"/>
        </w:rPr>
        <w:t xml:space="preserve">im količinama na </w:t>
      </w:r>
      <w:r w:rsidR="001179E4" w:rsidRPr="0052438A">
        <w:rPr>
          <w:rFonts w:ascii="Times New Roman" w:hAnsi="Times New Roman" w:cs="Times New Roman"/>
          <w:sz w:val="24"/>
          <w:szCs w:val="24"/>
        </w:rPr>
        <w:t>ugovornoj stavci</w:t>
      </w:r>
      <w:r w:rsidR="00B51231">
        <w:rPr>
          <w:rFonts w:ascii="Times New Roman" w:hAnsi="Times New Roman" w:cs="Times New Roman"/>
          <w:sz w:val="24"/>
          <w:szCs w:val="24"/>
        </w:rPr>
        <w:t xml:space="preserve"> - izgradnji</w:t>
      </w:r>
      <w:r w:rsidR="001179E4" w:rsidRPr="0052438A">
        <w:rPr>
          <w:rFonts w:ascii="Times New Roman" w:hAnsi="Times New Roman" w:cs="Times New Roman"/>
          <w:sz w:val="24"/>
          <w:szCs w:val="24"/>
        </w:rPr>
        <w:t xml:space="preserve"> gabiona tipa „te</w:t>
      </w:r>
      <w:r w:rsidR="00E42C80" w:rsidRPr="0052438A">
        <w:rPr>
          <w:rFonts w:ascii="Times New Roman" w:hAnsi="Times New Roman" w:cs="Times New Roman"/>
          <w:sz w:val="24"/>
          <w:szCs w:val="24"/>
        </w:rPr>
        <w:t>r</w:t>
      </w:r>
      <w:r w:rsidR="001179E4" w:rsidRPr="0052438A">
        <w:rPr>
          <w:rFonts w:ascii="Times New Roman" w:hAnsi="Times New Roman" w:cs="Times New Roman"/>
          <w:sz w:val="24"/>
          <w:szCs w:val="24"/>
        </w:rPr>
        <w:t xml:space="preserve">ramesh“.  </w:t>
      </w:r>
    </w:p>
    <w:p w:rsidR="00A541AC" w:rsidRDefault="00A541AC" w:rsidP="00E25C65">
      <w:pPr>
        <w:jc w:val="both"/>
        <w:rPr>
          <w:rFonts w:ascii="Times New Roman" w:hAnsi="Times New Roman" w:cs="Times New Roman"/>
          <w:b/>
          <w:sz w:val="24"/>
          <w:szCs w:val="24"/>
        </w:rPr>
      </w:pPr>
    </w:p>
    <w:p w:rsidR="00A541AC" w:rsidRDefault="00A541AC" w:rsidP="00E25C65">
      <w:pPr>
        <w:jc w:val="both"/>
        <w:rPr>
          <w:rFonts w:ascii="Times New Roman" w:hAnsi="Times New Roman" w:cs="Times New Roman"/>
          <w:b/>
          <w:sz w:val="24"/>
          <w:szCs w:val="24"/>
        </w:rPr>
      </w:pPr>
    </w:p>
    <w:p w:rsidR="00A541AC" w:rsidRDefault="00A541AC" w:rsidP="00E25C65">
      <w:pPr>
        <w:jc w:val="both"/>
        <w:rPr>
          <w:rFonts w:ascii="Times New Roman" w:hAnsi="Times New Roman" w:cs="Times New Roman"/>
          <w:b/>
          <w:sz w:val="24"/>
          <w:szCs w:val="24"/>
        </w:rPr>
      </w:pPr>
    </w:p>
    <w:p w:rsidR="006403CD" w:rsidRDefault="001179E4" w:rsidP="00E25C65">
      <w:pPr>
        <w:jc w:val="both"/>
        <w:rPr>
          <w:rFonts w:ascii="Times New Roman" w:hAnsi="Times New Roman" w:cs="Times New Roman"/>
          <w:b/>
          <w:sz w:val="24"/>
          <w:szCs w:val="24"/>
        </w:rPr>
      </w:pPr>
      <w:r w:rsidRPr="0052438A">
        <w:rPr>
          <w:rFonts w:ascii="Times New Roman" w:hAnsi="Times New Roman" w:cs="Times New Roman"/>
          <w:b/>
          <w:sz w:val="24"/>
          <w:szCs w:val="24"/>
        </w:rPr>
        <w:lastRenderedPageBreak/>
        <w:t>AD-3</w:t>
      </w:r>
      <w:r w:rsidR="00E42C80" w:rsidRPr="0052438A">
        <w:rPr>
          <w:rFonts w:ascii="Times New Roman" w:hAnsi="Times New Roman" w:cs="Times New Roman"/>
          <w:b/>
          <w:sz w:val="24"/>
          <w:szCs w:val="24"/>
        </w:rPr>
        <w:t xml:space="preserve">  Izgradnja kolnog pristupa za buduće groblje   </w:t>
      </w:r>
    </w:p>
    <w:p w:rsidR="00E42C80" w:rsidRPr="0052438A" w:rsidRDefault="006403CD"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Tijekom 2016. godine otkupljeno je čitavo zemljište potrebno za formiranje građevinske čestice za pristupnu cestu za groblje, čime su se stvorili preduvjeti za ishođenje građevinske dozvole. Glavni i izvedbeni projekt pristupne ceste izradilo je društvo Traser d.o.o. iz Dubrovnika, te je temeljem istog dana </w:t>
      </w:r>
      <w:r w:rsidR="00E42C80" w:rsidRPr="0052438A">
        <w:rPr>
          <w:rFonts w:ascii="Times New Roman" w:hAnsi="Times New Roman" w:cs="Times New Roman"/>
          <w:sz w:val="24"/>
          <w:szCs w:val="24"/>
        </w:rPr>
        <w:t>0</w:t>
      </w:r>
      <w:r w:rsidRPr="0052438A">
        <w:rPr>
          <w:rFonts w:ascii="Times New Roman" w:hAnsi="Times New Roman" w:cs="Times New Roman"/>
          <w:sz w:val="24"/>
          <w:szCs w:val="24"/>
        </w:rPr>
        <w:t xml:space="preserve">6.09.2016. godine ishođena građevinska dozvola. Raspisan je postupak javne nabave te je kao najpovoljniji ponuditelj izabrano društvo </w:t>
      </w:r>
      <w:r w:rsidR="00A40899">
        <w:rPr>
          <w:rFonts w:ascii="Times New Roman" w:hAnsi="Times New Roman" w:cs="Times New Roman"/>
          <w:sz w:val="24"/>
          <w:szCs w:val="24"/>
        </w:rPr>
        <w:t>Inženjering</w:t>
      </w:r>
      <w:r w:rsidR="00C26828">
        <w:rPr>
          <w:rFonts w:ascii="Times New Roman" w:hAnsi="Times New Roman" w:cs="Times New Roman"/>
          <w:sz w:val="24"/>
          <w:szCs w:val="24"/>
        </w:rPr>
        <w:t xml:space="preserve"> </w:t>
      </w:r>
      <w:r w:rsidRPr="0052438A">
        <w:rPr>
          <w:rFonts w:ascii="Times New Roman" w:hAnsi="Times New Roman" w:cs="Times New Roman"/>
          <w:sz w:val="24"/>
          <w:szCs w:val="24"/>
        </w:rPr>
        <w:t>Georad d.o.o. iz Makarske. Dana 05.12.2016. godine Općina Župa dubrovačka zaključila je ugovor s izvođačem radova ukupne vrijednosti od 4.</w:t>
      </w:r>
      <w:r w:rsidR="00E42C80" w:rsidRPr="0052438A">
        <w:rPr>
          <w:rFonts w:ascii="Times New Roman" w:hAnsi="Times New Roman" w:cs="Times New Roman"/>
          <w:sz w:val="24"/>
          <w:szCs w:val="24"/>
        </w:rPr>
        <w:t>494</w:t>
      </w:r>
      <w:r w:rsidRPr="0052438A">
        <w:rPr>
          <w:rFonts w:ascii="Times New Roman" w:hAnsi="Times New Roman" w:cs="Times New Roman"/>
          <w:sz w:val="24"/>
          <w:szCs w:val="24"/>
        </w:rPr>
        <w:t>.0</w:t>
      </w:r>
      <w:r w:rsidR="00E42C80" w:rsidRPr="0052438A">
        <w:rPr>
          <w:rFonts w:ascii="Times New Roman" w:hAnsi="Times New Roman" w:cs="Times New Roman"/>
          <w:sz w:val="24"/>
          <w:szCs w:val="24"/>
        </w:rPr>
        <w:t>64</w:t>
      </w:r>
      <w:r w:rsidRPr="0052438A">
        <w:rPr>
          <w:rFonts w:ascii="Times New Roman" w:hAnsi="Times New Roman" w:cs="Times New Roman"/>
          <w:sz w:val="24"/>
          <w:szCs w:val="24"/>
        </w:rPr>
        <w:t xml:space="preserve">,00 Kn s PDV-om i rokom završetka radova od 7 mjeseci. </w:t>
      </w:r>
      <w:r w:rsidR="00481F3B" w:rsidRPr="0052438A">
        <w:rPr>
          <w:rFonts w:ascii="Times New Roman" w:hAnsi="Times New Roman" w:cs="Times New Roman"/>
          <w:sz w:val="24"/>
          <w:szCs w:val="24"/>
        </w:rPr>
        <w:t>Također je zaključen Ugovor o građevinskom i geodetskom nadzoru s društvom  Orto d.o.o. i g. Vinkom Fab</w:t>
      </w:r>
      <w:r w:rsidR="00E42C80" w:rsidRPr="0052438A">
        <w:rPr>
          <w:rFonts w:ascii="Times New Roman" w:hAnsi="Times New Roman" w:cs="Times New Roman"/>
          <w:sz w:val="24"/>
          <w:szCs w:val="24"/>
        </w:rPr>
        <w:t>ris</w:t>
      </w:r>
      <w:r w:rsidR="00194510">
        <w:rPr>
          <w:rFonts w:ascii="Times New Roman" w:hAnsi="Times New Roman" w:cs="Times New Roman"/>
          <w:sz w:val="24"/>
          <w:szCs w:val="24"/>
        </w:rPr>
        <w:t>om</w:t>
      </w:r>
      <w:r w:rsidR="00E42C80" w:rsidRPr="0052438A">
        <w:rPr>
          <w:rFonts w:ascii="Times New Roman" w:hAnsi="Times New Roman" w:cs="Times New Roman"/>
          <w:sz w:val="24"/>
          <w:szCs w:val="24"/>
        </w:rPr>
        <w:t xml:space="preserve">  kao glavnim inženjerom, </w:t>
      </w:r>
      <w:r w:rsidR="00481F3B" w:rsidRPr="0052438A">
        <w:rPr>
          <w:rFonts w:ascii="Times New Roman" w:hAnsi="Times New Roman" w:cs="Times New Roman"/>
          <w:sz w:val="24"/>
          <w:szCs w:val="24"/>
        </w:rPr>
        <w:t>Ugovor s koordinatorom zaštite na radu s društvom Projektna or</w:t>
      </w:r>
      <w:r w:rsidR="00E42C80" w:rsidRPr="0052438A">
        <w:rPr>
          <w:rFonts w:ascii="Times New Roman" w:hAnsi="Times New Roman" w:cs="Times New Roman"/>
          <w:sz w:val="24"/>
          <w:szCs w:val="24"/>
        </w:rPr>
        <w:t>ganizacija d.o.o. iz Dubrovnika, te Ugovor o projektantskom nadzoru s društvom Traser d.o.o. iz Dubrovnika.</w:t>
      </w:r>
    </w:p>
    <w:p w:rsidR="00481F3B" w:rsidRPr="0052438A" w:rsidRDefault="006403CD"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Prema </w:t>
      </w:r>
      <w:r w:rsidR="00E42C80" w:rsidRPr="0052438A">
        <w:rPr>
          <w:rFonts w:ascii="Times New Roman" w:hAnsi="Times New Roman" w:cs="Times New Roman"/>
          <w:sz w:val="24"/>
          <w:szCs w:val="24"/>
        </w:rPr>
        <w:t>nalogu</w:t>
      </w:r>
      <w:r w:rsidRPr="0052438A">
        <w:rPr>
          <w:rFonts w:ascii="Times New Roman" w:hAnsi="Times New Roman" w:cs="Times New Roman"/>
          <w:sz w:val="24"/>
          <w:szCs w:val="24"/>
        </w:rPr>
        <w:t xml:space="preserve"> Hrvatskih cesta, s radovima </w:t>
      </w:r>
      <w:r w:rsidR="00194510">
        <w:rPr>
          <w:rFonts w:ascii="Times New Roman" w:hAnsi="Times New Roman" w:cs="Times New Roman"/>
          <w:sz w:val="24"/>
          <w:szCs w:val="24"/>
        </w:rPr>
        <w:t xml:space="preserve">uz državnu cestu D8 </w:t>
      </w:r>
      <w:r w:rsidRPr="0052438A">
        <w:rPr>
          <w:rFonts w:ascii="Times New Roman" w:hAnsi="Times New Roman" w:cs="Times New Roman"/>
          <w:sz w:val="24"/>
          <w:szCs w:val="24"/>
        </w:rPr>
        <w:t xml:space="preserve">nije bilo moguće započeti prije 09.01.2017. godine iz kojih razloga je pomaknut i rok završetka radova. </w:t>
      </w:r>
      <w:r w:rsidR="00796D80">
        <w:rPr>
          <w:rFonts w:ascii="Times New Roman" w:hAnsi="Times New Roman" w:cs="Times New Roman"/>
          <w:sz w:val="24"/>
          <w:szCs w:val="24"/>
        </w:rPr>
        <w:t>Svi r</w:t>
      </w:r>
      <w:r w:rsidRPr="0052438A">
        <w:rPr>
          <w:rFonts w:ascii="Times New Roman" w:hAnsi="Times New Roman" w:cs="Times New Roman"/>
          <w:sz w:val="24"/>
          <w:szCs w:val="24"/>
        </w:rPr>
        <w:t xml:space="preserve">adovi na izgradnji ceste su </w:t>
      </w:r>
      <w:r w:rsidR="0010536D">
        <w:rPr>
          <w:rFonts w:ascii="Times New Roman" w:hAnsi="Times New Roman" w:cs="Times New Roman"/>
          <w:sz w:val="24"/>
          <w:szCs w:val="24"/>
        </w:rPr>
        <w:t>z</w:t>
      </w:r>
      <w:r w:rsidRPr="0052438A">
        <w:rPr>
          <w:rFonts w:ascii="Times New Roman" w:hAnsi="Times New Roman" w:cs="Times New Roman"/>
          <w:sz w:val="24"/>
          <w:szCs w:val="24"/>
        </w:rPr>
        <w:t>avrš</w:t>
      </w:r>
      <w:r w:rsidR="0010536D">
        <w:rPr>
          <w:rFonts w:ascii="Times New Roman" w:hAnsi="Times New Roman" w:cs="Times New Roman"/>
          <w:sz w:val="24"/>
          <w:szCs w:val="24"/>
        </w:rPr>
        <w:t>eni</w:t>
      </w:r>
      <w:r w:rsidR="00A40899">
        <w:rPr>
          <w:rFonts w:ascii="Times New Roman" w:hAnsi="Times New Roman" w:cs="Times New Roman"/>
          <w:sz w:val="24"/>
          <w:szCs w:val="24"/>
        </w:rPr>
        <w:t xml:space="preserve"> koncem 2017. godine</w:t>
      </w:r>
      <w:r w:rsidR="00194510">
        <w:rPr>
          <w:rFonts w:ascii="Times New Roman" w:hAnsi="Times New Roman" w:cs="Times New Roman"/>
          <w:sz w:val="24"/>
          <w:szCs w:val="24"/>
        </w:rPr>
        <w:t>,</w:t>
      </w:r>
      <w:r w:rsidRPr="0052438A">
        <w:rPr>
          <w:rFonts w:ascii="Times New Roman" w:hAnsi="Times New Roman" w:cs="Times New Roman"/>
          <w:sz w:val="24"/>
          <w:szCs w:val="24"/>
        </w:rPr>
        <w:t xml:space="preserve"> </w:t>
      </w:r>
      <w:r w:rsidR="0010536D">
        <w:rPr>
          <w:rFonts w:ascii="Times New Roman" w:hAnsi="Times New Roman" w:cs="Times New Roman"/>
          <w:sz w:val="24"/>
          <w:szCs w:val="24"/>
        </w:rPr>
        <w:t xml:space="preserve">osim što će </w:t>
      </w:r>
      <w:r w:rsidR="00481F3B" w:rsidRPr="0052438A">
        <w:rPr>
          <w:rFonts w:ascii="Times New Roman" w:hAnsi="Times New Roman" w:cs="Times New Roman"/>
          <w:sz w:val="24"/>
          <w:szCs w:val="24"/>
        </w:rPr>
        <w:t xml:space="preserve">će se radovi na semaforizaciji raskrižja </w:t>
      </w:r>
      <w:r w:rsidR="00A40899">
        <w:rPr>
          <w:rFonts w:ascii="Times New Roman" w:hAnsi="Times New Roman" w:cs="Times New Roman"/>
          <w:sz w:val="24"/>
          <w:szCs w:val="24"/>
        </w:rPr>
        <w:t>realizirati</w:t>
      </w:r>
      <w:r w:rsidR="00481F3B" w:rsidRPr="0052438A">
        <w:rPr>
          <w:rFonts w:ascii="Times New Roman" w:hAnsi="Times New Roman" w:cs="Times New Roman"/>
          <w:sz w:val="24"/>
          <w:szCs w:val="24"/>
        </w:rPr>
        <w:t xml:space="preserve"> </w:t>
      </w:r>
      <w:r w:rsidR="001C67BA">
        <w:rPr>
          <w:rFonts w:ascii="Times New Roman" w:hAnsi="Times New Roman" w:cs="Times New Roman"/>
          <w:sz w:val="24"/>
          <w:szCs w:val="24"/>
        </w:rPr>
        <w:t>do početka turističke sezone 2018. godine</w:t>
      </w:r>
      <w:r w:rsidR="00481F3B" w:rsidRPr="0052438A">
        <w:rPr>
          <w:rFonts w:ascii="Times New Roman" w:hAnsi="Times New Roman" w:cs="Times New Roman"/>
          <w:sz w:val="24"/>
          <w:szCs w:val="24"/>
        </w:rPr>
        <w:t xml:space="preserve">, </w:t>
      </w:r>
      <w:r w:rsidR="00E42C80" w:rsidRPr="0052438A">
        <w:rPr>
          <w:rFonts w:ascii="Times New Roman" w:hAnsi="Times New Roman" w:cs="Times New Roman"/>
          <w:sz w:val="24"/>
          <w:szCs w:val="24"/>
        </w:rPr>
        <w:t>kada će radove ukupne vrijednosti</w:t>
      </w:r>
      <w:r w:rsidR="00481F3B" w:rsidRPr="0052438A">
        <w:rPr>
          <w:rFonts w:ascii="Times New Roman" w:hAnsi="Times New Roman" w:cs="Times New Roman"/>
          <w:sz w:val="24"/>
          <w:szCs w:val="24"/>
        </w:rPr>
        <w:t xml:space="preserve"> 4</w:t>
      </w:r>
      <w:r w:rsidR="002D1D42" w:rsidRPr="0052438A">
        <w:rPr>
          <w:rFonts w:ascii="Times New Roman" w:hAnsi="Times New Roman" w:cs="Times New Roman"/>
          <w:sz w:val="24"/>
          <w:szCs w:val="24"/>
        </w:rPr>
        <w:t>00.000,00 Kn</w:t>
      </w:r>
      <w:r w:rsidR="00481F3B" w:rsidRPr="0052438A">
        <w:rPr>
          <w:rFonts w:ascii="Times New Roman" w:hAnsi="Times New Roman" w:cs="Times New Roman"/>
          <w:sz w:val="24"/>
          <w:szCs w:val="24"/>
        </w:rPr>
        <w:t xml:space="preserve"> </w:t>
      </w:r>
      <w:r w:rsidR="00E42C80" w:rsidRPr="0052438A">
        <w:rPr>
          <w:rFonts w:ascii="Times New Roman" w:hAnsi="Times New Roman" w:cs="Times New Roman"/>
          <w:sz w:val="24"/>
          <w:szCs w:val="24"/>
        </w:rPr>
        <w:t xml:space="preserve">izvoditi </w:t>
      </w:r>
      <w:r w:rsidR="00481F3B" w:rsidRPr="0052438A">
        <w:rPr>
          <w:rFonts w:ascii="Times New Roman" w:hAnsi="Times New Roman" w:cs="Times New Roman"/>
          <w:sz w:val="24"/>
          <w:szCs w:val="24"/>
        </w:rPr>
        <w:t>Hrvatske ceste</w:t>
      </w:r>
      <w:r w:rsidR="00E42C80" w:rsidRPr="0052438A">
        <w:rPr>
          <w:rFonts w:ascii="Times New Roman" w:hAnsi="Times New Roman" w:cs="Times New Roman"/>
          <w:sz w:val="24"/>
          <w:szCs w:val="24"/>
        </w:rPr>
        <w:t xml:space="preserve"> koje su </w:t>
      </w:r>
      <w:r w:rsidR="00A40899">
        <w:rPr>
          <w:rFonts w:ascii="Times New Roman" w:hAnsi="Times New Roman" w:cs="Times New Roman"/>
          <w:sz w:val="24"/>
          <w:szCs w:val="24"/>
        </w:rPr>
        <w:t xml:space="preserve">nakon zajedničkih pregovora </w:t>
      </w:r>
      <w:r w:rsidR="00E42C80" w:rsidRPr="0052438A">
        <w:rPr>
          <w:rFonts w:ascii="Times New Roman" w:hAnsi="Times New Roman" w:cs="Times New Roman"/>
          <w:sz w:val="24"/>
          <w:szCs w:val="24"/>
        </w:rPr>
        <w:t>preuzele obvezu postavljanja semafora</w:t>
      </w:r>
      <w:r w:rsidR="00481F3B" w:rsidRPr="0052438A">
        <w:rPr>
          <w:rFonts w:ascii="Times New Roman" w:hAnsi="Times New Roman" w:cs="Times New Roman"/>
          <w:sz w:val="24"/>
          <w:szCs w:val="24"/>
        </w:rPr>
        <w:t>.</w:t>
      </w:r>
      <w:r w:rsidR="00D4137F">
        <w:rPr>
          <w:rFonts w:ascii="Times New Roman" w:hAnsi="Times New Roman" w:cs="Times New Roman"/>
          <w:sz w:val="24"/>
          <w:szCs w:val="24"/>
        </w:rPr>
        <w:t xml:space="preserve"> Nakon toga će se pristupiti tehničkom pregledu i ishođenju uporabne dozvole.</w:t>
      </w:r>
    </w:p>
    <w:p w:rsidR="001C67BA" w:rsidRDefault="00481F3B"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Prilikom izvođenja radova utvrđeno je da je zbog izrazito čvrste stijenske podloge nemoguće izvesti hortikulturno uređenje pokosa sukladno projektu, te</w:t>
      </w:r>
      <w:r w:rsidR="00796D80">
        <w:rPr>
          <w:rFonts w:ascii="Times New Roman" w:hAnsi="Times New Roman" w:cs="Times New Roman"/>
          <w:sz w:val="24"/>
          <w:szCs w:val="24"/>
        </w:rPr>
        <w:t xml:space="preserve"> smo </w:t>
      </w:r>
      <w:r w:rsidRPr="0052438A">
        <w:rPr>
          <w:rFonts w:ascii="Times New Roman" w:hAnsi="Times New Roman" w:cs="Times New Roman"/>
          <w:sz w:val="24"/>
          <w:szCs w:val="24"/>
        </w:rPr>
        <w:t xml:space="preserve">nakon </w:t>
      </w:r>
      <w:r w:rsidR="00E42C80" w:rsidRPr="0052438A">
        <w:rPr>
          <w:rFonts w:ascii="Times New Roman" w:hAnsi="Times New Roman" w:cs="Times New Roman"/>
          <w:sz w:val="24"/>
          <w:szCs w:val="24"/>
        </w:rPr>
        <w:t>što su se u</w:t>
      </w:r>
      <w:r w:rsidRPr="0052438A">
        <w:rPr>
          <w:rFonts w:ascii="Times New Roman" w:hAnsi="Times New Roman" w:cs="Times New Roman"/>
          <w:sz w:val="24"/>
          <w:szCs w:val="24"/>
        </w:rPr>
        <w:t>suglas</w:t>
      </w:r>
      <w:r w:rsidR="00E42C80" w:rsidRPr="0052438A">
        <w:rPr>
          <w:rFonts w:ascii="Times New Roman" w:hAnsi="Times New Roman" w:cs="Times New Roman"/>
          <w:sz w:val="24"/>
          <w:szCs w:val="24"/>
        </w:rPr>
        <w:t>ili</w:t>
      </w:r>
      <w:r w:rsidRPr="0052438A">
        <w:rPr>
          <w:rFonts w:ascii="Times New Roman" w:hAnsi="Times New Roman" w:cs="Times New Roman"/>
          <w:sz w:val="24"/>
          <w:szCs w:val="24"/>
        </w:rPr>
        <w:t xml:space="preserve"> projektant i </w:t>
      </w:r>
      <w:r w:rsidR="006D287A" w:rsidRPr="0052438A">
        <w:rPr>
          <w:rFonts w:ascii="Times New Roman" w:hAnsi="Times New Roman" w:cs="Times New Roman"/>
          <w:sz w:val="24"/>
          <w:szCs w:val="24"/>
        </w:rPr>
        <w:t xml:space="preserve">glavni </w:t>
      </w:r>
      <w:r w:rsidRPr="0052438A">
        <w:rPr>
          <w:rFonts w:ascii="Times New Roman" w:hAnsi="Times New Roman" w:cs="Times New Roman"/>
          <w:sz w:val="24"/>
          <w:szCs w:val="24"/>
        </w:rPr>
        <w:t>nadzorn</w:t>
      </w:r>
      <w:r w:rsidR="006D287A" w:rsidRPr="0052438A">
        <w:rPr>
          <w:rFonts w:ascii="Times New Roman" w:hAnsi="Times New Roman" w:cs="Times New Roman"/>
          <w:sz w:val="24"/>
          <w:szCs w:val="24"/>
        </w:rPr>
        <w:t>i</w:t>
      </w:r>
      <w:r w:rsidRPr="0052438A">
        <w:rPr>
          <w:rFonts w:ascii="Times New Roman" w:hAnsi="Times New Roman" w:cs="Times New Roman"/>
          <w:sz w:val="24"/>
          <w:szCs w:val="24"/>
        </w:rPr>
        <w:t xml:space="preserve"> inženjer pristupi</w:t>
      </w:r>
      <w:r w:rsidR="00796D80">
        <w:rPr>
          <w:rFonts w:ascii="Times New Roman" w:hAnsi="Times New Roman" w:cs="Times New Roman"/>
          <w:sz w:val="24"/>
          <w:szCs w:val="24"/>
        </w:rPr>
        <w:t>l</w:t>
      </w:r>
      <w:r w:rsidRPr="0052438A">
        <w:rPr>
          <w:rFonts w:ascii="Times New Roman" w:hAnsi="Times New Roman" w:cs="Times New Roman"/>
          <w:sz w:val="24"/>
          <w:szCs w:val="24"/>
        </w:rPr>
        <w:t>i izmjeni projekta u tom dijelu, te također i izmjeni lokacijske i građevinske dozvole, kako bi se u konačnici uspješno ishodila uporabna dozvola.</w:t>
      </w:r>
      <w:r w:rsidR="002D1D42" w:rsidRPr="0052438A">
        <w:rPr>
          <w:rFonts w:ascii="Times New Roman" w:hAnsi="Times New Roman" w:cs="Times New Roman"/>
          <w:sz w:val="24"/>
          <w:szCs w:val="24"/>
        </w:rPr>
        <w:t xml:space="preserve"> </w:t>
      </w:r>
      <w:r w:rsidR="00796D80">
        <w:rPr>
          <w:rFonts w:ascii="Times New Roman" w:hAnsi="Times New Roman" w:cs="Times New Roman"/>
          <w:sz w:val="24"/>
          <w:szCs w:val="24"/>
        </w:rPr>
        <w:t xml:space="preserve">Postupak izmjene lokacijske i građevinske dozvole proveden je prije završetka radova na cesti. </w:t>
      </w:r>
      <w:r w:rsidR="002D1D42" w:rsidRPr="0052438A">
        <w:rPr>
          <w:rFonts w:ascii="Times New Roman" w:hAnsi="Times New Roman" w:cs="Times New Roman"/>
          <w:sz w:val="24"/>
          <w:szCs w:val="24"/>
        </w:rPr>
        <w:t>Zbog odustajanja od izvođenja radova na hortikulturnom uređenj</w:t>
      </w:r>
      <w:r w:rsidR="006D287A" w:rsidRPr="0052438A">
        <w:rPr>
          <w:rFonts w:ascii="Times New Roman" w:hAnsi="Times New Roman" w:cs="Times New Roman"/>
          <w:sz w:val="24"/>
          <w:szCs w:val="24"/>
        </w:rPr>
        <w:t>u</w:t>
      </w:r>
      <w:r w:rsidR="002D1D42" w:rsidRPr="0052438A">
        <w:rPr>
          <w:rFonts w:ascii="Times New Roman" w:hAnsi="Times New Roman" w:cs="Times New Roman"/>
          <w:sz w:val="24"/>
          <w:szCs w:val="24"/>
        </w:rPr>
        <w:t xml:space="preserve">, ali i zbog nepredviđenih radova na izgradnji pristupne ceste, temeljem zahtjeva izvođača radova i detaljne analize i obrazloženja glavnog nadzornog inženjera pristupilo se zaključivanju </w:t>
      </w:r>
      <w:r w:rsidR="006D287A" w:rsidRPr="0052438A">
        <w:rPr>
          <w:rFonts w:ascii="Times New Roman" w:hAnsi="Times New Roman" w:cs="Times New Roman"/>
          <w:sz w:val="24"/>
          <w:szCs w:val="24"/>
        </w:rPr>
        <w:t xml:space="preserve">1. Izmjena i dopuna osnovnog ugovora o javnoj nabavi </w:t>
      </w:r>
      <w:r w:rsidR="002D1D42" w:rsidRPr="0052438A">
        <w:rPr>
          <w:rFonts w:ascii="Times New Roman" w:hAnsi="Times New Roman" w:cs="Times New Roman"/>
          <w:sz w:val="24"/>
          <w:szCs w:val="24"/>
        </w:rPr>
        <w:t xml:space="preserve">s izvođačem radova u kojem je nova ugovorena vrijednost za </w:t>
      </w:r>
      <w:r w:rsidR="006D287A" w:rsidRPr="0052438A">
        <w:rPr>
          <w:rFonts w:ascii="Times New Roman" w:hAnsi="Times New Roman" w:cs="Times New Roman"/>
          <w:sz w:val="24"/>
          <w:szCs w:val="24"/>
        </w:rPr>
        <w:t>250.080,83</w:t>
      </w:r>
      <w:r w:rsidR="002D1D42" w:rsidRPr="0052438A">
        <w:rPr>
          <w:rFonts w:ascii="Times New Roman" w:hAnsi="Times New Roman" w:cs="Times New Roman"/>
          <w:sz w:val="24"/>
          <w:szCs w:val="24"/>
        </w:rPr>
        <w:t xml:space="preserve"> Kn manja od osnovnog ugovora, odnosno </w:t>
      </w:r>
      <w:r w:rsidR="001C67BA">
        <w:rPr>
          <w:rFonts w:ascii="Times New Roman" w:hAnsi="Times New Roman" w:cs="Times New Roman"/>
          <w:sz w:val="24"/>
          <w:szCs w:val="24"/>
        </w:rPr>
        <w:t>i</w:t>
      </w:r>
      <w:r w:rsidR="002D1D42" w:rsidRPr="0052438A">
        <w:rPr>
          <w:rFonts w:ascii="Times New Roman" w:hAnsi="Times New Roman" w:cs="Times New Roman"/>
          <w:sz w:val="24"/>
          <w:szCs w:val="24"/>
        </w:rPr>
        <w:t>znosi 4.</w:t>
      </w:r>
      <w:r w:rsidR="006D287A" w:rsidRPr="0052438A">
        <w:rPr>
          <w:rFonts w:ascii="Times New Roman" w:hAnsi="Times New Roman" w:cs="Times New Roman"/>
          <w:sz w:val="24"/>
          <w:szCs w:val="24"/>
        </w:rPr>
        <w:t>243.983,17</w:t>
      </w:r>
      <w:r w:rsidR="002D1D42" w:rsidRPr="0052438A">
        <w:rPr>
          <w:rFonts w:ascii="Times New Roman" w:hAnsi="Times New Roman" w:cs="Times New Roman"/>
          <w:sz w:val="24"/>
          <w:szCs w:val="24"/>
        </w:rPr>
        <w:t xml:space="preserve"> Kn</w:t>
      </w:r>
      <w:r w:rsidR="001C67BA">
        <w:rPr>
          <w:rFonts w:ascii="Times New Roman" w:hAnsi="Times New Roman" w:cs="Times New Roman"/>
          <w:sz w:val="24"/>
          <w:szCs w:val="24"/>
        </w:rPr>
        <w:t>. Na</w:t>
      </w:r>
      <w:r w:rsidR="00796D80">
        <w:rPr>
          <w:rFonts w:ascii="Times New Roman" w:hAnsi="Times New Roman" w:cs="Times New Roman"/>
          <w:sz w:val="24"/>
          <w:szCs w:val="24"/>
        </w:rPr>
        <w:t>kon što su završeni svi radovi</w:t>
      </w:r>
      <w:r w:rsidR="00C26828">
        <w:rPr>
          <w:rFonts w:ascii="Times New Roman" w:hAnsi="Times New Roman" w:cs="Times New Roman"/>
          <w:sz w:val="24"/>
          <w:szCs w:val="24"/>
        </w:rPr>
        <w:t>,</w:t>
      </w:r>
      <w:r w:rsidR="00796D80">
        <w:rPr>
          <w:rFonts w:ascii="Times New Roman" w:hAnsi="Times New Roman" w:cs="Times New Roman"/>
          <w:sz w:val="24"/>
          <w:szCs w:val="24"/>
        </w:rPr>
        <w:t xml:space="preserve"> u</w:t>
      </w:r>
      <w:r w:rsidR="001C67BA">
        <w:rPr>
          <w:rFonts w:ascii="Times New Roman" w:hAnsi="Times New Roman" w:cs="Times New Roman"/>
          <w:sz w:val="24"/>
          <w:szCs w:val="24"/>
        </w:rPr>
        <w:t xml:space="preserve">kupna vrijednost radova po konačnom obračunu </w:t>
      </w:r>
      <w:r w:rsidR="00796D80">
        <w:rPr>
          <w:rFonts w:ascii="Times New Roman" w:hAnsi="Times New Roman" w:cs="Times New Roman"/>
          <w:sz w:val="24"/>
          <w:szCs w:val="24"/>
        </w:rPr>
        <w:t xml:space="preserve">iznosi </w:t>
      </w:r>
      <w:r w:rsidR="001C67BA">
        <w:rPr>
          <w:rFonts w:ascii="Times New Roman" w:hAnsi="Times New Roman" w:cs="Times New Roman"/>
          <w:sz w:val="24"/>
          <w:szCs w:val="24"/>
        </w:rPr>
        <w:t>3.949.643,98 Kn s uključenim PDV-om</w:t>
      </w:r>
      <w:r w:rsidR="00A40899">
        <w:rPr>
          <w:rFonts w:ascii="Times New Roman" w:hAnsi="Times New Roman" w:cs="Times New Roman"/>
          <w:sz w:val="24"/>
          <w:szCs w:val="24"/>
        </w:rPr>
        <w:t>, što je dodatno smanjenje u odnosu na ugovoreni iznos za 294.339,19 Kn</w:t>
      </w:r>
      <w:r w:rsidR="00C26828">
        <w:rPr>
          <w:rFonts w:ascii="Times New Roman" w:hAnsi="Times New Roman" w:cs="Times New Roman"/>
          <w:sz w:val="24"/>
          <w:szCs w:val="24"/>
        </w:rPr>
        <w:t>, odnosno 544.420,02 Kn u odnosu na početni ugovoreni iznos</w:t>
      </w:r>
      <w:r w:rsidR="00A40899">
        <w:rPr>
          <w:rFonts w:ascii="Times New Roman" w:hAnsi="Times New Roman" w:cs="Times New Roman"/>
          <w:sz w:val="24"/>
          <w:szCs w:val="24"/>
        </w:rPr>
        <w:t>.</w:t>
      </w:r>
    </w:p>
    <w:p w:rsidR="00AA705C" w:rsidRPr="0052438A" w:rsidRDefault="00AA705C"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Projekt pristupne ceste kandidiran je </w:t>
      </w:r>
      <w:r w:rsidR="006D287A" w:rsidRPr="0052438A">
        <w:rPr>
          <w:rFonts w:ascii="Times New Roman" w:hAnsi="Times New Roman" w:cs="Times New Roman"/>
          <w:sz w:val="24"/>
          <w:szCs w:val="24"/>
        </w:rPr>
        <w:t xml:space="preserve">dana 20.12.2016. g. </w:t>
      </w:r>
      <w:r w:rsidR="00833BF1" w:rsidRPr="0052438A">
        <w:rPr>
          <w:rFonts w:ascii="Times New Roman" w:hAnsi="Times New Roman" w:cs="Times New Roman"/>
          <w:sz w:val="24"/>
          <w:szCs w:val="24"/>
        </w:rPr>
        <w:t>za bes</w:t>
      </w:r>
      <w:r w:rsidRPr="0052438A">
        <w:rPr>
          <w:rFonts w:ascii="Times New Roman" w:hAnsi="Times New Roman" w:cs="Times New Roman"/>
          <w:sz w:val="24"/>
          <w:szCs w:val="24"/>
        </w:rPr>
        <w:t>povratna sredstva na natječaju Europskih fondova</w:t>
      </w:r>
      <w:r w:rsidR="000A1807">
        <w:rPr>
          <w:rFonts w:ascii="Times New Roman" w:hAnsi="Times New Roman" w:cs="Times New Roman"/>
          <w:sz w:val="24"/>
          <w:szCs w:val="24"/>
        </w:rPr>
        <w:t xml:space="preserve"> EPFRR</w:t>
      </w:r>
      <w:r w:rsidRPr="0052438A">
        <w:rPr>
          <w:rFonts w:ascii="Times New Roman" w:hAnsi="Times New Roman" w:cs="Times New Roman"/>
          <w:sz w:val="24"/>
          <w:szCs w:val="24"/>
        </w:rPr>
        <w:t xml:space="preserve">, mjera </w:t>
      </w:r>
      <w:r w:rsidR="006D287A" w:rsidRPr="0052438A">
        <w:rPr>
          <w:rFonts w:ascii="Times New Roman" w:hAnsi="Times New Roman" w:cs="Times New Roman"/>
          <w:sz w:val="24"/>
          <w:szCs w:val="24"/>
        </w:rPr>
        <w:t>Ruralnog razvoja, Podmjer</w:t>
      </w:r>
      <w:r w:rsidR="009F5EAC" w:rsidRPr="0052438A">
        <w:rPr>
          <w:rFonts w:ascii="Times New Roman" w:hAnsi="Times New Roman" w:cs="Times New Roman"/>
          <w:sz w:val="24"/>
          <w:szCs w:val="24"/>
        </w:rPr>
        <w:t>a</w:t>
      </w:r>
      <w:r w:rsidR="006D287A" w:rsidRPr="0052438A">
        <w:rPr>
          <w:rFonts w:ascii="Times New Roman" w:hAnsi="Times New Roman" w:cs="Times New Roman"/>
          <w:sz w:val="24"/>
          <w:szCs w:val="24"/>
        </w:rPr>
        <w:t xml:space="preserve"> 7.2, Tip operacije 7.2.2 „Ulaganje u građenje nerazvrstanih cesta“</w:t>
      </w:r>
      <w:r w:rsidRPr="0052438A">
        <w:rPr>
          <w:rFonts w:ascii="Times New Roman" w:hAnsi="Times New Roman" w:cs="Times New Roman"/>
          <w:sz w:val="24"/>
          <w:szCs w:val="24"/>
        </w:rPr>
        <w:t xml:space="preserve">, </w:t>
      </w:r>
      <w:r w:rsidR="001C67BA">
        <w:rPr>
          <w:rFonts w:ascii="Times New Roman" w:hAnsi="Times New Roman" w:cs="Times New Roman"/>
          <w:sz w:val="24"/>
          <w:szCs w:val="24"/>
        </w:rPr>
        <w:t>ali nažalost projekt nije prošao na natječaju.</w:t>
      </w:r>
    </w:p>
    <w:p w:rsidR="00AA705C" w:rsidRDefault="00AA705C"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Također je proveden postupak iznalaženja privremene deponije za količine iskopa koje predstavljaju mineralnu sirovinu, te sve uredno prijavljeno Državnoj agenciji za upravljanje državnom imovinom koja će dalje raspolagati s istom.</w:t>
      </w:r>
      <w:r w:rsidR="001C67BA">
        <w:rPr>
          <w:rFonts w:ascii="Times New Roman" w:hAnsi="Times New Roman" w:cs="Times New Roman"/>
          <w:sz w:val="24"/>
          <w:szCs w:val="24"/>
        </w:rPr>
        <w:t xml:space="preserve"> Proveden je nadzor od strane rudarske inspekcije</w:t>
      </w:r>
      <w:r w:rsidR="00796D80">
        <w:rPr>
          <w:rFonts w:ascii="Times New Roman" w:hAnsi="Times New Roman" w:cs="Times New Roman"/>
          <w:sz w:val="24"/>
          <w:szCs w:val="24"/>
        </w:rPr>
        <w:t>, te</w:t>
      </w:r>
      <w:r w:rsidR="001C67BA">
        <w:rPr>
          <w:rFonts w:ascii="Times New Roman" w:hAnsi="Times New Roman" w:cs="Times New Roman"/>
          <w:sz w:val="24"/>
          <w:szCs w:val="24"/>
        </w:rPr>
        <w:t xml:space="preserve"> nisu utvrđeni nikakvi nedostaci ili propusti u postupku.</w:t>
      </w:r>
    </w:p>
    <w:p w:rsidR="00EC7E60" w:rsidRDefault="00EC7E60" w:rsidP="00796D80">
      <w:pPr>
        <w:pStyle w:val="ListParagraph"/>
        <w:numPr>
          <w:ilvl w:val="0"/>
          <w:numId w:val="2"/>
        </w:numPr>
        <w:jc w:val="both"/>
        <w:rPr>
          <w:rFonts w:ascii="Times New Roman" w:hAnsi="Times New Roman" w:cs="Times New Roman"/>
          <w:b/>
          <w:sz w:val="24"/>
          <w:szCs w:val="24"/>
          <w:u w:val="single"/>
        </w:rPr>
      </w:pPr>
      <w:r w:rsidRPr="00796D80">
        <w:rPr>
          <w:rFonts w:ascii="Times New Roman" w:hAnsi="Times New Roman" w:cs="Times New Roman"/>
          <w:b/>
          <w:sz w:val="24"/>
          <w:szCs w:val="24"/>
          <w:u w:val="single"/>
        </w:rPr>
        <w:lastRenderedPageBreak/>
        <w:t>FINANCIJSKI ASPEKT</w:t>
      </w:r>
    </w:p>
    <w:p w:rsidR="000A120A" w:rsidRPr="0052438A" w:rsidRDefault="00481F3B"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Prema dosadašnjoj dinamici radova, izmjena detaljnog plana uređenja „Groblje“, te svih izmjena projekta koji su u tijeku, završetak svih radova</w:t>
      </w:r>
      <w:r w:rsidR="008A5781" w:rsidRPr="0052438A">
        <w:rPr>
          <w:rFonts w:ascii="Times New Roman" w:hAnsi="Times New Roman" w:cs="Times New Roman"/>
          <w:sz w:val="24"/>
          <w:szCs w:val="24"/>
        </w:rPr>
        <w:t xml:space="preserve"> potrebnih za stavljanje groblja Dubac na korištenje građanima se predviđa </w:t>
      </w:r>
      <w:r w:rsidR="001C67BA">
        <w:rPr>
          <w:rFonts w:ascii="Times New Roman" w:hAnsi="Times New Roman" w:cs="Times New Roman"/>
          <w:sz w:val="24"/>
          <w:szCs w:val="24"/>
        </w:rPr>
        <w:t>do kraja</w:t>
      </w:r>
      <w:r w:rsidR="008A5781" w:rsidRPr="0052438A">
        <w:rPr>
          <w:rFonts w:ascii="Times New Roman" w:hAnsi="Times New Roman" w:cs="Times New Roman"/>
          <w:sz w:val="24"/>
          <w:szCs w:val="24"/>
        </w:rPr>
        <w:t xml:space="preserve"> 2021. godine. Ukupna vrijednost </w:t>
      </w:r>
      <w:r w:rsidR="008A5781" w:rsidRPr="0052438A">
        <w:rPr>
          <w:rFonts w:ascii="Times New Roman" w:hAnsi="Times New Roman" w:cs="Times New Roman"/>
          <w:b/>
          <w:sz w:val="24"/>
          <w:szCs w:val="24"/>
        </w:rPr>
        <w:t>radova</w:t>
      </w:r>
      <w:r w:rsidR="008A5781" w:rsidRPr="0052438A">
        <w:rPr>
          <w:rFonts w:ascii="Times New Roman" w:hAnsi="Times New Roman" w:cs="Times New Roman"/>
          <w:sz w:val="24"/>
          <w:szCs w:val="24"/>
        </w:rPr>
        <w:t xml:space="preserve"> prema troškovniku izrađenom od strane glavnog projektanta </w:t>
      </w:r>
      <w:r w:rsidR="0059638B" w:rsidRPr="0052438A">
        <w:rPr>
          <w:rFonts w:ascii="Times New Roman" w:hAnsi="Times New Roman" w:cs="Times New Roman"/>
          <w:sz w:val="24"/>
          <w:szCs w:val="24"/>
        </w:rPr>
        <w:t xml:space="preserve">1. faze groblja </w:t>
      </w:r>
      <w:r w:rsidR="008A5781" w:rsidRPr="0052438A">
        <w:rPr>
          <w:rFonts w:ascii="Times New Roman" w:hAnsi="Times New Roman" w:cs="Times New Roman"/>
          <w:sz w:val="24"/>
          <w:szCs w:val="24"/>
        </w:rPr>
        <w:t xml:space="preserve">društva </w:t>
      </w:r>
      <w:r w:rsidR="0059638B" w:rsidRPr="0052438A">
        <w:rPr>
          <w:rFonts w:ascii="Times New Roman" w:hAnsi="Times New Roman" w:cs="Times New Roman"/>
          <w:sz w:val="24"/>
          <w:szCs w:val="24"/>
        </w:rPr>
        <w:t>Omega Eingeneering</w:t>
      </w:r>
      <w:r w:rsidR="009F5EAC" w:rsidRPr="0052438A">
        <w:rPr>
          <w:rFonts w:ascii="Times New Roman" w:hAnsi="Times New Roman" w:cs="Times New Roman"/>
          <w:sz w:val="24"/>
          <w:szCs w:val="24"/>
        </w:rPr>
        <w:t xml:space="preserve"> </w:t>
      </w:r>
      <w:r w:rsidR="008A5781" w:rsidRPr="0052438A">
        <w:rPr>
          <w:rFonts w:ascii="Times New Roman" w:hAnsi="Times New Roman" w:cs="Times New Roman"/>
          <w:sz w:val="24"/>
          <w:szCs w:val="24"/>
        </w:rPr>
        <w:t xml:space="preserve">d.o.o. iz </w:t>
      </w:r>
      <w:r w:rsidR="009F5EAC" w:rsidRPr="0052438A">
        <w:rPr>
          <w:rFonts w:ascii="Times New Roman" w:hAnsi="Times New Roman" w:cs="Times New Roman"/>
          <w:sz w:val="24"/>
          <w:szCs w:val="24"/>
        </w:rPr>
        <w:t>srpnja</w:t>
      </w:r>
      <w:r w:rsidR="008A5781" w:rsidRPr="0052438A">
        <w:rPr>
          <w:rFonts w:ascii="Times New Roman" w:hAnsi="Times New Roman" w:cs="Times New Roman"/>
          <w:sz w:val="24"/>
          <w:szCs w:val="24"/>
        </w:rPr>
        <w:t xml:space="preserve"> 201</w:t>
      </w:r>
      <w:r w:rsidR="009F5EAC" w:rsidRPr="0052438A">
        <w:rPr>
          <w:rFonts w:ascii="Times New Roman" w:hAnsi="Times New Roman" w:cs="Times New Roman"/>
          <w:sz w:val="24"/>
          <w:szCs w:val="24"/>
        </w:rPr>
        <w:t>4</w:t>
      </w:r>
      <w:r w:rsidR="008A5781" w:rsidRPr="0052438A">
        <w:rPr>
          <w:rFonts w:ascii="Times New Roman" w:hAnsi="Times New Roman" w:cs="Times New Roman"/>
          <w:sz w:val="24"/>
          <w:szCs w:val="24"/>
        </w:rPr>
        <w:t>. godine predviđaju se u iznosu od 1</w:t>
      </w:r>
      <w:r w:rsidR="0059638B" w:rsidRPr="0052438A">
        <w:rPr>
          <w:rFonts w:ascii="Times New Roman" w:hAnsi="Times New Roman" w:cs="Times New Roman"/>
          <w:sz w:val="24"/>
          <w:szCs w:val="24"/>
        </w:rPr>
        <w:t>75</w:t>
      </w:r>
      <w:r w:rsidR="008A5781" w:rsidRPr="0052438A">
        <w:rPr>
          <w:rFonts w:ascii="Times New Roman" w:hAnsi="Times New Roman" w:cs="Times New Roman"/>
          <w:sz w:val="24"/>
          <w:szCs w:val="24"/>
        </w:rPr>
        <w:t>.</w:t>
      </w:r>
      <w:r w:rsidR="0059638B" w:rsidRPr="0052438A">
        <w:rPr>
          <w:rFonts w:ascii="Times New Roman" w:hAnsi="Times New Roman" w:cs="Times New Roman"/>
          <w:sz w:val="24"/>
          <w:szCs w:val="24"/>
        </w:rPr>
        <w:t>0</w:t>
      </w:r>
      <w:r w:rsidR="00A541AC">
        <w:rPr>
          <w:rFonts w:ascii="Times New Roman" w:hAnsi="Times New Roman" w:cs="Times New Roman"/>
          <w:sz w:val="24"/>
          <w:szCs w:val="24"/>
        </w:rPr>
        <w:t>00</w:t>
      </w:r>
      <w:r w:rsidR="008A5781" w:rsidRPr="0052438A">
        <w:rPr>
          <w:rFonts w:ascii="Times New Roman" w:hAnsi="Times New Roman" w:cs="Times New Roman"/>
          <w:sz w:val="24"/>
          <w:szCs w:val="24"/>
        </w:rPr>
        <w:t>.</w:t>
      </w:r>
      <w:r w:rsidR="00A541AC">
        <w:rPr>
          <w:rFonts w:ascii="Times New Roman" w:hAnsi="Times New Roman" w:cs="Times New Roman"/>
          <w:sz w:val="24"/>
          <w:szCs w:val="24"/>
        </w:rPr>
        <w:t>000</w:t>
      </w:r>
      <w:r w:rsidR="008A5781" w:rsidRPr="0052438A">
        <w:rPr>
          <w:rFonts w:ascii="Times New Roman" w:hAnsi="Times New Roman" w:cs="Times New Roman"/>
          <w:sz w:val="24"/>
          <w:szCs w:val="24"/>
        </w:rPr>
        <w:t>,</w:t>
      </w:r>
      <w:r w:rsidR="00A541AC">
        <w:rPr>
          <w:rFonts w:ascii="Times New Roman" w:hAnsi="Times New Roman" w:cs="Times New Roman"/>
          <w:sz w:val="24"/>
          <w:szCs w:val="24"/>
        </w:rPr>
        <w:t>00</w:t>
      </w:r>
      <w:r w:rsidR="008A5781" w:rsidRPr="0052438A">
        <w:rPr>
          <w:rFonts w:ascii="Times New Roman" w:hAnsi="Times New Roman" w:cs="Times New Roman"/>
          <w:sz w:val="24"/>
          <w:szCs w:val="24"/>
        </w:rPr>
        <w:t xml:space="preserve"> Kn</w:t>
      </w:r>
      <w:r w:rsidR="0059638B" w:rsidRPr="0052438A">
        <w:rPr>
          <w:rFonts w:ascii="Times New Roman" w:hAnsi="Times New Roman" w:cs="Times New Roman"/>
          <w:sz w:val="24"/>
          <w:szCs w:val="24"/>
        </w:rPr>
        <w:t xml:space="preserve"> s uključenim PDV-om</w:t>
      </w:r>
      <w:r w:rsidR="008A5781" w:rsidRPr="0052438A">
        <w:rPr>
          <w:rFonts w:ascii="Times New Roman" w:hAnsi="Times New Roman" w:cs="Times New Roman"/>
          <w:sz w:val="24"/>
          <w:szCs w:val="24"/>
        </w:rPr>
        <w:t xml:space="preserve">, </w:t>
      </w:r>
      <w:r w:rsidR="0059638B" w:rsidRPr="0052438A">
        <w:rPr>
          <w:rFonts w:ascii="Times New Roman" w:hAnsi="Times New Roman" w:cs="Times New Roman"/>
          <w:sz w:val="24"/>
          <w:szCs w:val="24"/>
        </w:rPr>
        <w:t xml:space="preserve">u što je uključen do sada ugovoreni iznos od </w:t>
      </w:r>
      <w:r w:rsidR="00A541AC">
        <w:rPr>
          <w:rFonts w:ascii="Times New Roman" w:hAnsi="Times New Roman" w:cs="Times New Roman"/>
          <w:sz w:val="24"/>
          <w:szCs w:val="24"/>
        </w:rPr>
        <w:t>cca 20.000.000,00</w:t>
      </w:r>
      <w:r w:rsidR="0059638B" w:rsidRPr="0052438A">
        <w:rPr>
          <w:rFonts w:ascii="Times New Roman" w:hAnsi="Times New Roman" w:cs="Times New Roman"/>
          <w:sz w:val="24"/>
          <w:szCs w:val="24"/>
        </w:rPr>
        <w:t xml:space="preserve"> Kn</w:t>
      </w:r>
      <w:r w:rsidR="0066361E">
        <w:rPr>
          <w:rFonts w:ascii="Times New Roman" w:hAnsi="Times New Roman" w:cs="Times New Roman"/>
          <w:sz w:val="24"/>
          <w:szCs w:val="24"/>
        </w:rPr>
        <w:t xml:space="preserve"> s PDV-om</w:t>
      </w:r>
      <w:r w:rsidR="0059638B" w:rsidRPr="0052438A">
        <w:rPr>
          <w:rFonts w:ascii="Times New Roman" w:hAnsi="Times New Roman" w:cs="Times New Roman"/>
          <w:sz w:val="24"/>
          <w:szCs w:val="24"/>
        </w:rPr>
        <w:t>. Iznos od</w:t>
      </w:r>
      <w:r w:rsidR="008A5781" w:rsidRPr="0052438A">
        <w:rPr>
          <w:rFonts w:ascii="Times New Roman" w:hAnsi="Times New Roman" w:cs="Times New Roman"/>
          <w:sz w:val="24"/>
          <w:szCs w:val="24"/>
        </w:rPr>
        <w:t xml:space="preserve"> 96.000.000,00 Kn trebalo</w:t>
      </w:r>
      <w:r w:rsidR="0059638B" w:rsidRPr="0052438A">
        <w:rPr>
          <w:rFonts w:ascii="Times New Roman" w:hAnsi="Times New Roman" w:cs="Times New Roman"/>
          <w:sz w:val="24"/>
          <w:szCs w:val="24"/>
        </w:rPr>
        <w:t xml:space="preserve"> bi</w:t>
      </w:r>
      <w:r w:rsidR="008A5781" w:rsidRPr="0052438A">
        <w:rPr>
          <w:rFonts w:ascii="Times New Roman" w:hAnsi="Times New Roman" w:cs="Times New Roman"/>
          <w:sz w:val="24"/>
          <w:szCs w:val="24"/>
        </w:rPr>
        <w:t xml:space="preserve"> osigurati kroz prihod građana</w:t>
      </w:r>
      <w:r w:rsidR="0059638B" w:rsidRPr="0052438A">
        <w:rPr>
          <w:rFonts w:ascii="Times New Roman" w:hAnsi="Times New Roman" w:cs="Times New Roman"/>
          <w:sz w:val="24"/>
          <w:szCs w:val="24"/>
        </w:rPr>
        <w:t xml:space="preserve"> za uplate prava korištenja grobnog mjesta</w:t>
      </w:r>
      <w:r w:rsidR="008A5781" w:rsidRPr="0052438A">
        <w:rPr>
          <w:rFonts w:ascii="Times New Roman" w:hAnsi="Times New Roman" w:cs="Times New Roman"/>
          <w:sz w:val="24"/>
          <w:szCs w:val="24"/>
        </w:rPr>
        <w:t>, a ostatak od 5</w:t>
      </w:r>
      <w:r w:rsidR="00F5341D" w:rsidRPr="0052438A">
        <w:rPr>
          <w:rFonts w:ascii="Times New Roman" w:hAnsi="Times New Roman" w:cs="Times New Roman"/>
          <w:sz w:val="24"/>
          <w:szCs w:val="24"/>
        </w:rPr>
        <w:t>9</w:t>
      </w:r>
      <w:r w:rsidR="008A5781" w:rsidRPr="0052438A">
        <w:rPr>
          <w:rFonts w:ascii="Times New Roman" w:hAnsi="Times New Roman" w:cs="Times New Roman"/>
          <w:sz w:val="24"/>
          <w:szCs w:val="24"/>
        </w:rPr>
        <w:t>.</w:t>
      </w:r>
      <w:r w:rsidR="001C67BA">
        <w:rPr>
          <w:rFonts w:ascii="Times New Roman" w:hAnsi="Times New Roman" w:cs="Times New Roman"/>
          <w:sz w:val="24"/>
          <w:szCs w:val="24"/>
        </w:rPr>
        <w:t>000</w:t>
      </w:r>
      <w:r w:rsidR="008A5781" w:rsidRPr="0052438A">
        <w:rPr>
          <w:rFonts w:ascii="Times New Roman" w:hAnsi="Times New Roman" w:cs="Times New Roman"/>
          <w:sz w:val="24"/>
          <w:szCs w:val="24"/>
        </w:rPr>
        <w:t>.</w:t>
      </w:r>
      <w:r w:rsidR="001C67BA">
        <w:rPr>
          <w:rFonts w:ascii="Times New Roman" w:hAnsi="Times New Roman" w:cs="Times New Roman"/>
          <w:sz w:val="24"/>
          <w:szCs w:val="24"/>
        </w:rPr>
        <w:t>000</w:t>
      </w:r>
      <w:r w:rsidR="008A5781" w:rsidRPr="0052438A">
        <w:rPr>
          <w:rFonts w:ascii="Times New Roman" w:hAnsi="Times New Roman" w:cs="Times New Roman"/>
          <w:sz w:val="24"/>
          <w:szCs w:val="24"/>
        </w:rPr>
        <w:t>,</w:t>
      </w:r>
      <w:r w:rsidR="001C67BA">
        <w:rPr>
          <w:rFonts w:ascii="Times New Roman" w:hAnsi="Times New Roman" w:cs="Times New Roman"/>
          <w:sz w:val="24"/>
          <w:szCs w:val="24"/>
        </w:rPr>
        <w:t>00</w:t>
      </w:r>
      <w:r w:rsidR="00EC7E60">
        <w:rPr>
          <w:rFonts w:ascii="Times New Roman" w:hAnsi="Times New Roman" w:cs="Times New Roman"/>
          <w:sz w:val="24"/>
          <w:szCs w:val="24"/>
        </w:rPr>
        <w:t xml:space="preserve"> Kn putem</w:t>
      </w:r>
      <w:r w:rsidR="008A5781" w:rsidRPr="0052438A">
        <w:rPr>
          <w:rFonts w:ascii="Times New Roman" w:hAnsi="Times New Roman" w:cs="Times New Roman"/>
          <w:sz w:val="24"/>
          <w:szCs w:val="24"/>
        </w:rPr>
        <w:t xml:space="preserve"> proračun</w:t>
      </w:r>
      <w:r w:rsidR="00EC7E60">
        <w:rPr>
          <w:rFonts w:ascii="Times New Roman" w:hAnsi="Times New Roman" w:cs="Times New Roman"/>
          <w:sz w:val="24"/>
          <w:szCs w:val="24"/>
        </w:rPr>
        <w:t>a</w:t>
      </w:r>
      <w:r w:rsidR="008A5781" w:rsidRPr="0052438A">
        <w:rPr>
          <w:rFonts w:ascii="Times New Roman" w:hAnsi="Times New Roman" w:cs="Times New Roman"/>
          <w:sz w:val="24"/>
          <w:szCs w:val="24"/>
        </w:rPr>
        <w:t xml:space="preserve"> Grada Dubro</w:t>
      </w:r>
      <w:r w:rsidR="00F5341D" w:rsidRPr="0052438A">
        <w:rPr>
          <w:rFonts w:ascii="Times New Roman" w:hAnsi="Times New Roman" w:cs="Times New Roman"/>
          <w:sz w:val="24"/>
          <w:szCs w:val="24"/>
        </w:rPr>
        <w:t xml:space="preserve">vnika i Općine Župa dubrovačka u naredne tri – četri godine. </w:t>
      </w:r>
    </w:p>
    <w:p w:rsidR="0066361E" w:rsidRDefault="0066361E" w:rsidP="00E25C65">
      <w:pPr>
        <w:jc w:val="both"/>
        <w:rPr>
          <w:rFonts w:ascii="Times New Roman" w:hAnsi="Times New Roman" w:cs="Times New Roman"/>
          <w:sz w:val="24"/>
          <w:szCs w:val="24"/>
        </w:rPr>
      </w:pPr>
      <w:r>
        <w:rPr>
          <w:rFonts w:ascii="Times New Roman" w:hAnsi="Times New Roman" w:cs="Times New Roman"/>
          <w:sz w:val="24"/>
          <w:szCs w:val="24"/>
        </w:rPr>
        <w:t xml:space="preserve">Do </w:t>
      </w:r>
      <w:r w:rsidR="001C67BA">
        <w:rPr>
          <w:rFonts w:ascii="Times New Roman" w:hAnsi="Times New Roman" w:cs="Times New Roman"/>
          <w:sz w:val="24"/>
          <w:szCs w:val="24"/>
        </w:rPr>
        <w:t xml:space="preserve">kraja 2017. godine </w:t>
      </w:r>
      <w:r>
        <w:rPr>
          <w:rFonts w:ascii="Times New Roman" w:hAnsi="Times New Roman" w:cs="Times New Roman"/>
          <w:sz w:val="24"/>
          <w:szCs w:val="24"/>
        </w:rPr>
        <w:t>u projekt groblja Dubac ukupno</w:t>
      </w:r>
      <w:r w:rsidR="001C67BA">
        <w:rPr>
          <w:rFonts w:ascii="Times New Roman" w:hAnsi="Times New Roman" w:cs="Times New Roman"/>
          <w:sz w:val="24"/>
          <w:szCs w:val="24"/>
        </w:rPr>
        <w:t xml:space="preserve"> je </w:t>
      </w:r>
      <w:r>
        <w:rPr>
          <w:rFonts w:ascii="Times New Roman" w:hAnsi="Times New Roman" w:cs="Times New Roman"/>
          <w:sz w:val="24"/>
          <w:szCs w:val="24"/>
        </w:rPr>
        <w:t>utrošeno 5</w:t>
      </w:r>
      <w:r w:rsidR="001C67BA">
        <w:rPr>
          <w:rFonts w:ascii="Times New Roman" w:hAnsi="Times New Roman" w:cs="Times New Roman"/>
          <w:sz w:val="24"/>
          <w:szCs w:val="24"/>
        </w:rPr>
        <w:t>6</w:t>
      </w:r>
      <w:r>
        <w:rPr>
          <w:rFonts w:ascii="Times New Roman" w:hAnsi="Times New Roman" w:cs="Times New Roman"/>
          <w:sz w:val="24"/>
          <w:szCs w:val="24"/>
        </w:rPr>
        <w:t>.</w:t>
      </w:r>
      <w:r w:rsidR="001C67BA">
        <w:rPr>
          <w:rFonts w:ascii="Times New Roman" w:hAnsi="Times New Roman" w:cs="Times New Roman"/>
          <w:sz w:val="24"/>
          <w:szCs w:val="24"/>
        </w:rPr>
        <w:t>144</w:t>
      </w:r>
      <w:r>
        <w:rPr>
          <w:rFonts w:ascii="Times New Roman" w:hAnsi="Times New Roman" w:cs="Times New Roman"/>
          <w:sz w:val="24"/>
          <w:szCs w:val="24"/>
        </w:rPr>
        <w:t>.</w:t>
      </w:r>
      <w:r w:rsidR="001C67BA">
        <w:rPr>
          <w:rFonts w:ascii="Times New Roman" w:hAnsi="Times New Roman" w:cs="Times New Roman"/>
          <w:sz w:val="24"/>
          <w:szCs w:val="24"/>
        </w:rPr>
        <w:t>511</w:t>
      </w:r>
      <w:r>
        <w:rPr>
          <w:rFonts w:ascii="Times New Roman" w:hAnsi="Times New Roman" w:cs="Times New Roman"/>
          <w:sz w:val="24"/>
          <w:szCs w:val="24"/>
        </w:rPr>
        <w:t>,6</w:t>
      </w:r>
      <w:r w:rsidR="001C67BA">
        <w:rPr>
          <w:rFonts w:ascii="Times New Roman" w:hAnsi="Times New Roman" w:cs="Times New Roman"/>
          <w:sz w:val="24"/>
          <w:szCs w:val="24"/>
        </w:rPr>
        <w:t>0</w:t>
      </w:r>
      <w:r>
        <w:rPr>
          <w:rFonts w:ascii="Times New Roman" w:hAnsi="Times New Roman" w:cs="Times New Roman"/>
          <w:sz w:val="24"/>
          <w:szCs w:val="24"/>
        </w:rPr>
        <w:t xml:space="preserve"> Kn, od čega na otkup zemljišta otpada ukupno 20.947.213,00 Kn. Niže je pregled ukupnih troškova po godinama:</w:t>
      </w:r>
    </w:p>
    <w:p w:rsidR="00BE4649" w:rsidRDefault="00BE4649" w:rsidP="001C67BA">
      <w:pPr>
        <w:contextualSpacing/>
        <w:jc w:val="center"/>
        <w:rPr>
          <w:rFonts w:ascii="Times New Roman" w:hAnsi="Times New Roman"/>
          <w:b/>
          <w:sz w:val="26"/>
          <w:szCs w:val="26"/>
        </w:rPr>
      </w:pPr>
    </w:p>
    <w:p w:rsidR="001C67BA" w:rsidRDefault="001C67BA" w:rsidP="001C67BA">
      <w:pPr>
        <w:contextualSpacing/>
        <w:jc w:val="center"/>
        <w:rPr>
          <w:rFonts w:ascii="Times New Roman" w:hAnsi="Times New Roman"/>
          <w:b/>
          <w:sz w:val="26"/>
          <w:szCs w:val="26"/>
        </w:rPr>
      </w:pPr>
      <w:r w:rsidRPr="00F362BF">
        <w:rPr>
          <w:rFonts w:ascii="Times New Roman" w:hAnsi="Times New Roman"/>
          <w:b/>
          <w:sz w:val="26"/>
          <w:szCs w:val="26"/>
        </w:rPr>
        <w:t>UKUPNI TROŠKOVI NA REALIZACIJI PROJEKTA GROBLJE DUBAC         2008</w:t>
      </w:r>
      <w:r>
        <w:rPr>
          <w:rFonts w:ascii="Times New Roman" w:hAnsi="Times New Roman"/>
          <w:b/>
          <w:sz w:val="26"/>
          <w:szCs w:val="26"/>
        </w:rPr>
        <w:t xml:space="preserve">.g – </w:t>
      </w:r>
      <w:r w:rsidRPr="00F362BF">
        <w:rPr>
          <w:rFonts w:ascii="Times New Roman" w:hAnsi="Times New Roman"/>
          <w:b/>
          <w:sz w:val="26"/>
          <w:szCs w:val="26"/>
        </w:rPr>
        <w:t>201</w:t>
      </w:r>
      <w:r>
        <w:rPr>
          <w:rFonts w:ascii="Times New Roman" w:hAnsi="Times New Roman"/>
          <w:b/>
          <w:sz w:val="26"/>
          <w:szCs w:val="26"/>
        </w:rPr>
        <w:t>7.g</w:t>
      </w:r>
    </w:p>
    <w:p w:rsidR="001C67BA" w:rsidRPr="00F362BF" w:rsidRDefault="001C67BA" w:rsidP="001C67BA">
      <w:pPr>
        <w:contextualSpacing/>
        <w:jc w:val="center"/>
        <w:rPr>
          <w:rFonts w:ascii="Times New Roman" w:hAnsi="Times New Roman"/>
          <w:b/>
          <w:sz w:val="26"/>
          <w:szCs w:val="26"/>
        </w:rPr>
      </w:pPr>
    </w:p>
    <w:tbl>
      <w:tblPr>
        <w:tblW w:w="9173" w:type="dxa"/>
        <w:tblInd w:w="113" w:type="dxa"/>
        <w:tblLook w:val="04A0" w:firstRow="1" w:lastRow="0" w:firstColumn="1" w:lastColumn="0" w:noHBand="0" w:noVBand="1"/>
      </w:tblPr>
      <w:tblGrid>
        <w:gridCol w:w="1413"/>
        <w:gridCol w:w="2082"/>
        <w:gridCol w:w="1959"/>
        <w:gridCol w:w="1818"/>
        <w:gridCol w:w="222"/>
        <w:gridCol w:w="1679"/>
      </w:tblGrid>
      <w:tr w:rsidR="001C67BA" w:rsidRPr="00161311" w:rsidTr="001C67BA">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GODINA</w:t>
            </w:r>
          </w:p>
        </w:tc>
        <w:tc>
          <w:tcPr>
            <w:tcW w:w="2082"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UKUPAN IZNOS</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OPĆINA Ž</w:t>
            </w:r>
            <w:r>
              <w:rPr>
                <w:rFonts w:ascii="Calibri" w:eastAsia="Times New Roman" w:hAnsi="Calibri"/>
                <w:b/>
                <w:bCs/>
                <w:color w:val="000000"/>
                <w:sz w:val="24"/>
                <w:szCs w:val="24"/>
                <w:lang w:eastAsia="hr-HR"/>
              </w:rPr>
              <w:t>UPA DUBROVAČKA</w:t>
            </w:r>
          </w:p>
        </w:tc>
        <w:tc>
          <w:tcPr>
            <w:tcW w:w="1818"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GRAD</w:t>
            </w:r>
            <w:r>
              <w:rPr>
                <w:rFonts w:ascii="Calibri" w:eastAsia="Times New Roman" w:hAnsi="Calibri"/>
                <w:b/>
                <w:bCs/>
                <w:color w:val="000000"/>
                <w:sz w:val="24"/>
                <w:szCs w:val="24"/>
                <w:lang w:eastAsia="hr-HR"/>
              </w:rPr>
              <w:t xml:space="preserve"> DUBROVNIK</w:t>
            </w:r>
          </w:p>
        </w:tc>
        <w:tc>
          <w:tcPr>
            <w:tcW w:w="222" w:type="dxa"/>
            <w:tcBorders>
              <w:top w:val="single" w:sz="4" w:space="0" w:color="auto"/>
              <w:left w:val="nil"/>
              <w:bottom w:val="single" w:sz="4" w:space="0" w:color="auto"/>
              <w:right w:val="nil"/>
            </w:tcBorders>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p>
        </w:tc>
        <w:tc>
          <w:tcPr>
            <w:tcW w:w="1679"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FOND</w:t>
            </w:r>
          </w:p>
        </w:tc>
      </w:tr>
      <w:tr w:rsidR="001C67BA" w:rsidRPr="00161311" w:rsidTr="001C67BA">
        <w:trPr>
          <w:trHeight w:val="4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2008</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246.148,24</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59.075,58</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187.072,66</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2009</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1.541.028,08</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341.073,15</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1.080.064,98</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119.889,95</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2010</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1.332.713,77</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314.253,16</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995.134,99</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23.325,62</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2011</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2.185.493,94</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430.404,40</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1.362.947,28</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392.142,26</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2012</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1.430.601,82</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343.344,44</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1.087.257,38</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2013</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7.110.980,84</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1.706.635,40</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5.404.345,44</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2014</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14.785.816,67</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3.548.596,00</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11.237.220,67</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2015</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4.383.671,37</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1.052.081,13</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3.331.590,24</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w:t>
            </w:r>
            <w:r>
              <w:rPr>
                <w:rFonts w:ascii="Calibri" w:eastAsia="Times New Roman" w:hAnsi="Calibri"/>
                <w:b/>
                <w:bCs/>
                <w:color w:val="000000"/>
                <w:lang w:eastAsia="hr-HR"/>
              </w:rPr>
              <w:t>6</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6.545.853,62</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1.571.004,87</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4.974.848,75</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tcPr>
          <w:p w:rsidR="001C67BA" w:rsidRPr="00161311" w:rsidRDefault="001C67BA" w:rsidP="00C26828">
            <w:pPr>
              <w:spacing w:after="0" w:line="240" w:lineRule="auto"/>
              <w:jc w:val="center"/>
              <w:rPr>
                <w:rFonts w:ascii="Calibri" w:eastAsia="Times New Roman" w:hAnsi="Calibri"/>
                <w:b/>
                <w:bCs/>
                <w:color w:val="000000"/>
                <w:lang w:eastAsia="hr-HR"/>
              </w:rPr>
            </w:pPr>
            <w:r>
              <w:rPr>
                <w:rFonts w:ascii="Calibri" w:eastAsia="Times New Roman" w:hAnsi="Calibri"/>
                <w:b/>
                <w:bCs/>
                <w:color w:val="000000"/>
                <w:lang w:eastAsia="hr-HR"/>
              </w:rPr>
              <w:t>2017.</w:t>
            </w:r>
            <w:r w:rsidRPr="00CE72DB">
              <w:rPr>
                <w:rFonts w:ascii="Calibri" w:eastAsia="Times New Roman" w:hAnsi="Calibri"/>
                <w:bCs/>
                <w:color w:val="000000"/>
                <w:lang w:eastAsia="hr-HR"/>
              </w:rPr>
              <w:t>g</w:t>
            </w:r>
            <w:r>
              <w:rPr>
                <w:rFonts w:ascii="Calibri" w:eastAsia="Times New Roman" w:hAnsi="Calibri"/>
                <w:b/>
                <w:bCs/>
                <w:color w:val="000000"/>
                <w:lang w:eastAsia="hr-HR"/>
              </w:rPr>
              <w:t>.</w:t>
            </w:r>
          </w:p>
        </w:tc>
        <w:tc>
          <w:tcPr>
            <w:tcW w:w="2082" w:type="dxa"/>
            <w:tcBorders>
              <w:top w:val="nil"/>
              <w:left w:val="nil"/>
              <w:bottom w:val="single" w:sz="4" w:space="0" w:color="auto"/>
              <w:right w:val="single" w:sz="4" w:space="0" w:color="auto"/>
            </w:tcBorders>
            <w:shd w:val="clear" w:color="auto" w:fill="auto"/>
            <w:noWrap/>
            <w:vAlign w:val="bottom"/>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16.582.203,25</w:t>
            </w:r>
          </w:p>
        </w:tc>
        <w:tc>
          <w:tcPr>
            <w:tcW w:w="1959" w:type="dxa"/>
            <w:tcBorders>
              <w:top w:val="nil"/>
              <w:left w:val="nil"/>
              <w:bottom w:val="single" w:sz="4" w:space="0" w:color="auto"/>
              <w:right w:val="single" w:sz="4" w:space="0" w:color="auto"/>
            </w:tcBorders>
            <w:shd w:val="clear" w:color="auto" w:fill="auto"/>
            <w:noWrap/>
            <w:vAlign w:val="center"/>
          </w:tcPr>
          <w:p w:rsidR="001C67BA"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3.979.728,78</w:t>
            </w:r>
          </w:p>
        </w:tc>
        <w:tc>
          <w:tcPr>
            <w:tcW w:w="1818" w:type="dxa"/>
            <w:tcBorders>
              <w:top w:val="nil"/>
              <w:left w:val="nil"/>
              <w:bottom w:val="single" w:sz="4" w:space="0" w:color="auto"/>
              <w:right w:val="single" w:sz="4" w:space="0" w:color="auto"/>
            </w:tcBorders>
            <w:shd w:val="clear" w:color="auto" w:fill="auto"/>
            <w:noWrap/>
            <w:vAlign w:val="center"/>
          </w:tcPr>
          <w:p w:rsidR="001C67BA"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12.602.474,47</w:t>
            </w:r>
          </w:p>
        </w:tc>
        <w:tc>
          <w:tcPr>
            <w:tcW w:w="222" w:type="dxa"/>
            <w:tcBorders>
              <w:top w:val="nil"/>
              <w:left w:val="nil"/>
              <w:bottom w:val="single" w:sz="4" w:space="0" w:color="auto"/>
              <w:right w:val="nil"/>
            </w:tcBorders>
          </w:tcPr>
          <w:p w:rsidR="001C67BA"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tcPr>
          <w:p w:rsidR="001C67BA" w:rsidRPr="00161311"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2008-201</w:t>
            </w:r>
            <w:r>
              <w:rPr>
                <w:rFonts w:ascii="Calibri" w:eastAsia="Times New Roman" w:hAnsi="Calibri"/>
                <w:b/>
                <w:bCs/>
                <w:color w:val="000000"/>
                <w:sz w:val="24"/>
                <w:szCs w:val="24"/>
                <w:lang w:eastAsia="hr-HR"/>
              </w:rPr>
              <w:t>7</w:t>
            </w:r>
          </w:p>
        </w:tc>
        <w:tc>
          <w:tcPr>
            <w:tcW w:w="2082" w:type="dxa"/>
            <w:tcBorders>
              <w:top w:val="nil"/>
              <w:left w:val="nil"/>
              <w:bottom w:val="single" w:sz="4" w:space="0" w:color="auto"/>
              <w:right w:val="single" w:sz="4" w:space="0" w:color="auto"/>
            </w:tcBorders>
            <w:shd w:val="clear" w:color="auto" w:fill="auto"/>
            <w:noWrap/>
            <w:vAlign w:val="center"/>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Pr>
                <w:rFonts w:ascii="Calibri" w:eastAsia="Times New Roman" w:hAnsi="Calibri"/>
                <w:b/>
                <w:bCs/>
                <w:color w:val="000000"/>
                <w:sz w:val="24"/>
                <w:szCs w:val="24"/>
                <w:lang w:eastAsia="hr-HR"/>
              </w:rPr>
              <w:t>56.144.511,60</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Pr>
                <w:rFonts w:ascii="Calibri" w:eastAsia="Times New Roman" w:hAnsi="Calibri"/>
                <w:b/>
                <w:bCs/>
                <w:color w:val="000000"/>
                <w:sz w:val="24"/>
                <w:szCs w:val="24"/>
                <w:lang w:eastAsia="hr-HR"/>
              </w:rPr>
              <w:t>13.561.680,32</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Pr>
                <w:rFonts w:ascii="Calibri" w:eastAsia="Times New Roman" w:hAnsi="Calibri"/>
                <w:b/>
                <w:bCs/>
                <w:color w:val="000000"/>
                <w:sz w:val="24"/>
                <w:szCs w:val="24"/>
                <w:lang w:eastAsia="hr-HR"/>
              </w:rPr>
              <w:t>42.047.473,45</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p>
        </w:tc>
        <w:tc>
          <w:tcPr>
            <w:tcW w:w="1679" w:type="dxa"/>
            <w:tcBorders>
              <w:top w:val="nil"/>
              <w:left w:val="nil"/>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535.357,83</w:t>
            </w:r>
          </w:p>
        </w:tc>
      </w:tr>
    </w:tbl>
    <w:p w:rsidR="0066361E" w:rsidRPr="0052438A" w:rsidRDefault="0066361E" w:rsidP="00E25C65">
      <w:pPr>
        <w:jc w:val="both"/>
        <w:rPr>
          <w:rFonts w:ascii="Times New Roman" w:hAnsi="Times New Roman" w:cs="Times New Roman"/>
          <w:sz w:val="24"/>
          <w:szCs w:val="24"/>
        </w:rPr>
      </w:pPr>
    </w:p>
    <w:p w:rsidR="001C67BA" w:rsidRPr="00A541AC" w:rsidRDefault="001C67BA" w:rsidP="001C67BA">
      <w:pPr>
        <w:ind w:firstLine="708"/>
        <w:contextualSpacing/>
        <w:jc w:val="both"/>
        <w:rPr>
          <w:rFonts w:ascii="Times New Roman" w:hAnsi="Times New Roman"/>
          <w:sz w:val="24"/>
          <w:szCs w:val="24"/>
        </w:rPr>
      </w:pPr>
      <w:r w:rsidRPr="00A541AC">
        <w:rPr>
          <w:rFonts w:ascii="Times New Roman" w:hAnsi="Times New Roman"/>
          <w:sz w:val="24"/>
          <w:szCs w:val="24"/>
        </w:rPr>
        <w:t xml:space="preserve">Društvo Groblje Dubac d.o.o trenutno zapošljava dvije osobe. Koordinacije na gradilištu s glavnim nadzornim inženjerima i svim sudionicima u građenju redovno se obavljaju najmanje jednom tjedno, dok se obilazak gradilišta </w:t>
      </w:r>
      <w:r w:rsidR="00D4137F">
        <w:rPr>
          <w:rFonts w:ascii="Times New Roman" w:hAnsi="Times New Roman"/>
          <w:sz w:val="24"/>
          <w:szCs w:val="24"/>
        </w:rPr>
        <w:t xml:space="preserve">od strane direktora </w:t>
      </w:r>
      <w:r w:rsidRPr="00A541AC">
        <w:rPr>
          <w:rFonts w:ascii="Times New Roman" w:hAnsi="Times New Roman"/>
          <w:sz w:val="24"/>
          <w:szCs w:val="24"/>
        </w:rPr>
        <w:t xml:space="preserve">obavlja svakodnevno. </w:t>
      </w:r>
    </w:p>
    <w:p w:rsidR="001C67BA" w:rsidRPr="00A541AC" w:rsidRDefault="001C67BA" w:rsidP="00E25C65">
      <w:pPr>
        <w:jc w:val="both"/>
        <w:rPr>
          <w:rFonts w:ascii="Times New Roman" w:hAnsi="Times New Roman" w:cs="Times New Roman"/>
          <w:sz w:val="24"/>
          <w:szCs w:val="24"/>
        </w:rPr>
      </w:pPr>
    </w:p>
    <w:p w:rsidR="00BE4649" w:rsidRDefault="00BE4649" w:rsidP="00C26828">
      <w:pPr>
        <w:pStyle w:val="Standard"/>
        <w:jc w:val="center"/>
        <w:rPr>
          <w:b/>
          <w:sz w:val="28"/>
          <w:szCs w:val="28"/>
        </w:rPr>
      </w:pPr>
    </w:p>
    <w:p w:rsidR="00B7267D" w:rsidRDefault="00B7267D" w:rsidP="00C26828">
      <w:pPr>
        <w:pStyle w:val="Standard"/>
        <w:jc w:val="center"/>
        <w:rPr>
          <w:b/>
          <w:sz w:val="28"/>
          <w:szCs w:val="28"/>
        </w:rPr>
      </w:pPr>
    </w:p>
    <w:p w:rsidR="00B7267D" w:rsidRDefault="00B7267D" w:rsidP="00C26828">
      <w:pPr>
        <w:pStyle w:val="Standard"/>
        <w:jc w:val="center"/>
        <w:rPr>
          <w:b/>
          <w:sz w:val="28"/>
          <w:szCs w:val="28"/>
        </w:rPr>
      </w:pPr>
    </w:p>
    <w:p w:rsidR="00BE4649" w:rsidRDefault="00BE4649" w:rsidP="00C26828">
      <w:pPr>
        <w:pStyle w:val="Standard"/>
        <w:jc w:val="center"/>
        <w:rPr>
          <w:b/>
          <w:sz w:val="28"/>
          <w:szCs w:val="28"/>
        </w:rPr>
      </w:pPr>
    </w:p>
    <w:p w:rsidR="00BE4649" w:rsidRDefault="00BE4649" w:rsidP="00C26828">
      <w:pPr>
        <w:pStyle w:val="Standard"/>
        <w:jc w:val="center"/>
        <w:rPr>
          <w:b/>
          <w:sz w:val="28"/>
          <w:szCs w:val="28"/>
        </w:rPr>
      </w:pPr>
    </w:p>
    <w:p w:rsidR="00D630EB" w:rsidRDefault="00C26828" w:rsidP="00C26828">
      <w:pPr>
        <w:pStyle w:val="Standard"/>
        <w:jc w:val="center"/>
        <w:rPr>
          <w:b/>
          <w:sz w:val="28"/>
          <w:szCs w:val="28"/>
        </w:rPr>
      </w:pPr>
      <w:r>
        <w:rPr>
          <w:b/>
          <w:sz w:val="28"/>
          <w:szCs w:val="28"/>
        </w:rPr>
        <w:lastRenderedPageBreak/>
        <w:t>BILJEŠKE UZ FINANCIJSK</w:t>
      </w:r>
      <w:r w:rsidR="00D630EB">
        <w:rPr>
          <w:b/>
          <w:sz w:val="28"/>
          <w:szCs w:val="28"/>
        </w:rPr>
        <w:t xml:space="preserve">I IZVJEŠTAJ DRUŠTVA </w:t>
      </w:r>
    </w:p>
    <w:p w:rsidR="00C26828" w:rsidRDefault="00BE4649" w:rsidP="00C26828">
      <w:pPr>
        <w:pStyle w:val="Standard"/>
        <w:jc w:val="center"/>
        <w:rPr>
          <w:b/>
          <w:sz w:val="28"/>
          <w:szCs w:val="28"/>
        </w:rPr>
      </w:pPr>
      <w:r>
        <w:rPr>
          <w:b/>
          <w:sz w:val="28"/>
          <w:szCs w:val="28"/>
        </w:rPr>
        <w:t xml:space="preserve">GROBLJE DUBAC d.o.o. </w:t>
      </w:r>
      <w:r w:rsidR="00D630EB">
        <w:rPr>
          <w:b/>
          <w:sz w:val="28"/>
          <w:szCs w:val="28"/>
        </w:rPr>
        <w:t>ZA</w:t>
      </w:r>
      <w:r w:rsidR="00C26828">
        <w:rPr>
          <w:b/>
          <w:sz w:val="28"/>
          <w:szCs w:val="28"/>
        </w:rPr>
        <w:t xml:space="preserve"> 2017. GODIN</w:t>
      </w:r>
      <w:r w:rsidR="00D630EB">
        <w:rPr>
          <w:b/>
          <w:sz w:val="28"/>
          <w:szCs w:val="28"/>
        </w:rPr>
        <w:t>U</w:t>
      </w:r>
    </w:p>
    <w:p w:rsidR="00C26828" w:rsidRDefault="00C26828" w:rsidP="00C26828">
      <w:pPr>
        <w:pStyle w:val="Standard"/>
      </w:pPr>
    </w:p>
    <w:p w:rsidR="00C26828" w:rsidRDefault="00C26828" w:rsidP="00C26828">
      <w:pPr>
        <w:pStyle w:val="Standard"/>
      </w:pPr>
    </w:p>
    <w:p w:rsidR="00C26828" w:rsidRPr="00D630EB" w:rsidRDefault="00C26828" w:rsidP="00C26828">
      <w:pPr>
        <w:pStyle w:val="Standard"/>
        <w:numPr>
          <w:ilvl w:val="0"/>
          <w:numId w:val="5"/>
        </w:numPr>
        <w:spacing w:line="360" w:lineRule="auto"/>
        <w:rPr>
          <w:b/>
          <w:sz w:val="22"/>
          <w:szCs w:val="22"/>
        </w:rPr>
      </w:pPr>
      <w:r w:rsidRPr="00D630EB">
        <w:rPr>
          <w:b/>
          <w:sz w:val="22"/>
          <w:szCs w:val="22"/>
        </w:rPr>
        <w:t>PODACI O PODUZETNIKU</w:t>
      </w:r>
    </w:p>
    <w:p w:rsidR="00C26828" w:rsidRDefault="00C26828" w:rsidP="00C26828">
      <w:pPr>
        <w:pStyle w:val="Standard"/>
      </w:pPr>
    </w:p>
    <w:p w:rsidR="00C26828" w:rsidRDefault="00C26828" w:rsidP="00C26828">
      <w:pPr>
        <w:pStyle w:val="Standard"/>
      </w:pPr>
      <w:r>
        <w:t>GROBLJE DUBAC d.o.o. za građenje i usluge (skraćeni naziv: GROBLJE DUBAC d.o.o.) upisano je  u sudski registar Trgovačkog suda  u Dubrovniku 04.03.2008.g., Tt-08/169-3, MBS: 090023650.</w:t>
      </w:r>
    </w:p>
    <w:p w:rsidR="00C26828" w:rsidRDefault="00C26828" w:rsidP="00C26828">
      <w:pPr>
        <w:pStyle w:val="Standard"/>
      </w:pPr>
    </w:p>
    <w:p w:rsidR="00C26828" w:rsidRDefault="00C26828" w:rsidP="00C26828">
      <w:pPr>
        <w:pStyle w:val="Standard"/>
      </w:pPr>
      <w:r>
        <w:t>Osnivači: Općina Župa Dubrovačka</w:t>
      </w:r>
      <w:r w:rsidR="001A2095">
        <w:t xml:space="preserve"> i Grad Dubrovnik</w:t>
      </w:r>
      <w:r>
        <w:t>.</w:t>
      </w:r>
    </w:p>
    <w:p w:rsidR="00C26828" w:rsidRDefault="00C26828" w:rsidP="00C26828">
      <w:pPr>
        <w:pStyle w:val="Standard"/>
      </w:pPr>
      <w:r>
        <w:t>Osnivački akt: Društveni ugovor o osnivanju d.o.o. od 18.01.2008. g.</w:t>
      </w:r>
    </w:p>
    <w:p w:rsidR="00C26828" w:rsidRDefault="00C26828" w:rsidP="00C26828">
      <w:pPr>
        <w:pStyle w:val="Standard"/>
      </w:pPr>
      <w:r>
        <w:t>Član Uprave (po odluci osnivača): Đuro Lonza (OIB:03209891120).</w:t>
      </w:r>
    </w:p>
    <w:p w:rsidR="00C26828" w:rsidRDefault="001A2095" w:rsidP="00C26828">
      <w:pPr>
        <w:pStyle w:val="Standard"/>
      </w:pPr>
      <w:r>
        <w:t>Nadzorni odbor: Ivo Miletić-</w:t>
      </w:r>
      <w:r w:rsidR="00C26828">
        <w:t xml:space="preserve"> predsjednik,  Domagoj Carević </w:t>
      </w:r>
      <w:r>
        <w:t xml:space="preserve">- </w:t>
      </w:r>
      <w:r w:rsidR="00C26828">
        <w:t>zamjenik predsjednika, te članovi Paulina Handabaka, Stjepan Knego i Jelena Vodopić.</w:t>
      </w:r>
    </w:p>
    <w:p w:rsidR="00C26828" w:rsidRDefault="00C26828" w:rsidP="00C26828">
      <w:pPr>
        <w:pStyle w:val="Standard"/>
      </w:pPr>
      <w:r>
        <w:t xml:space="preserve">Temeljni kapital: 20.000,00 kn.  </w:t>
      </w:r>
    </w:p>
    <w:p w:rsidR="00C26828" w:rsidRDefault="00C26828" w:rsidP="00C26828">
      <w:pPr>
        <w:pStyle w:val="Standard"/>
      </w:pPr>
      <w:r>
        <w:t>Sjedište Društva ja na adresi: Srebreno</w:t>
      </w:r>
      <w:r w:rsidR="001A2095">
        <w:t xml:space="preserve">, </w:t>
      </w:r>
      <w:r>
        <w:t>Vukovarska 48, 20207 Mlini</w:t>
      </w:r>
    </w:p>
    <w:p w:rsidR="00C26828" w:rsidRDefault="00C26828" w:rsidP="00C26828">
      <w:pPr>
        <w:pStyle w:val="Standard"/>
      </w:pPr>
    </w:p>
    <w:p w:rsidR="00C26828" w:rsidRDefault="00C26828" w:rsidP="00C26828">
      <w:pPr>
        <w:pStyle w:val="Standard"/>
      </w:pPr>
      <w:r>
        <w:t>Prema Odluci o nacionalnoj klasifikaciji djelatnosti iz 2007.g. (NN 58/07 i 72/07) Društvu je dodijeljena brojčana oznaka razreda djelatnosti 7111 (arhitektonske djelatnosti).</w:t>
      </w:r>
    </w:p>
    <w:p w:rsidR="00C26828" w:rsidRDefault="00C26828" w:rsidP="00C26828">
      <w:pPr>
        <w:pStyle w:val="Standard"/>
        <w:spacing w:line="360" w:lineRule="auto"/>
      </w:pPr>
    </w:p>
    <w:p w:rsidR="00C26828" w:rsidRPr="00D630EB" w:rsidRDefault="00C26828" w:rsidP="00C26828">
      <w:pPr>
        <w:pStyle w:val="Standard"/>
        <w:numPr>
          <w:ilvl w:val="0"/>
          <w:numId w:val="4"/>
        </w:numPr>
        <w:spacing w:line="360" w:lineRule="auto"/>
        <w:rPr>
          <w:b/>
          <w:sz w:val="22"/>
          <w:szCs w:val="22"/>
        </w:rPr>
      </w:pPr>
      <w:r w:rsidRPr="00D630EB">
        <w:rPr>
          <w:b/>
          <w:sz w:val="22"/>
          <w:szCs w:val="22"/>
        </w:rPr>
        <w:t>OPIS POSLOVANJA</w:t>
      </w:r>
    </w:p>
    <w:p w:rsidR="00C26828" w:rsidRDefault="00C26828" w:rsidP="00C26828">
      <w:pPr>
        <w:pStyle w:val="Standard"/>
      </w:pPr>
      <w:r>
        <w:t>Osnovne djelatnosti koje je Društvo obavljalo u 2017. g. su pripremne djelatnosti za gradnju groblja na Dupcu, Župa Dubrovačka.</w:t>
      </w:r>
    </w:p>
    <w:p w:rsidR="00C26828" w:rsidRDefault="00C26828" w:rsidP="00C26828">
      <w:pPr>
        <w:pStyle w:val="Standard"/>
      </w:pPr>
      <w:r>
        <w:t>Prosječan broj zaposlenih u Društvu tijekom razdoblja je 3 (1 na porodiljnom dopustu).</w:t>
      </w:r>
    </w:p>
    <w:p w:rsidR="00C26828" w:rsidRDefault="00C26828" w:rsidP="00C26828">
      <w:pPr>
        <w:pStyle w:val="Standard"/>
        <w:spacing w:line="360" w:lineRule="auto"/>
      </w:pPr>
    </w:p>
    <w:p w:rsidR="00C26828" w:rsidRPr="00D630EB" w:rsidRDefault="00C26828" w:rsidP="00C26828">
      <w:pPr>
        <w:pStyle w:val="Standard"/>
        <w:numPr>
          <w:ilvl w:val="0"/>
          <w:numId w:val="4"/>
        </w:numPr>
        <w:rPr>
          <w:b/>
          <w:sz w:val="22"/>
          <w:szCs w:val="22"/>
        </w:rPr>
      </w:pPr>
      <w:r w:rsidRPr="00D630EB">
        <w:rPr>
          <w:b/>
          <w:sz w:val="22"/>
          <w:szCs w:val="22"/>
        </w:rPr>
        <w:t>OSNOVA SASTAVLJANJA FINANCIJSKIH IZVJEŠTAJA</w:t>
      </w:r>
    </w:p>
    <w:p w:rsidR="00C26828" w:rsidRDefault="00C26828" w:rsidP="00C26828">
      <w:pPr>
        <w:pStyle w:val="Standard"/>
        <w:ind w:left="360"/>
      </w:pPr>
    </w:p>
    <w:p w:rsidR="00C26828" w:rsidRDefault="00C26828" w:rsidP="00C26828">
      <w:pPr>
        <w:pStyle w:val="Standard"/>
      </w:pPr>
      <w:r>
        <w:t>Financijski izvještaji Društva za 2017.g. sastavljeni su sukladno Zakonu o računovodstvu</w:t>
      </w:r>
    </w:p>
    <w:p w:rsidR="00C26828" w:rsidRDefault="00C26828" w:rsidP="00C26828">
      <w:pPr>
        <w:pStyle w:val="Standard"/>
      </w:pPr>
      <w:r>
        <w:t>(NN br.78/15, 134/15 i 120/16) i sukladno odredbama Hrvatskih standarda financijskog izvještavanja (NN br. 86/15).</w:t>
      </w:r>
    </w:p>
    <w:p w:rsidR="00C26828" w:rsidRDefault="00C26828" w:rsidP="00C26828">
      <w:pPr>
        <w:pStyle w:val="Standard"/>
        <w:jc w:val="both"/>
      </w:pPr>
    </w:p>
    <w:p w:rsidR="00C26828" w:rsidRDefault="00C26828" w:rsidP="00C26828">
      <w:pPr>
        <w:pStyle w:val="Standard"/>
        <w:jc w:val="both"/>
      </w:pPr>
      <w:r>
        <w:t>Financijski izvještaji sastavljeni su po načelu nastanka poslovnog događaja i pod pretpostavkom vremenske neograničenosti poslovanja.</w:t>
      </w:r>
    </w:p>
    <w:p w:rsidR="00C26828" w:rsidRDefault="00C26828" w:rsidP="00C26828">
      <w:pPr>
        <w:pStyle w:val="Standard"/>
        <w:jc w:val="both"/>
      </w:pPr>
      <w:r>
        <w:t>Financijski izvještaji prezentirani su u kunama.</w:t>
      </w:r>
    </w:p>
    <w:p w:rsidR="00C26828" w:rsidRDefault="00C26828" w:rsidP="00C26828">
      <w:pPr>
        <w:pStyle w:val="Standard"/>
        <w:jc w:val="both"/>
      </w:pPr>
      <w:r>
        <w:t>Društvo je poslovalo neograničeno tijekom cijele 2017. godine.</w:t>
      </w:r>
    </w:p>
    <w:p w:rsidR="00C26828" w:rsidRDefault="00C26828" w:rsidP="00C26828">
      <w:pPr>
        <w:pStyle w:val="Standard"/>
        <w:jc w:val="both"/>
      </w:pPr>
      <w:r>
        <w:t>Podaci iz bilance odnose se na stanje na dan 31.12.2017. g., a podaci iz računa dobiti i gubitka obuhvaćaju sve prihode i rashode ostvarene u razdoblju od 01.01.2017. do 31.12.2017.</w:t>
      </w:r>
    </w:p>
    <w:p w:rsidR="00C26828" w:rsidRDefault="00C26828" w:rsidP="00C26828">
      <w:pPr>
        <w:pStyle w:val="Standard"/>
        <w:jc w:val="both"/>
      </w:pPr>
      <w:r>
        <w:t>Financijski izvještaji temelje se na podacima koji su bili dostupni do datuma sastavljanja financijskih izvještaja.</w:t>
      </w:r>
    </w:p>
    <w:p w:rsidR="00C26828" w:rsidRDefault="00C26828" w:rsidP="00C26828">
      <w:pPr>
        <w:pStyle w:val="Standard"/>
        <w:jc w:val="both"/>
      </w:pPr>
    </w:p>
    <w:p w:rsidR="00C26828" w:rsidRPr="00D630EB" w:rsidRDefault="00C26828" w:rsidP="00C26828">
      <w:pPr>
        <w:pStyle w:val="Standard"/>
        <w:numPr>
          <w:ilvl w:val="0"/>
          <w:numId w:val="4"/>
        </w:numPr>
        <w:spacing w:line="360" w:lineRule="auto"/>
        <w:rPr>
          <w:sz w:val="22"/>
          <w:szCs w:val="22"/>
        </w:rPr>
      </w:pPr>
      <w:r w:rsidRPr="00D630EB">
        <w:rPr>
          <w:b/>
          <w:sz w:val="22"/>
          <w:szCs w:val="22"/>
        </w:rPr>
        <w:t>ZNAČAJNE RAČUNOVODSTVENE POLITIKE</w:t>
      </w:r>
    </w:p>
    <w:p w:rsidR="00C26828" w:rsidRDefault="00C26828" w:rsidP="00C26828">
      <w:pPr>
        <w:pStyle w:val="Standard"/>
      </w:pPr>
    </w:p>
    <w:p w:rsidR="00C26828" w:rsidRPr="00D630EB" w:rsidRDefault="00C26828" w:rsidP="00C26828">
      <w:pPr>
        <w:pStyle w:val="Standard"/>
        <w:rPr>
          <w:b/>
          <w:sz w:val="18"/>
          <w:szCs w:val="18"/>
        </w:rPr>
      </w:pPr>
      <w:r w:rsidRPr="00D630EB">
        <w:rPr>
          <w:b/>
          <w:sz w:val="18"/>
          <w:szCs w:val="18"/>
        </w:rPr>
        <w:t>DUGOTRAJNA  IMOVINA</w:t>
      </w:r>
    </w:p>
    <w:p w:rsidR="00C26828" w:rsidRDefault="00C26828" w:rsidP="00C26828">
      <w:pPr>
        <w:pStyle w:val="Standard"/>
        <w:ind w:left="360"/>
      </w:pPr>
    </w:p>
    <w:p w:rsidR="00C26828" w:rsidRDefault="00C26828" w:rsidP="00C26828">
      <w:pPr>
        <w:pStyle w:val="Standard"/>
        <w:jc w:val="both"/>
      </w:pPr>
      <w:r>
        <w:t>-  obuhvaća sredstva koja Društvo koristi pri isporuci dobara i usluga</w:t>
      </w:r>
      <w:r w:rsidR="001A2095">
        <w:t>,</w:t>
      </w:r>
      <w:r>
        <w:t xml:space="preserve"> te u administrativne svrhe i čiji je procijenjeni korisni vijek upotrebe duži od godine dana.  Ova imovina početno se priznaje u bilanci po trošku nabave koji obuhvaća neto kupovnu cijenu i sve druge ovisne </w:t>
      </w:r>
      <w:r>
        <w:lastRenderedPageBreak/>
        <w:t>troškove do stavljanja sredstva u upotrebu. Nakon početnog priznavanja dugotrajna imovina se mjeri po trošku nabave umanjenom za ispravak vrijednosti i akumulirane gubitke od umanjenja sukladno HSFI-u 6.</w:t>
      </w:r>
    </w:p>
    <w:p w:rsidR="00C26828" w:rsidRDefault="00C26828" w:rsidP="00C26828">
      <w:pPr>
        <w:pStyle w:val="Standard"/>
        <w:jc w:val="both"/>
      </w:pPr>
      <w:r>
        <w:t>Amortizacija dugotrajne materijal</w:t>
      </w:r>
      <w:r w:rsidR="002C03D6">
        <w:t>n</w:t>
      </w:r>
      <w:r>
        <w:t>e imovine obračunava se primjenom linearne metode u procijenjenom vijeku upotrebe svakog pojedinog sredstva.</w:t>
      </w:r>
    </w:p>
    <w:p w:rsidR="00C26828" w:rsidRDefault="00C26828" w:rsidP="00C26828">
      <w:pPr>
        <w:pStyle w:val="Standard"/>
      </w:pPr>
      <w:r>
        <w:t>Korisni vijek upotrebe je procijenjen kako slijedi:</w:t>
      </w:r>
    </w:p>
    <w:p w:rsidR="00C26828" w:rsidRDefault="00C26828" w:rsidP="00C26828">
      <w:pPr>
        <w:pStyle w:val="Standard"/>
      </w:pPr>
      <w:r>
        <w:tab/>
      </w:r>
      <w:r>
        <w:tab/>
      </w:r>
      <w:r>
        <w:tab/>
      </w:r>
      <w:r>
        <w:tab/>
      </w:r>
      <w:r>
        <w:tab/>
      </w:r>
      <w:r>
        <w:rPr>
          <w:u w:val="single"/>
        </w:rPr>
        <w:t>2016.</w:t>
      </w:r>
      <w:r>
        <w:rPr>
          <w:u w:val="single"/>
        </w:rPr>
        <w:tab/>
      </w:r>
      <w:r>
        <w:rPr>
          <w:u w:val="single"/>
        </w:rPr>
        <w:tab/>
      </w:r>
      <w:r>
        <w:rPr>
          <w:u w:val="single"/>
        </w:rPr>
        <w:tab/>
        <w:t>2017</w:t>
      </w:r>
      <w:r>
        <w:t>.</w:t>
      </w:r>
    </w:p>
    <w:p w:rsidR="00C26828" w:rsidRDefault="00C26828" w:rsidP="00C26828">
      <w:pPr>
        <w:pStyle w:val="Standard"/>
      </w:pPr>
      <w:r>
        <w:t>- nematerijalna imovina</w:t>
      </w:r>
      <w:r>
        <w:tab/>
      </w:r>
      <w:r>
        <w:tab/>
        <w:t>2-5 godina</w:t>
      </w:r>
      <w:r>
        <w:tab/>
      </w:r>
      <w:r>
        <w:tab/>
        <w:t>2-5 godina</w:t>
      </w:r>
    </w:p>
    <w:p w:rsidR="00C26828" w:rsidRDefault="00C26828" w:rsidP="00C26828">
      <w:pPr>
        <w:pStyle w:val="Standard"/>
      </w:pPr>
      <w:r>
        <w:t>- građevinski objekti</w:t>
      </w:r>
      <w:r>
        <w:tab/>
      </w:r>
      <w:r>
        <w:tab/>
      </w:r>
      <w:r>
        <w:tab/>
        <w:t>20 godina</w:t>
      </w:r>
      <w:r>
        <w:tab/>
      </w:r>
      <w:r>
        <w:tab/>
        <w:t>20 godina</w:t>
      </w:r>
    </w:p>
    <w:p w:rsidR="00C26828" w:rsidRDefault="00C26828" w:rsidP="00C26828">
      <w:pPr>
        <w:pStyle w:val="Standard"/>
      </w:pPr>
      <w:r>
        <w:t>- strojevi i oprema</w:t>
      </w:r>
      <w:r>
        <w:tab/>
      </w:r>
      <w:r>
        <w:tab/>
      </w:r>
      <w:r>
        <w:tab/>
        <w:t>2-8 godina</w:t>
      </w:r>
      <w:r>
        <w:tab/>
      </w:r>
      <w:r>
        <w:tab/>
        <w:t>2-8 godina</w:t>
      </w:r>
    </w:p>
    <w:p w:rsidR="00C26828" w:rsidRDefault="00C26828" w:rsidP="00C26828">
      <w:pPr>
        <w:pStyle w:val="Standard"/>
      </w:pPr>
      <w:r>
        <w:t>- alati, namještaj, trans.sredstva</w:t>
      </w:r>
    </w:p>
    <w:p w:rsidR="00C26828" w:rsidRDefault="00C26828" w:rsidP="00C26828">
      <w:pPr>
        <w:pStyle w:val="Standard"/>
      </w:pPr>
      <w:r>
        <w:t xml:space="preserve">   i ostala materijalna imovina</w:t>
      </w:r>
      <w:r>
        <w:tab/>
        <w:t>2-5 godina</w:t>
      </w:r>
      <w:r>
        <w:tab/>
      </w:r>
      <w:r>
        <w:tab/>
        <w:t>2-5 godina</w:t>
      </w:r>
    </w:p>
    <w:p w:rsidR="00C26828" w:rsidRDefault="00C26828" w:rsidP="00C26828">
      <w:pPr>
        <w:pStyle w:val="Standard"/>
      </w:pPr>
    </w:p>
    <w:p w:rsidR="00C26828" w:rsidRDefault="00C26828" w:rsidP="00C26828">
      <w:pPr>
        <w:pStyle w:val="Standard"/>
        <w:jc w:val="both"/>
      </w:pPr>
      <w:r>
        <w:t>Zemljište i druga imovina koja ima neograničen vijek upotrebe te imovina u pripremi se ne amortizira.</w:t>
      </w:r>
    </w:p>
    <w:p w:rsidR="00C26828" w:rsidRDefault="00C26828" w:rsidP="00C26828">
      <w:pPr>
        <w:pStyle w:val="Standard"/>
        <w:jc w:val="both"/>
      </w:pPr>
      <w:r>
        <w:t>Dobici ili gubici od prestanka priznavanja dugotrajne materijalne imovine (prodaja, rashodovanje i sl.) utvrđuju se kao razlika ostvarene prodajne cijene i knjigovodstvene vrijednosti i uključuju u stavku Ostali poslovni prihodi odnosno Ostali poslovni rashodi u računu dobiti i gubitka.</w:t>
      </w:r>
    </w:p>
    <w:p w:rsidR="00C26828" w:rsidRDefault="00C26828" w:rsidP="00C26828">
      <w:pPr>
        <w:pStyle w:val="Standard"/>
        <w:numPr>
          <w:ilvl w:val="1"/>
          <w:numId w:val="4"/>
        </w:numPr>
        <w:jc w:val="both"/>
      </w:pPr>
    </w:p>
    <w:p w:rsidR="00C26828" w:rsidRPr="00D630EB" w:rsidRDefault="00C26828" w:rsidP="00C26828">
      <w:pPr>
        <w:pStyle w:val="Standard"/>
        <w:jc w:val="both"/>
        <w:rPr>
          <w:b/>
          <w:sz w:val="18"/>
          <w:szCs w:val="18"/>
        </w:rPr>
      </w:pPr>
      <w:r w:rsidRPr="00D630EB">
        <w:rPr>
          <w:b/>
          <w:sz w:val="18"/>
          <w:szCs w:val="18"/>
        </w:rPr>
        <w:t>ZALIHE</w:t>
      </w:r>
    </w:p>
    <w:p w:rsidR="00C26828" w:rsidRDefault="00C26828" w:rsidP="00C26828">
      <w:pPr>
        <w:pStyle w:val="Standard"/>
        <w:ind w:left="360"/>
        <w:jc w:val="both"/>
      </w:pPr>
    </w:p>
    <w:p w:rsidR="00C26828" w:rsidRDefault="00C26828" w:rsidP="00C26828">
      <w:pPr>
        <w:pStyle w:val="Standard"/>
        <w:jc w:val="both"/>
      </w:pPr>
      <w:r>
        <w:t>Zalihe obuhvaćaju zalihe sitnog inventara, auto-guma, ambalaže i trgovačke robe. Mjere se po trošku nabave ili neto utrživoj vrijednosti, ovisno koja je niža, u skladu sa HSFI-om 2. Troškovi zaliha sadrže sve troškove nabave, konverzije i druge zavisne troškove koji su direktno povezani sa dovođenjem zaliha na određenu lokaciju i u određeno stanje. Trošak se utvrđuje primjenom metode prosječnog ponderiranog troška. Iznos vrijednosti otpisa zaliha izvan porezno dopustivih okvira uvećava osnovicu poreza na dobit u razdoblju u kojem je nastao.</w:t>
      </w:r>
    </w:p>
    <w:p w:rsidR="00C26828" w:rsidRDefault="00C26828" w:rsidP="00C26828">
      <w:pPr>
        <w:pStyle w:val="Standard"/>
        <w:jc w:val="both"/>
      </w:pPr>
    </w:p>
    <w:p w:rsidR="00C26828" w:rsidRPr="00D630EB" w:rsidRDefault="00C26828" w:rsidP="00C26828">
      <w:pPr>
        <w:pStyle w:val="Standard"/>
        <w:jc w:val="both"/>
        <w:rPr>
          <w:b/>
          <w:sz w:val="18"/>
          <w:szCs w:val="18"/>
        </w:rPr>
      </w:pPr>
      <w:r w:rsidRPr="00D630EB">
        <w:rPr>
          <w:b/>
          <w:sz w:val="18"/>
          <w:szCs w:val="18"/>
        </w:rPr>
        <w:t>POTRAŽIVANJA</w:t>
      </w:r>
    </w:p>
    <w:p w:rsidR="00C26828" w:rsidRDefault="00C26828" w:rsidP="00C26828">
      <w:pPr>
        <w:pStyle w:val="Standard"/>
        <w:jc w:val="both"/>
      </w:pPr>
      <w:r>
        <w:t xml:space="preserve"> </w:t>
      </w:r>
    </w:p>
    <w:p w:rsidR="00C26828" w:rsidRDefault="00C26828" w:rsidP="00C26828">
      <w:pPr>
        <w:pStyle w:val="Standard"/>
        <w:jc w:val="both"/>
      </w:pPr>
      <w:r>
        <w:t>Potraživanja predstavljaju prava na naplatu određenih iznosa od kupaca ili drugih dužnika kao rezultat poslovanja Društva. Početno se mjere po fer vrijednosti. Ukoliko postoje objektivni dokazi o nemogućnosti naplate, knjigovodstvena vrijednost se umanjuje na kontu ispravka vrijednosti, gubitak priznaje u računu dobiti i gubitka, a u poreznom smislu tretira sukladno poreznim propisima.</w:t>
      </w:r>
    </w:p>
    <w:p w:rsidR="00C26828" w:rsidRDefault="00C26828" w:rsidP="00C26828">
      <w:pPr>
        <w:pStyle w:val="Standard"/>
        <w:jc w:val="both"/>
      </w:pPr>
    </w:p>
    <w:p w:rsidR="00C26828" w:rsidRPr="00D630EB" w:rsidRDefault="00C26828" w:rsidP="00C26828">
      <w:pPr>
        <w:pStyle w:val="Standard"/>
        <w:spacing w:line="360" w:lineRule="auto"/>
        <w:jc w:val="both"/>
        <w:rPr>
          <w:b/>
          <w:sz w:val="18"/>
          <w:szCs w:val="18"/>
        </w:rPr>
      </w:pPr>
      <w:r w:rsidRPr="00D630EB">
        <w:rPr>
          <w:b/>
          <w:sz w:val="18"/>
          <w:szCs w:val="18"/>
        </w:rPr>
        <w:t>KAPITAL I REZERVE</w:t>
      </w:r>
    </w:p>
    <w:p w:rsidR="00C26828" w:rsidRDefault="00C26828" w:rsidP="00C26828">
      <w:pPr>
        <w:pStyle w:val="Standard"/>
        <w:jc w:val="both"/>
      </w:pPr>
      <w:r>
        <w:t>Kapital se sastoji od upisanog kapitala, revalorizacijskih rezervi, rezervi za otkup vlastitih udjela, zadržane dobiti ili prenesenog gubitka, te dobiti ili gubitka tekuće godine. Upisani kapital se sastoji od udjela ulagača i registriran je na sudu.</w:t>
      </w:r>
    </w:p>
    <w:p w:rsidR="00C26828" w:rsidRDefault="00C26828" w:rsidP="00C26828">
      <w:pPr>
        <w:pStyle w:val="Standard"/>
        <w:jc w:val="both"/>
      </w:pPr>
    </w:p>
    <w:p w:rsidR="00C26828" w:rsidRPr="00D630EB" w:rsidRDefault="00C26828" w:rsidP="00C26828">
      <w:pPr>
        <w:pStyle w:val="Standard"/>
        <w:spacing w:line="360" w:lineRule="auto"/>
        <w:rPr>
          <w:b/>
          <w:sz w:val="18"/>
          <w:szCs w:val="18"/>
        </w:rPr>
      </w:pPr>
      <w:r w:rsidRPr="00D630EB">
        <w:rPr>
          <w:b/>
          <w:sz w:val="18"/>
          <w:szCs w:val="18"/>
        </w:rPr>
        <w:t>OBVEZE</w:t>
      </w:r>
    </w:p>
    <w:p w:rsidR="00C26828" w:rsidRDefault="00C26828" w:rsidP="00C26828">
      <w:pPr>
        <w:pStyle w:val="Standard"/>
        <w:jc w:val="both"/>
      </w:pPr>
      <w:r>
        <w:t>Obveze obuhvaćaju obveze prema dobavljačima, obveze prema zaposlenima, obveze s osnove kredita i zajmova</w:t>
      </w:r>
      <w:r w:rsidR="001A2095">
        <w:t>,</w:t>
      </w:r>
      <w:r>
        <w:t xml:space="preserve"> te ostale obveze. Obveze se mjere po fer vrijednosti, a financijske obveze mjere se po amortiziranom trošku primjenom metode efektivne kamatne stope.</w:t>
      </w:r>
    </w:p>
    <w:p w:rsidR="00D630EB" w:rsidRDefault="00D630EB" w:rsidP="00C26828">
      <w:pPr>
        <w:pStyle w:val="Standard"/>
        <w:spacing w:line="360" w:lineRule="auto"/>
        <w:jc w:val="both"/>
        <w:rPr>
          <w:b/>
        </w:rPr>
      </w:pPr>
    </w:p>
    <w:p w:rsidR="00D630EB" w:rsidRDefault="00D630EB" w:rsidP="00C26828">
      <w:pPr>
        <w:pStyle w:val="Standard"/>
        <w:spacing w:line="360" w:lineRule="auto"/>
        <w:jc w:val="both"/>
        <w:rPr>
          <w:b/>
        </w:rPr>
      </w:pPr>
    </w:p>
    <w:p w:rsidR="00D630EB" w:rsidRDefault="00D630EB" w:rsidP="00C26828">
      <w:pPr>
        <w:pStyle w:val="Standard"/>
        <w:spacing w:line="360" w:lineRule="auto"/>
        <w:jc w:val="both"/>
        <w:rPr>
          <w:b/>
        </w:rPr>
      </w:pPr>
    </w:p>
    <w:p w:rsidR="00C26828" w:rsidRPr="00D630EB" w:rsidRDefault="00C26828" w:rsidP="00C26828">
      <w:pPr>
        <w:pStyle w:val="Standard"/>
        <w:spacing w:line="360" w:lineRule="auto"/>
        <w:jc w:val="both"/>
        <w:rPr>
          <w:b/>
          <w:sz w:val="18"/>
          <w:szCs w:val="18"/>
        </w:rPr>
      </w:pPr>
      <w:r w:rsidRPr="00D630EB">
        <w:rPr>
          <w:b/>
          <w:sz w:val="18"/>
          <w:szCs w:val="18"/>
        </w:rPr>
        <w:lastRenderedPageBreak/>
        <w:t>VREMENSKA RAZGRANIČENJA</w:t>
      </w:r>
    </w:p>
    <w:p w:rsidR="00C26828" w:rsidRDefault="00C26828" w:rsidP="00C26828">
      <w:pPr>
        <w:pStyle w:val="Standard"/>
        <w:jc w:val="both"/>
      </w:pPr>
      <w:r>
        <w:t>Vremenska razgraničenja obuhvaćaju unaprijed plaćene troškove, nedospjelu naplatu prihoda, odgođeno plaćanje troškova i prihod budućeg razdoblja. Vremenska razgraničenja mjere se sukladno HSFI-u 14.</w:t>
      </w:r>
    </w:p>
    <w:p w:rsidR="00C26828" w:rsidRDefault="00C26828" w:rsidP="00C26828">
      <w:pPr>
        <w:pStyle w:val="Standard"/>
        <w:jc w:val="both"/>
      </w:pPr>
      <w:r>
        <w:t>Odgođena porezna imovina i obveze mjere se primjenom poreznih stopa (i poreznih zakona) koji su na snazi na datum bilance.</w:t>
      </w:r>
    </w:p>
    <w:p w:rsidR="00C26828" w:rsidRDefault="00C26828" w:rsidP="00C26828">
      <w:pPr>
        <w:pStyle w:val="Standard"/>
        <w:jc w:val="both"/>
      </w:pPr>
    </w:p>
    <w:p w:rsidR="00C26828" w:rsidRPr="00D630EB" w:rsidRDefault="00C26828" w:rsidP="00C26828">
      <w:pPr>
        <w:pStyle w:val="Standard"/>
        <w:jc w:val="both"/>
        <w:rPr>
          <w:b/>
          <w:sz w:val="18"/>
          <w:szCs w:val="18"/>
        </w:rPr>
      </w:pPr>
      <w:r w:rsidRPr="00D630EB">
        <w:rPr>
          <w:b/>
          <w:sz w:val="18"/>
          <w:szCs w:val="18"/>
        </w:rPr>
        <w:t>PRIHODI</w:t>
      </w:r>
    </w:p>
    <w:p w:rsidR="00C26828" w:rsidRDefault="00C26828" w:rsidP="00C26828">
      <w:pPr>
        <w:pStyle w:val="Standard"/>
        <w:jc w:val="both"/>
      </w:pPr>
    </w:p>
    <w:p w:rsidR="00C26828" w:rsidRDefault="00C26828" w:rsidP="00C26828">
      <w:pPr>
        <w:pStyle w:val="Standard"/>
        <w:jc w:val="both"/>
      </w:pPr>
      <w:r>
        <w:t>Prihodi obuhvaćaju prihode od prodaje roba i usluga te ostale poslovne prihode, financijske prihode, nerealiziranu dobit (prihod) i ostale-izvanredne prihode. Društvo priznaje prihode sukladno HSFI-u 15, kada će imati buduće ekonomske koristi i kada se iznos prihoda može pouzdano izmjeriti. Prihodi se mjere po fer vrijednosti primljene naknade ili potraživanja.</w:t>
      </w:r>
    </w:p>
    <w:p w:rsidR="00C26828" w:rsidRDefault="00C26828" w:rsidP="00C26828">
      <w:pPr>
        <w:pStyle w:val="Standard"/>
        <w:jc w:val="both"/>
      </w:pPr>
      <w:r>
        <w:t>Prihodi od prodaje</w:t>
      </w:r>
      <w:r>
        <w:rPr>
          <w:b/>
        </w:rPr>
        <w:t xml:space="preserve"> </w:t>
      </w:r>
      <w:r>
        <w:t xml:space="preserve"> priznaju se kada Društvo obavi isporuke robe kupcu odnosno izvrši usluge, kada kupac prihvati isporučenu robu i kad je naplativost nastalih potraživanja prilično sigurna.</w:t>
      </w:r>
    </w:p>
    <w:p w:rsidR="00C26828" w:rsidRDefault="00C26828" w:rsidP="00C26828">
      <w:pPr>
        <w:pStyle w:val="Standard"/>
        <w:jc w:val="both"/>
      </w:pPr>
      <w:r>
        <w:t>Ostali poslovni prihodi obuhvaćaju prihode od prestanka priznavanja dugotrajne materijalne i nematerijalne imovine, ulaganja u nekretnine, imovine namijenjene prodaji i financijske imovine. Ovi prihodi priznaju se na neto osnovi kao razlika između neto zaračunatog iznosa i knjigovodstvene vrijednosti sredstva.</w:t>
      </w:r>
    </w:p>
    <w:p w:rsidR="00C26828" w:rsidRDefault="00C26828" w:rsidP="00C26828">
      <w:pPr>
        <w:pStyle w:val="Standard"/>
        <w:jc w:val="both"/>
      </w:pPr>
      <w:r>
        <w:t>Financijske prihode čine kamate, tečajne razlike, dividende i slični prihodi iz odnosa s povezanim poduzetnicima, kamate, tečajne razlike, dividende i slični prihodi iz odnosa s nepovezanim poduzetnicima i drugim osobama, dio prihoda  od pridruženih poduzetnika i sudjelujućih interesa, nerealizirani dobici (prihodi) te ostali financijski prihodi. Prihodi od kamata priznaju se u računu dobiti i gubitka kada nastaju, metodom efektivne kamatne stope.</w:t>
      </w:r>
    </w:p>
    <w:p w:rsidR="00C26828" w:rsidRDefault="00C26828" w:rsidP="00C26828">
      <w:pPr>
        <w:pStyle w:val="Standard"/>
        <w:jc w:val="both"/>
      </w:pPr>
      <w:r>
        <w:t>Nerealizirani dobici (prihodi) obuhvaćaju povećanja vrijednosti dugotrajne financijske imovine koja se vodi po fer vrijednosti.</w:t>
      </w:r>
    </w:p>
    <w:p w:rsidR="00C26828" w:rsidRDefault="00C26828" w:rsidP="00C26828">
      <w:pPr>
        <w:pStyle w:val="Standard"/>
        <w:jc w:val="both"/>
      </w:pPr>
    </w:p>
    <w:p w:rsidR="00C26828" w:rsidRPr="00D630EB" w:rsidRDefault="00C26828" w:rsidP="00C26828">
      <w:pPr>
        <w:pStyle w:val="Standard"/>
        <w:spacing w:line="360" w:lineRule="auto"/>
        <w:jc w:val="both"/>
        <w:rPr>
          <w:b/>
          <w:sz w:val="18"/>
          <w:szCs w:val="18"/>
        </w:rPr>
      </w:pPr>
      <w:r w:rsidRPr="00D630EB">
        <w:rPr>
          <w:b/>
          <w:sz w:val="18"/>
          <w:szCs w:val="18"/>
        </w:rPr>
        <w:t>RASHODI</w:t>
      </w:r>
    </w:p>
    <w:p w:rsidR="00C26828" w:rsidRDefault="00C26828" w:rsidP="00C26828">
      <w:pPr>
        <w:pStyle w:val="Standard"/>
        <w:jc w:val="both"/>
      </w:pPr>
      <w:r>
        <w:t>Rashodi obuhvaćaju poslovne rashode, financijske rashode, nerealizirane gubitke</w:t>
      </w:r>
      <w:r w:rsidR="001A2095">
        <w:t>,</w:t>
      </w:r>
      <w:r>
        <w:t xml:space="preserve"> te ostale izvanredne rashode. Rashodi se priznaju sukladno HSFI-u 16, kada smanjenje budućih ekonomskih koristi proizlazi iz smanjenja imovine, odnosno povećanja obveza i koje se može pouzdano izmjeriti. Rashodi se sučeljavaju s odnosnih prihodima koji proistječu iz istih transakcija i drugih događaja.</w:t>
      </w:r>
    </w:p>
    <w:p w:rsidR="00C26828" w:rsidRDefault="00C26828" w:rsidP="00C26828">
      <w:pPr>
        <w:pStyle w:val="Standard"/>
        <w:jc w:val="both"/>
      </w:pPr>
      <w:r>
        <w:t>Poslovni rashodi obuhvaćaju materijalne troškove, troškove osoblja, amortizaciju, vrijednosno usklađivanje dugotrajne i kratkotrajne imovine, rezerviranja troškova i rizika te ostale troškove poslovanja.</w:t>
      </w:r>
    </w:p>
    <w:p w:rsidR="00C26828" w:rsidRDefault="00C26828" w:rsidP="00C26828">
      <w:pPr>
        <w:pStyle w:val="Standard"/>
        <w:jc w:val="both"/>
      </w:pPr>
      <w:r>
        <w:t>Materijalni troškovi koji se odnose na zalihe priznaju se i mjere u skladu s odredbama HSFI-a 10-Zalihe.</w:t>
      </w:r>
    </w:p>
    <w:p w:rsidR="00C26828" w:rsidRDefault="00C26828" w:rsidP="00C26828">
      <w:pPr>
        <w:pStyle w:val="Standard"/>
        <w:jc w:val="both"/>
      </w:pPr>
      <w:r>
        <w:t>Troškovi usluga, troškovi osoblja i drugi troškovi priznaju se u razdoblju u kojem su nastali i u skladu s drugim mjerodavnim standardima.</w:t>
      </w:r>
    </w:p>
    <w:p w:rsidR="00C26828" w:rsidRDefault="00C26828" w:rsidP="00C26828">
      <w:pPr>
        <w:pStyle w:val="Standard"/>
        <w:jc w:val="both"/>
      </w:pPr>
      <w:r>
        <w:t>Ostali poslovni rashodi obuhvaćaju  i rashode od prestanka priznavanja dugotrajne materijalne i nematerijalne imovine namijenjene prodaji. Ovi rashodi priznaju se na neto osnovi kao razlika između neto zaračunatog iznosa i knjigovodstvene vrijednosti sredstva.</w:t>
      </w:r>
    </w:p>
    <w:p w:rsidR="00C26828" w:rsidRDefault="00C26828" w:rsidP="00C26828">
      <w:pPr>
        <w:pStyle w:val="Standard"/>
        <w:jc w:val="both"/>
      </w:pPr>
      <w:r>
        <w:t>Financijski rashodi uključuju kamate, tečajne razlike i druge rashode s povezanim poduzetnicima, kamate, tečajne razlike i druge rashode iz odnosa s nepovezanim poduzetnicima i drugim osobama, nerealizirane gubitke (rashode) financijske imovine te ostale financijske rashode.</w:t>
      </w:r>
    </w:p>
    <w:p w:rsidR="00C26828" w:rsidRDefault="00C26828" w:rsidP="00C26828">
      <w:pPr>
        <w:pStyle w:val="Standard"/>
        <w:jc w:val="both"/>
      </w:pPr>
      <w:r>
        <w:t>Troškovi posudbe priznaju se kao rashod u razdoblju u kojem su nastali.</w:t>
      </w:r>
    </w:p>
    <w:p w:rsidR="00C26828" w:rsidRDefault="00C26828" w:rsidP="00C26828">
      <w:pPr>
        <w:pStyle w:val="Standard"/>
        <w:jc w:val="both"/>
      </w:pPr>
      <w:r>
        <w:t>Nerealizirani gubici (rashodi) obuhvaćaju rashode s osnove promjene fer vrijednosti financijske imovine, a sukladno HSFI-u 9.</w:t>
      </w:r>
    </w:p>
    <w:p w:rsidR="00C26828" w:rsidRPr="00D630EB" w:rsidRDefault="00C26828" w:rsidP="00C26828">
      <w:pPr>
        <w:pStyle w:val="Standard"/>
        <w:jc w:val="both"/>
        <w:rPr>
          <w:b/>
          <w:sz w:val="18"/>
          <w:szCs w:val="18"/>
        </w:rPr>
      </w:pPr>
      <w:r w:rsidRPr="00D630EB">
        <w:rPr>
          <w:b/>
          <w:sz w:val="18"/>
          <w:szCs w:val="18"/>
        </w:rPr>
        <w:lastRenderedPageBreak/>
        <w:t>POREZ NA DOBIT</w:t>
      </w:r>
    </w:p>
    <w:p w:rsidR="00C26828" w:rsidRDefault="00C26828" w:rsidP="00C26828">
      <w:pPr>
        <w:pStyle w:val="Standard"/>
        <w:jc w:val="both"/>
      </w:pPr>
    </w:p>
    <w:p w:rsidR="00C26828" w:rsidRDefault="00C26828" w:rsidP="00C26828">
      <w:pPr>
        <w:pStyle w:val="Standard"/>
        <w:jc w:val="both"/>
      </w:pPr>
      <w:r>
        <w:t>Društvo iskazuje poreznu obvezu u skladu s hrvatskim propisima. Porez na dobit za tekuću godinu  sadržava tekući i odgođeni porez.</w:t>
      </w:r>
    </w:p>
    <w:p w:rsidR="00C26828" w:rsidRDefault="00C26828" w:rsidP="00C26828">
      <w:pPr>
        <w:pStyle w:val="Standard"/>
        <w:jc w:val="both"/>
      </w:pPr>
      <w:r>
        <w:t>Tekući porez je očekivani porez koji se plaća na oporezivu dobit tekuće godine, koristeći poreznu stopu koja je na snazi na datum bilance.</w:t>
      </w:r>
    </w:p>
    <w:p w:rsidR="00C26828" w:rsidRDefault="00C26828" w:rsidP="00C26828">
      <w:pPr>
        <w:pStyle w:val="Standard"/>
        <w:jc w:val="both"/>
      </w:pPr>
      <w:r>
        <w:t>Odgođeni porezi proizlaze iz privremenih razlika između vrijednosti imovine i obveza iskazanih u financijskim izvještajima od vrijednosti iskazanih za potrebe utvrđivanja osnovice poreza na dobit. Odgođena porezna imovina za neiskorištene porezne gubitke i neiskorištene porezne olakšice priznaje se ukoliko postoji vjerojatnost da će se u budućnosti ostvariti oporeziva dobit temeljem koje će se iskoristiti odgođena porezna imovina. Odgođena porezna imovina i obveze obračunavaju se uz primjenu stope porez</w:t>
      </w:r>
      <w:r w:rsidR="001A2095">
        <w:t>a</w:t>
      </w:r>
      <w:r>
        <w:t xml:space="preserve"> na dobit primjenjive na period kada će se ta imovina ili obveze realizirati.</w:t>
      </w:r>
    </w:p>
    <w:p w:rsidR="00C26828" w:rsidRDefault="00C26828" w:rsidP="00C26828">
      <w:pPr>
        <w:pStyle w:val="Standard"/>
        <w:jc w:val="both"/>
      </w:pPr>
      <w:r>
        <w:t>Tekući i odgođeni porez priznaju se kao rashod ili prihod u računu dobiti i gubitka osim kada se odnose na stavke  koje se direktno priznaju na kapitalu, kada se i porez također priznaje na kapitalu.</w:t>
      </w:r>
    </w:p>
    <w:p w:rsidR="00C26828" w:rsidRDefault="00C26828" w:rsidP="00C26828">
      <w:pPr>
        <w:pStyle w:val="Standard"/>
        <w:jc w:val="both"/>
      </w:pPr>
    </w:p>
    <w:p w:rsidR="00B7267D" w:rsidRDefault="00B7267D" w:rsidP="00C26828">
      <w:pPr>
        <w:pStyle w:val="Standard"/>
        <w:rPr>
          <w:b/>
        </w:rPr>
      </w:pPr>
    </w:p>
    <w:p w:rsidR="00C26828" w:rsidRPr="00B7267D" w:rsidRDefault="00C26828" w:rsidP="00C26828">
      <w:pPr>
        <w:pStyle w:val="Standard"/>
        <w:rPr>
          <w:b/>
          <w:u w:val="single"/>
        </w:rPr>
      </w:pPr>
      <w:r w:rsidRPr="00B7267D">
        <w:rPr>
          <w:b/>
          <w:u w:val="single"/>
        </w:rPr>
        <w:t>BILANCA</w:t>
      </w:r>
    </w:p>
    <w:p w:rsidR="00C26828" w:rsidRDefault="00C26828" w:rsidP="00C26828">
      <w:pPr>
        <w:pStyle w:val="Standard"/>
        <w:rPr>
          <w:b/>
        </w:rPr>
      </w:pPr>
    </w:p>
    <w:p w:rsidR="00B7267D" w:rsidRDefault="00B7267D" w:rsidP="00C26828">
      <w:pPr>
        <w:pStyle w:val="Standard"/>
        <w:rPr>
          <w:b/>
          <w:sz w:val="20"/>
          <w:szCs w:val="20"/>
        </w:rPr>
      </w:pPr>
    </w:p>
    <w:p w:rsidR="00C26828" w:rsidRDefault="00C26828" w:rsidP="00C26828">
      <w:pPr>
        <w:pStyle w:val="Standard"/>
        <w:rPr>
          <w:b/>
          <w:sz w:val="20"/>
          <w:szCs w:val="20"/>
        </w:rPr>
      </w:pPr>
      <w:r w:rsidRPr="00D630EB">
        <w:rPr>
          <w:b/>
          <w:sz w:val="20"/>
          <w:szCs w:val="20"/>
        </w:rPr>
        <w:t>Bilješka 5.  Dugotrajna imovina</w:t>
      </w:r>
    </w:p>
    <w:p w:rsidR="00B7267D" w:rsidRPr="00D630EB" w:rsidRDefault="00B7267D" w:rsidP="00C26828">
      <w:pPr>
        <w:pStyle w:val="Standard"/>
        <w:rPr>
          <w:b/>
          <w:sz w:val="20"/>
          <w:szCs w:val="20"/>
        </w:rPr>
      </w:pPr>
    </w:p>
    <w:p w:rsidR="00C26828" w:rsidRDefault="00C26828" w:rsidP="00C26828">
      <w:pPr>
        <w:pStyle w:val="Standard"/>
        <w:jc w:val="right"/>
        <w:rPr>
          <w:b/>
          <w:i/>
        </w:rPr>
      </w:pPr>
      <w:r>
        <w:rPr>
          <w:b/>
          <w:i/>
        </w:rPr>
        <w:t>- u kn</w:t>
      </w:r>
    </w:p>
    <w:tbl>
      <w:tblPr>
        <w:tblW w:w="7792" w:type="dxa"/>
        <w:jc w:val="center"/>
        <w:tblLayout w:type="fixed"/>
        <w:tblCellMar>
          <w:left w:w="10" w:type="dxa"/>
          <w:right w:w="10" w:type="dxa"/>
        </w:tblCellMar>
        <w:tblLook w:val="0000" w:firstRow="0" w:lastRow="0" w:firstColumn="0" w:lastColumn="0" w:noHBand="0" w:noVBand="0"/>
      </w:tblPr>
      <w:tblGrid>
        <w:gridCol w:w="2689"/>
        <w:gridCol w:w="1701"/>
        <w:gridCol w:w="1842"/>
        <w:gridCol w:w="1560"/>
      </w:tblGrid>
      <w:tr w:rsidR="00C26828" w:rsidRPr="00F75E46" w:rsidTr="00F75E46">
        <w:tblPrEx>
          <w:tblCellMar>
            <w:top w:w="0" w:type="dxa"/>
            <w:bottom w:w="0" w:type="dxa"/>
          </w:tblCellMar>
        </w:tblPrEx>
        <w:trPr>
          <w:jc w:val="center"/>
        </w:trPr>
        <w:tc>
          <w:tcPr>
            <w:tcW w:w="268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i/>
                <w:sz w:val="20"/>
                <w:szCs w:val="20"/>
              </w:rPr>
            </w:pPr>
            <w:r w:rsidRPr="00F75E46">
              <w:rPr>
                <w:b/>
                <w:i/>
                <w:sz w:val="20"/>
                <w:szCs w:val="20"/>
              </w:rPr>
              <w:t>Opis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i/>
                <w:sz w:val="20"/>
                <w:szCs w:val="20"/>
              </w:rPr>
            </w:pPr>
            <w:r w:rsidRPr="00F75E46">
              <w:rPr>
                <w:b/>
                <w:i/>
                <w:sz w:val="20"/>
                <w:szCs w:val="20"/>
              </w:rPr>
              <w:t>Nematerijalna</w:t>
            </w:r>
          </w:p>
          <w:p w:rsidR="00C26828" w:rsidRPr="00F75E46" w:rsidRDefault="00C26828" w:rsidP="00C26828">
            <w:pPr>
              <w:pStyle w:val="Standard"/>
              <w:jc w:val="center"/>
              <w:rPr>
                <w:b/>
                <w:i/>
                <w:sz w:val="20"/>
                <w:szCs w:val="20"/>
              </w:rPr>
            </w:pPr>
            <w:r w:rsidRPr="00F75E46">
              <w:rPr>
                <w:b/>
                <w:i/>
                <w:sz w:val="20"/>
                <w:szCs w:val="20"/>
              </w:rPr>
              <w:t xml:space="preserve"> imovina</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i/>
                <w:sz w:val="20"/>
                <w:szCs w:val="20"/>
              </w:rPr>
            </w:pPr>
            <w:r w:rsidRPr="00F75E46">
              <w:rPr>
                <w:b/>
                <w:i/>
                <w:sz w:val="20"/>
                <w:szCs w:val="20"/>
              </w:rPr>
              <w:t>Materijalna</w:t>
            </w:r>
          </w:p>
          <w:p w:rsidR="00C26828" w:rsidRPr="00F75E46" w:rsidRDefault="00C26828" w:rsidP="00C26828">
            <w:pPr>
              <w:pStyle w:val="Standard"/>
              <w:jc w:val="center"/>
              <w:rPr>
                <w:b/>
                <w:i/>
                <w:sz w:val="20"/>
                <w:szCs w:val="20"/>
              </w:rPr>
            </w:pPr>
            <w:r w:rsidRPr="00F75E46">
              <w:rPr>
                <w:b/>
                <w:i/>
                <w:sz w:val="20"/>
                <w:szCs w:val="20"/>
              </w:rPr>
              <w:t xml:space="preserve"> imovina</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i/>
                <w:sz w:val="20"/>
                <w:szCs w:val="20"/>
              </w:rPr>
            </w:pPr>
            <w:r w:rsidRPr="00F75E46">
              <w:rPr>
                <w:b/>
                <w:i/>
                <w:sz w:val="20"/>
                <w:szCs w:val="20"/>
              </w:rPr>
              <w:t>Ukupno</w:t>
            </w:r>
          </w:p>
        </w:tc>
      </w:tr>
      <w:tr w:rsidR="00C26828" w:rsidTr="00F75E46">
        <w:tblPrEx>
          <w:tblCellMar>
            <w:top w:w="0" w:type="dxa"/>
            <w:bottom w:w="0" w:type="dxa"/>
          </w:tblCellMar>
        </w:tblPrEx>
        <w:trPr>
          <w:jc w:val="center"/>
        </w:trPr>
        <w:tc>
          <w:tcPr>
            <w:tcW w:w="268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rPr>
                <w:b/>
                <w:u w:val="single"/>
              </w:rPr>
            </w:pPr>
            <w:r w:rsidRPr="00F75E46">
              <w:rPr>
                <w:b/>
                <w:u w:val="single"/>
              </w:rPr>
              <w:t>Nabavna vrijednost</w:t>
            </w:r>
          </w:p>
          <w:p w:rsidR="00C26828" w:rsidRDefault="00C26828" w:rsidP="00C26828">
            <w:pPr>
              <w:pStyle w:val="Standard"/>
            </w:pPr>
            <w:r>
              <w:t>Stanje 31.12.2016.</w:t>
            </w:r>
          </w:p>
          <w:p w:rsidR="00C26828" w:rsidRDefault="00C26828" w:rsidP="00C26828">
            <w:pPr>
              <w:pStyle w:val="Standard"/>
            </w:pPr>
            <w:r>
              <w:t>Nabava</w:t>
            </w:r>
          </w:p>
          <w:p w:rsidR="00C26828" w:rsidRDefault="00C26828" w:rsidP="00C26828">
            <w:pPr>
              <w:pStyle w:val="Standard"/>
            </w:pPr>
            <w:r>
              <w:t>Prodaja i rashod</w:t>
            </w:r>
          </w:p>
          <w:p w:rsidR="00C26828" w:rsidRDefault="00C26828" w:rsidP="00C26828">
            <w:pPr>
              <w:pStyle w:val="Standard"/>
            </w:pPr>
            <w:r>
              <w:t>Stanje 31.12.2017.</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jc w:val="right"/>
            </w:pPr>
            <w:r>
              <w:t>25.200</w:t>
            </w:r>
          </w:p>
          <w:p w:rsidR="00C26828" w:rsidRDefault="00C26828" w:rsidP="001A2095">
            <w:pPr>
              <w:pStyle w:val="Standard"/>
              <w:jc w:val="right"/>
            </w:pPr>
            <w:r>
              <w:t>-</w:t>
            </w:r>
          </w:p>
          <w:p w:rsidR="00C26828" w:rsidRDefault="00C26828" w:rsidP="001A2095">
            <w:pPr>
              <w:pStyle w:val="Standard"/>
              <w:jc w:val="right"/>
            </w:pPr>
            <w:r>
              <w:t>-</w:t>
            </w:r>
          </w:p>
          <w:p w:rsidR="00C26828" w:rsidRDefault="00C26828" w:rsidP="001A2095">
            <w:pPr>
              <w:pStyle w:val="Standard"/>
              <w:jc w:val="right"/>
            </w:pPr>
            <w:r>
              <w:t>25.200</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jc w:val="right"/>
            </w:pPr>
            <w:r>
              <w:t>103.126</w:t>
            </w:r>
          </w:p>
          <w:p w:rsidR="00C26828" w:rsidRDefault="00C26828" w:rsidP="001A2095">
            <w:pPr>
              <w:pStyle w:val="Standard"/>
              <w:jc w:val="right"/>
            </w:pPr>
            <w:r>
              <w:t>-</w:t>
            </w:r>
          </w:p>
          <w:p w:rsidR="00C26828" w:rsidRDefault="00C26828" w:rsidP="001A2095">
            <w:pPr>
              <w:pStyle w:val="Standard"/>
              <w:jc w:val="right"/>
            </w:pPr>
          </w:p>
          <w:p w:rsidR="00C26828" w:rsidRDefault="00C26828" w:rsidP="001A2095">
            <w:pPr>
              <w:pStyle w:val="Standard"/>
              <w:jc w:val="right"/>
            </w:pPr>
            <w:r>
              <w:t>103.126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1A2095">
            <w:pPr>
              <w:pStyle w:val="Standard"/>
              <w:snapToGrid w:val="0"/>
              <w:jc w:val="right"/>
              <w:rPr>
                <w:b/>
              </w:rPr>
            </w:pPr>
          </w:p>
          <w:p w:rsidR="00C26828" w:rsidRDefault="00C26828" w:rsidP="001A2095">
            <w:pPr>
              <w:pStyle w:val="Standard"/>
              <w:jc w:val="right"/>
              <w:rPr>
                <w:b/>
              </w:rPr>
            </w:pPr>
            <w:r>
              <w:rPr>
                <w:b/>
              </w:rPr>
              <w:t>128.326</w:t>
            </w:r>
          </w:p>
          <w:p w:rsidR="00C26828" w:rsidRDefault="00C26828" w:rsidP="001A2095">
            <w:pPr>
              <w:pStyle w:val="Standard"/>
              <w:jc w:val="right"/>
            </w:pPr>
            <w:r>
              <w:t>-</w:t>
            </w:r>
          </w:p>
          <w:p w:rsidR="00C26828" w:rsidRDefault="00C26828" w:rsidP="001A2095">
            <w:pPr>
              <w:pStyle w:val="Standard"/>
              <w:jc w:val="right"/>
              <w:rPr>
                <w:b/>
              </w:rPr>
            </w:pPr>
          </w:p>
          <w:p w:rsidR="00C26828" w:rsidRDefault="00C26828" w:rsidP="001A2095">
            <w:pPr>
              <w:pStyle w:val="Standard"/>
              <w:jc w:val="right"/>
              <w:rPr>
                <w:b/>
              </w:rPr>
            </w:pPr>
            <w:r>
              <w:rPr>
                <w:b/>
              </w:rPr>
              <w:t>128.326</w:t>
            </w:r>
          </w:p>
        </w:tc>
      </w:tr>
      <w:tr w:rsidR="00C26828" w:rsidTr="00F75E46">
        <w:tblPrEx>
          <w:tblCellMar>
            <w:top w:w="0" w:type="dxa"/>
            <w:bottom w:w="0" w:type="dxa"/>
          </w:tblCellMar>
        </w:tblPrEx>
        <w:trPr>
          <w:jc w:val="center"/>
        </w:trPr>
        <w:tc>
          <w:tcPr>
            <w:tcW w:w="268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rPr>
                <w:b/>
                <w:u w:val="single"/>
              </w:rPr>
            </w:pPr>
            <w:r w:rsidRPr="00F75E46">
              <w:rPr>
                <w:b/>
                <w:u w:val="single"/>
              </w:rPr>
              <w:t>Ispravak vrijednosti</w:t>
            </w:r>
          </w:p>
          <w:p w:rsidR="00C26828" w:rsidRDefault="00C26828" w:rsidP="00C26828">
            <w:pPr>
              <w:pStyle w:val="Standard"/>
            </w:pPr>
            <w:r>
              <w:t>Stanje 31.12.2016.</w:t>
            </w:r>
          </w:p>
          <w:p w:rsidR="00C26828" w:rsidRDefault="00C26828" w:rsidP="00C26828">
            <w:pPr>
              <w:pStyle w:val="Standard"/>
            </w:pPr>
            <w:r>
              <w:t>Amortizacija</w:t>
            </w:r>
          </w:p>
          <w:p w:rsidR="00C26828" w:rsidRDefault="00C26828" w:rsidP="00C26828">
            <w:pPr>
              <w:pStyle w:val="Standard"/>
            </w:pPr>
            <w:r>
              <w:t>Prodaja i rashod</w:t>
            </w:r>
          </w:p>
          <w:p w:rsidR="00C26828" w:rsidRDefault="00C26828" w:rsidP="00C26828">
            <w:pPr>
              <w:pStyle w:val="Standard"/>
            </w:pPr>
            <w:r>
              <w:t>Stanje 31.12.2017.</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jc w:val="right"/>
            </w:pPr>
            <w:r>
              <w:t>25.200</w:t>
            </w:r>
          </w:p>
          <w:p w:rsidR="00C26828" w:rsidRDefault="00C26828" w:rsidP="001A2095">
            <w:pPr>
              <w:pStyle w:val="Standard"/>
              <w:jc w:val="right"/>
            </w:pPr>
            <w:r>
              <w:t>-</w:t>
            </w:r>
          </w:p>
          <w:p w:rsidR="00C26828" w:rsidRDefault="00C26828" w:rsidP="001A2095">
            <w:pPr>
              <w:pStyle w:val="Standard"/>
              <w:jc w:val="right"/>
            </w:pPr>
            <w:r>
              <w:t>-</w:t>
            </w:r>
          </w:p>
          <w:p w:rsidR="00C26828" w:rsidRDefault="00C26828" w:rsidP="001A2095">
            <w:pPr>
              <w:pStyle w:val="Standard"/>
              <w:jc w:val="right"/>
            </w:pPr>
            <w:r>
              <w:t>25.200</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jc w:val="right"/>
            </w:pPr>
            <w:r>
              <w:t>7.530</w:t>
            </w:r>
          </w:p>
          <w:p w:rsidR="00C26828" w:rsidRDefault="00C26828" w:rsidP="001A2095">
            <w:pPr>
              <w:pStyle w:val="Standard"/>
              <w:jc w:val="right"/>
            </w:pPr>
            <w:r>
              <w:t>22.860</w:t>
            </w:r>
          </w:p>
          <w:p w:rsidR="00C26828" w:rsidRDefault="00C26828" w:rsidP="001A2095">
            <w:pPr>
              <w:pStyle w:val="Standard"/>
              <w:jc w:val="right"/>
            </w:pPr>
          </w:p>
          <w:p w:rsidR="00C26828" w:rsidRDefault="00C26828" w:rsidP="001A2095">
            <w:pPr>
              <w:pStyle w:val="Standard"/>
              <w:jc w:val="right"/>
            </w:pPr>
            <w:r>
              <w:t>30.390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1A2095">
            <w:pPr>
              <w:pStyle w:val="Standard"/>
              <w:snapToGrid w:val="0"/>
              <w:jc w:val="right"/>
              <w:rPr>
                <w:b/>
              </w:rPr>
            </w:pPr>
          </w:p>
          <w:p w:rsidR="00C26828" w:rsidRDefault="00C26828" w:rsidP="001A2095">
            <w:pPr>
              <w:pStyle w:val="Standard"/>
              <w:jc w:val="right"/>
            </w:pPr>
            <w:r>
              <w:t>32.730</w:t>
            </w:r>
          </w:p>
          <w:p w:rsidR="00C26828" w:rsidRDefault="00C26828" w:rsidP="001A2095">
            <w:pPr>
              <w:pStyle w:val="Standard"/>
              <w:jc w:val="right"/>
            </w:pPr>
            <w:r>
              <w:t>22.860</w:t>
            </w:r>
          </w:p>
          <w:p w:rsidR="00C26828" w:rsidRDefault="00C26828" w:rsidP="001A2095">
            <w:pPr>
              <w:pStyle w:val="Standard"/>
              <w:jc w:val="right"/>
              <w:rPr>
                <w:b/>
              </w:rPr>
            </w:pPr>
          </w:p>
          <w:p w:rsidR="00C26828" w:rsidRDefault="00C26828" w:rsidP="001A2095">
            <w:pPr>
              <w:pStyle w:val="Standard"/>
              <w:jc w:val="right"/>
              <w:rPr>
                <w:b/>
              </w:rPr>
            </w:pPr>
            <w:r>
              <w:rPr>
                <w:b/>
              </w:rPr>
              <w:t>55.590</w:t>
            </w:r>
          </w:p>
        </w:tc>
      </w:tr>
      <w:tr w:rsidR="00C26828" w:rsidTr="00F75E46">
        <w:tblPrEx>
          <w:tblCellMar>
            <w:top w:w="0" w:type="dxa"/>
            <w:bottom w:w="0" w:type="dxa"/>
          </w:tblCellMar>
        </w:tblPrEx>
        <w:trPr>
          <w:jc w:val="center"/>
        </w:trPr>
        <w:tc>
          <w:tcPr>
            <w:tcW w:w="2689" w:type="dxa"/>
            <w:tcBorders>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rPr>
                <w:b/>
                <w:u w:val="single"/>
              </w:rPr>
            </w:pPr>
            <w:r w:rsidRPr="00F75E46">
              <w:rPr>
                <w:b/>
                <w:u w:val="single"/>
              </w:rPr>
              <w:t>Predujmovi</w:t>
            </w:r>
          </w:p>
          <w:p w:rsidR="00C26828" w:rsidRDefault="00C26828" w:rsidP="00C26828">
            <w:pPr>
              <w:pStyle w:val="Standard"/>
            </w:pPr>
            <w:r>
              <w:t>Stanje 31.12.2016.</w:t>
            </w:r>
          </w:p>
          <w:p w:rsidR="00C26828" w:rsidRDefault="00C26828" w:rsidP="00C26828">
            <w:pPr>
              <w:pStyle w:val="Standard"/>
            </w:pPr>
            <w:r>
              <w:t>Nabava</w:t>
            </w:r>
          </w:p>
          <w:p w:rsidR="00C26828" w:rsidRDefault="00C26828" w:rsidP="00C26828">
            <w:pPr>
              <w:pStyle w:val="Standard"/>
            </w:pPr>
            <w:r>
              <w:t>Prodaja i rashod</w:t>
            </w:r>
          </w:p>
          <w:p w:rsidR="00C26828" w:rsidRDefault="00C26828" w:rsidP="00C26828">
            <w:pPr>
              <w:pStyle w:val="Standard"/>
            </w:pPr>
            <w:r>
              <w:t>Stanje 31.12.2017.</w:t>
            </w:r>
          </w:p>
        </w:tc>
        <w:tc>
          <w:tcPr>
            <w:tcW w:w="1701" w:type="dxa"/>
            <w:tcBorders>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snapToGrid w:val="0"/>
              <w:jc w:val="right"/>
            </w:pPr>
            <w:r>
              <w:t>-</w:t>
            </w:r>
          </w:p>
          <w:p w:rsidR="00C26828" w:rsidRDefault="00C26828" w:rsidP="001A2095">
            <w:pPr>
              <w:pStyle w:val="Standard"/>
              <w:snapToGrid w:val="0"/>
              <w:jc w:val="right"/>
            </w:pPr>
            <w:r>
              <w:t>-</w:t>
            </w:r>
          </w:p>
          <w:p w:rsidR="00C26828" w:rsidRDefault="00C26828" w:rsidP="001A2095">
            <w:pPr>
              <w:pStyle w:val="Standard"/>
              <w:snapToGrid w:val="0"/>
              <w:jc w:val="right"/>
            </w:pPr>
            <w:r>
              <w:t>-</w:t>
            </w:r>
          </w:p>
          <w:p w:rsidR="00C26828" w:rsidRDefault="00C26828" w:rsidP="001A2095">
            <w:pPr>
              <w:pStyle w:val="Standard"/>
              <w:snapToGrid w:val="0"/>
              <w:jc w:val="right"/>
            </w:pPr>
            <w:r>
              <w:t>-</w:t>
            </w:r>
          </w:p>
        </w:tc>
        <w:tc>
          <w:tcPr>
            <w:tcW w:w="1842" w:type="dxa"/>
            <w:tcBorders>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snapToGrid w:val="0"/>
              <w:jc w:val="right"/>
            </w:pPr>
            <w:r>
              <w:t>9.000</w:t>
            </w:r>
          </w:p>
          <w:p w:rsidR="00C26828" w:rsidRDefault="00C26828" w:rsidP="001A2095">
            <w:pPr>
              <w:pStyle w:val="Standard"/>
              <w:snapToGrid w:val="0"/>
              <w:jc w:val="right"/>
            </w:pPr>
            <w:r>
              <w:t>-</w:t>
            </w:r>
          </w:p>
          <w:p w:rsidR="00C26828" w:rsidRDefault="00C26828" w:rsidP="001A2095">
            <w:pPr>
              <w:pStyle w:val="Standard"/>
              <w:snapToGrid w:val="0"/>
              <w:jc w:val="right"/>
            </w:pPr>
          </w:p>
          <w:p w:rsidR="00C26828" w:rsidRDefault="00C26828" w:rsidP="001A2095">
            <w:pPr>
              <w:pStyle w:val="Standard"/>
              <w:snapToGrid w:val="0"/>
              <w:jc w:val="right"/>
            </w:pPr>
            <w:r>
              <w:t>9.000</w:t>
            </w:r>
          </w:p>
        </w:tc>
        <w:tc>
          <w:tcPr>
            <w:tcW w:w="156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1A2095">
            <w:pPr>
              <w:pStyle w:val="Standard"/>
              <w:snapToGrid w:val="0"/>
              <w:jc w:val="right"/>
              <w:rPr>
                <w:b/>
              </w:rPr>
            </w:pPr>
          </w:p>
          <w:p w:rsidR="00C26828" w:rsidRDefault="00C26828" w:rsidP="001A2095">
            <w:pPr>
              <w:pStyle w:val="Standard"/>
              <w:snapToGrid w:val="0"/>
              <w:jc w:val="right"/>
            </w:pPr>
            <w:r>
              <w:t>9.000</w:t>
            </w:r>
          </w:p>
          <w:p w:rsidR="00C26828" w:rsidRDefault="00C26828" w:rsidP="001A2095">
            <w:pPr>
              <w:pStyle w:val="Standard"/>
              <w:snapToGrid w:val="0"/>
              <w:jc w:val="right"/>
            </w:pPr>
            <w:r>
              <w:t>-</w:t>
            </w:r>
          </w:p>
          <w:p w:rsidR="00C26828" w:rsidRDefault="00C26828" w:rsidP="001A2095">
            <w:pPr>
              <w:pStyle w:val="Standard"/>
              <w:snapToGrid w:val="0"/>
              <w:jc w:val="right"/>
              <w:rPr>
                <w:b/>
              </w:rPr>
            </w:pPr>
          </w:p>
          <w:p w:rsidR="00C26828" w:rsidRDefault="00C26828" w:rsidP="001A2095">
            <w:pPr>
              <w:pStyle w:val="Standard"/>
              <w:snapToGrid w:val="0"/>
              <w:jc w:val="right"/>
              <w:rPr>
                <w:b/>
              </w:rPr>
            </w:pPr>
            <w:r>
              <w:rPr>
                <w:b/>
              </w:rPr>
              <w:t>9.000</w:t>
            </w:r>
          </w:p>
        </w:tc>
      </w:tr>
      <w:tr w:rsidR="00C26828" w:rsidTr="00F75E46">
        <w:tblPrEx>
          <w:tblCellMar>
            <w:top w:w="0" w:type="dxa"/>
            <w:bottom w:w="0" w:type="dxa"/>
          </w:tblCellMar>
        </w:tblPrEx>
        <w:trPr>
          <w:jc w:val="center"/>
        </w:trPr>
        <w:tc>
          <w:tcPr>
            <w:tcW w:w="268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rPr>
                <w:b/>
                <w:u w:val="single"/>
              </w:rPr>
            </w:pPr>
            <w:r w:rsidRPr="00F75E46">
              <w:rPr>
                <w:b/>
                <w:u w:val="single"/>
              </w:rPr>
              <w:t>Sadašnja vrijednost</w:t>
            </w:r>
          </w:p>
          <w:p w:rsidR="00C26828" w:rsidRDefault="00C26828" w:rsidP="00C26828">
            <w:pPr>
              <w:pStyle w:val="Standard"/>
            </w:pPr>
            <w:r>
              <w:t>Stanje 31.12.2016.</w:t>
            </w:r>
          </w:p>
          <w:p w:rsidR="00C26828" w:rsidRDefault="00C26828" w:rsidP="00C26828">
            <w:pPr>
              <w:pStyle w:val="Standard"/>
            </w:pPr>
            <w:r>
              <w:t>Stanje 31.12.2017.</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jc w:val="right"/>
            </w:pPr>
            <w:r>
              <w:t>-</w:t>
            </w:r>
          </w:p>
          <w:p w:rsidR="00C26828" w:rsidRDefault="00C26828" w:rsidP="001A2095">
            <w:pPr>
              <w:pStyle w:val="Standard"/>
              <w:jc w:val="right"/>
            </w:pPr>
            <w:r>
              <w:t>-</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snapToGrid w:val="0"/>
              <w:jc w:val="right"/>
            </w:pPr>
          </w:p>
          <w:p w:rsidR="00C26828" w:rsidRDefault="00C26828" w:rsidP="001A2095">
            <w:pPr>
              <w:pStyle w:val="Standard"/>
              <w:jc w:val="right"/>
            </w:pPr>
            <w:r>
              <w:t>104.597</w:t>
            </w:r>
          </w:p>
          <w:p w:rsidR="00C26828" w:rsidRDefault="00C26828" w:rsidP="001A2095">
            <w:pPr>
              <w:pStyle w:val="Standard"/>
              <w:jc w:val="right"/>
            </w:pPr>
            <w:r>
              <w:t>81.736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1A2095">
            <w:pPr>
              <w:pStyle w:val="Standard"/>
              <w:snapToGrid w:val="0"/>
              <w:jc w:val="right"/>
              <w:rPr>
                <w:b/>
              </w:rPr>
            </w:pPr>
          </w:p>
          <w:p w:rsidR="00C26828" w:rsidRDefault="00C26828" w:rsidP="001A2095">
            <w:pPr>
              <w:pStyle w:val="Standard"/>
              <w:jc w:val="right"/>
              <w:rPr>
                <w:b/>
              </w:rPr>
            </w:pPr>
            <w:r>
              <w:rPr>
                <w:b/>
              </w:rPr>
              <w:t>104.597</w:t>
            </w:r>
          </w:p>
          <w:p w:rsidR="00C26828" w:rsidRDefault="00C26828" w:rsidP="001A2095">
            <w:pPr>
              <w:pStyle w:val="Standard"/>
              <w:jc w:val="right"/>
              <w:rPr>
                <w:b/>
              </w:rPr>
            </w:pPr>
            <w:r>
              <w:rPr>
                <w:b/>
              </w:rPr>
              <w:t>81.736</w:t>
            </w:r>
          </w:p>
        </w:tc>
      </w:tr>
    </w:tbl>
    <w:p w:rsidR="00C26828" w:rsidRDefault="00C26828" w:rsidP="00C26828">
      <w:pPr>
        <w:pStyle w:val="Standard"/>
      </w:pPr>
    </w:p>
    <w:p w:rsidR="00C26828" w:rsidRDefault="00C26828" w:rsidP="00C26828">
      <w:pPr>
        <w:pStyle w:val="Standard"/>
      </w:pPr>
      <w:r>
        <w:t>Materijalnu imovinu čine uredska računala nabavljena kroz 2015. g., te mobitel i automobil Opel Corsa (na financijski leasing) nabavljeni kroz 2016. g.</w:t>
      </w:r>
    </w:p>
    <w:p w:rsidR="00C26828" w:rsidRDefault="00C26828" w:rsidP="00C26828">
      <w:pPr>
        <w:pStyle w:val="Standard"/>
      </w:pPr>
    </w:p>
    <w:p w:rsidR="00D630EB" w:rsidRDefault="00D630EB" w:rsidP="00C26828">
      <w:pPr>
        <w:pStyle w:val="Standard"/>
        <w:rPr>
          <w:b/>
          <w:sz w:val="20"/>
          <w:szCs w:val="20"/>
        </w:rPr>
      </w:pPr>
    </w:p>
    <w:p w:rsidR="00D630EB" w:rsidRDefault="00D630EB" w:rsidP="00C26828">
      <w:pPr>
        <w:pStyle w:val="Standard"/>
        <w:rPr>
          <w:b/>
          <w:sz w:val="20"/>
          <w:szCs w:val="20"/>
        </w:rPr>
      </w:pPr>
    </w:p>
    <w:p w:rsidR="00D630EB" w:rsidRDefault="00D630EB" w:rsidP="00C26828">
      <w:pPr>
        <w:pStyle w:val="Standard"/>
        <w:rPr>
          <w:b/>
          <w:sz w:val="20"/>
          <w:szCs w:val="20"/>
        </w:rPr>
      </w:pPr>
    </w:p>
    <w:p w:rsidR="00B7267D" w:rsidRDefault="00B7267D" w:rsidP="00C26828">
      <w:pPr>
        <w:pStyle w:val="Standard"/>
        <w:rPr>
          <w:b/>
          <w:sz w:val="20"/>
          <w:szCs w:val="20"/>
        </w:rPr>
      </w:pPr>
    </w:p>
    <w:p w:rsidR="00C26828" w:rsidRPr="00D630EB" w:rsidRDefault="00C26828" w:rsidP="00C26828">
      <w:pPr>
        <w:pStyle w:val="Standard"/>
        <w:rPr>
          <w:b/>
          <w:sz w:val="20"/>
          <w:szCs w:val="20"/>
        </w:rPr>
      </w:pPr>
      <w:r w:rsidRPr="00D630EB">
        <w:rPr>
          <w:b/>
          <w:sz w:val="20"/>
          <w:szCs w:val="20"/>
        </w:rPr>
        <w:lastRenderedPageBreak/>
        <w:t>Bilješka 6.  Potraživanja od kupaca</w:t>
      </w:r>
    </w:p>
    <w:p w:rsidR="00C26828" w:rsidRPr="001A2095" w:rsidRDefault="00C26828" w:rsidP="00C26828">
      <w:pPr>
        <w:pStyle w:val="Standard"/>
        <w:jc w:val="right"/>
        <w:rPr>
          <w:sz w:val="20"/>
          <w:szCs w:val="20"/>
        </w:rPr>
      </w:pPr>
      <w:r>
        <w:t xml:space="preserve"> </w:t>
      </w:r>
      <w:r w:rsidRPr="001A2095">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4100"/>
        <w:gridCol w:w="1701"/>
        <w:gridCol w:w="1589"/>
      </w:tblGrid>
      <w:tr w:rsidR="00C26828" w:rsidRPr="00F75E46" w:rsidTr="00F75E46">
        <w:tblPrEx>
          <w:tblCellMar>
            <w:top w:w="0" w:type="dxa"/>
            <w:bottom w:w="0" w:type="dxa"/>
          </w:tblCellMar>
        </w:tblPrEx>
        <w:tc>
          <w:tcPr>
            <w:tcW w:w="410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F75E46">
        <w:tblPrEx>
          <w:tblCellMar>
            <w:top w:w="0" w:type="dxa"/>
            <w:bottom w:w="0" w:type="dxa"/>
          </w:tblCellMar>
        </w:tblPrEx>
        <w:tc>
          <w:tcPr>
            <w:tcW w:w="410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1A2095">
            <w:pPr>
              <w:pStyle w:val="Standard"/>
            </w:pPr>
            <w:r>
              <w:t>Potraživanja od kupaca</w:t>
            </w:r>
            <w:r w:rsidR="001A2095">
              <w:t xml:space="preserve"> </w:t>
            </w:r>
            <w:r>
              <w:t>u zemlji</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68.622</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57.460</w:t>
            </w:r>
          </w:p>
        </w:tc>
      </w:tr>
    </w:tbl>
    <w:p w:rsidR="00C26828" w:rsidRDefault="00C26828" w:rsidP="00C26828">
      <w:pPr>
        <w:pStyle w:val="Standard"/>
      </w:pPr>
    </w:p>
    <w:p w:rsidR="00C26828" w:rsidRDefault="00C26828" w:rsidP="001A2095">
      <w:pPr>
        <w:pStyle w:val="Standard"/>
        <w:jc w:val="both"/>
      </w:pPr>
      <w:r>
        <w:t>Potraživanja se odnose samo na račun za prosinac 2017. ispostavljen Općini Župa Dubrovačka sa datumom 31.12.2017., a koji je uplaćen na račun Društva u prvim danima siječnja 2018.</w:t>
      </w:r>
    </w:p>
    <w:p w:rsidR="00D630EB" w:rsidRDefault="00D630EB" w:rsidP="00C26828">
      <w:pPr>
        <w:pStyle w:val="Standard"/>
        <w:rPr>
          <w:b/>
        </w:rPr>
      </w:pPr>
    </w:p>
    <w:p w:rsidR="00F75E46" w:rsidRDefault="00F75E46" w:rsidP="00C26828">
      <w:pPr>
        <w:pStyle w:val="Standard"/>
        <w:rPr>
          <w:b/>
          <w:sz w:val="20"/>
          <w:szCs w:val="20"/>
        </w:rPr>
      </w:pPr>
    </w:p>
    <w:p w:rsidR="00C26828" w:rsidRPr="00D630EB" w:rsidRDefault="00C26828" w:rsidP="00C26828">
      <w:pPr>
        <w:pStyle w:val="Standard"/>
        <w:rPr>
          <w:b/>
          <w:sz w:val="20"/>
          <w:szCs w:val="20"/>
        </w:rPr>
      </w:pPr>
      <w:r w:rsidRPr="00D630EB">
        <w:rPr>
          <w:b/>
          <w:sz w:val="20"/>
          <w:szCs w:val="20"/>
        </w:rPr>
        <w:t>Bilješka 7.  Potraživanja od države i drugih institucija</w:t>
      </w:r>
    </w:p>
    <w:p w:rsidR="00C26828" w:rsidRPr="001A2095" w:rsidRDefault="00C26828" w:rsidP="00C26828">
      <w:pPr>
        <w:pStyle w:val="Standard"/>
        <w:jc w:val="right"/>
        <w:rPr>
          <w:sz w:val="20"/>
          <w:szCs w:val="20"/>
        </w:rPr>
      </w:pPr>
      <w:r w:rsidRPr="001A2095">
        <w:rPr>
          <w:sz w:val="20"/>
          <w:szCs w:val="20"/>
        </w:rPr>
        <w:t xml:space="preserve"> </w:t>
      </w:r>
      <w:r w:rsidRPr="001A2095">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4383"/>
        <w:gridCol w:w="1418"/>
        <w:gridCol w:w="1589"/>
      </w:tblGrid>
      <w:tr w:rsidR="00C26828" w:rsidRPr="00F75E46"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Potraživanja od države i drugih institucija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304</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22</w:t>
            </w:r>
          </w:p>
        </w:tc>
      </w:tr>
    </w:tbl>
    <w:p w:rsidR="00C26828" w:rsidRDefault="00C26828" w:rsidP="00C26828">
      <w:pPr>
        <w:pStyle w:val="Standard"/>
      </w:pPr>
    </w:p>
    <w:p w:rsidR="00C26828" w:rsidRDefault="00C26828" w:rsidP="00C26828">
      <w:pPr>
        <w:pStyle w:val="Standard"/>
      </w:pPr>
      <w:r>
        <w:t>Potraživanja se odnose na preplatu doprinosa HGK.</w:t>
      </w:r>
    </w:p>
    <w:p w:rsidR="00C26828" w:rsidRDefault="00C26828" w:rsidP="00C26828">
      <w:pPr>
        <w:pStyle w:val="Standard"/>
      </w:pPr>
    </w:p>
    <w:p w:rsidR="00C26828" w:rsidRDefault="00C26828" w:rsidP="00C26828">
      <w:pPr>
        <w:pStyle w:val="Standard"/>
      </w:pPr>
    </w:p>
    <w:p w:rsidR="00C26828" w:rsidRPr="00D630EB" w:rsidRDefault="00C26828" w:rsidP="00C26828">
      <w:pPr>
        <w:pStyle w:val="Standard"/>
        <w:rPr>
          <w:b/>
          <w:sz w:val="20"/>
          <w:szCs w:val="20"/>
        </w:rPr>
      </w:pPr>
      <w:r w:rsidRPr="00D630EB">
        <w:rPr>
          <w:b/>
          <w:sz w:val="20"/>
          <w:szCs w:val="20"/>
        </w:rPr>
        <w:t>Bilješka 8.  Novac u banci i blagajni</w:t>
      </w:r>
    </w:p>
    <w:p w:rsidR="00C26828" w:rsidRPr="00F75E46" w:rsidRDefault="00C26828" w:rsidP="00C26828">
      <w:pPr>
        <w:pStyle w:val="Standard"/>
        <w:jc w:val="right"/>
        <w:rPr>
          <w:sz w:val="20"/>
          <w:szCs w:val="20"/>
        </w:rPr>
      </w:pPr>
      <w:r>
        <w:t xml:space="preserve"> </w:t>
      </w:r>
      <w:r w:rsidRPr="00F75E46">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F75E46"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Žiro račun</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558</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8.063</w:t>
            </w:r>
          </w:p>
        </w:tc>
      </w:tr>
    </w:tbl>
    <w:p w:rsidR="00C26828" w:rsidRDefault="00C26828" w:rsidP="00C26828">
      <w:pPr>
        <w:pStyle w:val="Standard"/>
      </w:pPr>
    </w:p>
    <w:p w:rsidR="00C26828" w:rsidRDefault="00C26828" w:rsidP="00C26828">
      <w:pPr>
        <w:pStyle w:val="Standard"/>
        <w:rPr>
          <w:b/>
        </w:rPr>
      </w:pPr>
    </w:p>
    <w:p w:rsidR="00F75E46" w:rsidRDefault="00F75E46" w:rsidP="00C26828">
      <w:pPr>
        <w:pStyle w:val="Standard"/>
        <w:rPr>
          <w:b/>
          <w:sz w:val="20"/>
          <w:szCs w:val="20"/>
        </w:rPr>
      </w:pPr>
    </w:p>
    <w:p w:rsidR="00C26828" w:rsidRPr="00D630EB" w:rsidRDefault="00C26828" w:rsidP="00C26828">
      <w:pPr>
        <w:pStyle w:val="Standard"/>
        <w:rPr>
          <w:b/>
          <w:sz w:val="20"/>
          <w:szCs w:val="20"/>
        </w:rPr>
      </w:pPr>
      <w:r w:rsidRPr="00D630EB">
        <w:rPr>
          <w:b/>
          <w:sz w:val="20"/>
          <w:szCs w:val="20"/>
        </w:rPr>
        <w:t>Bilješka 9.  Dugoročne obveze prema bankama i drugim financijskim institucijama</w:t>
      </w:r>
    </w:p>
    <w:p w:rsidR="00C26828" w:rsidRPr="00F75E46" w:rsidRDefault="00C26828" w:rsidP="00C26828">
      <w:pPr>
        <w:pStyle w:val="Standard"/>
        <w:jc w:val="right"/>
        <w:rPr>
          <w:sz w:val="20"/>
          <w:szCs w:val="20"/>
        </w:rPr>
      </w:pPr>
      <w:r w:rsidRPr="00F75E46">
        <w:rPr>
          <w:sz w:val="20"/>
          <w:szCs w:val="20"/>
        </w:rPr>
        <w:t xml:space="preserve"> </w:t>
      </w:r>
      <w:r w:rsidRPr="00F75E46">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F75E46"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Euroleasing d.o.o.</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87.936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62.493</w:t>
            </w:r>
          </w:p>
        </w:tc>
      </w:tr>
    </w:tbl>
    <w:p w:rsidR="00C26828" w:rsidRDefault="00C26828" w:rsidP="00C26828">
      <w:pPr>
        <w:pStyle w:val="Standard"/>
        <w:rPr>
          <w:b/>
        </w:rPr>
      </w:pPr>
    </w:p>
    <w:p w:rsidR="00C26828" w:rsidRDefault="00C26828" w:rsidP="00C26828">
      <w:pPr>
        <w:pStyle w:val="Standard"/>
        <w:rPr>
          <w:b/>
        </w:rPr>
      </w:pPr>
      <w:r>
        <w:rPr>
          <w:b/>
        </w:rPr>
        <w:t xml:space="preserve">- </w:t>
      </w:r>
      <w:r>
        <w:t>odnose se na obvezu za kupnju osobnog automobila Opel Corsa nabavljenog putem Ugovora o financijskom Leasingu uz učešće od 10% i rok otplate 3 godine.</w:t>
      </w:r>
    </w:p>
    <w:p w:rsidR="00C26828" w:rsidRDefault="00C26828" w:rsidP="00C26828">
      <w:pPr>
        <w:pStyle w:val="Standard"/>
        <w:rPr>
          <w:b/>
        </w:rPr>
      </w:pPr>
    </w:p>
    <w:p w:rsidR="00C26828" w:rsidRDefault="00C26828" w:rsidP="00C26828">
      <w:pPr>
        <w:pStyle w:val="Standard"/>
        <w:rPr>
          <w:b/>
        </w:rPr>
      </w:pPr>
    </w:p>
    <w:p w:rsidR="00C26828" w:rsidRPr="00D630EB" w:rsidRDefault="00C26828" w:rsidP="00C26828">
      <w:pPr>
        <w:pStyle w:val="Standard"/>
        <w:rPr>
          <w:b/>
          <w:sz w:val="20"/>
          <w:szCs w:val="20"/>
        </w:rPr>
      </w:pPr>
      <w:r w:rsidRPr="00D630EB">
        <w:rPr>
          <w:b/>
          <w:sz w:val="20"/>
          <w:szCs w:val="20"/>
        </w:rPr>
        <w:t>Bilješka 10.  Dugoročne obveze prema dobavljačima</w:t>
      </w:r>
    </w:p>
    <w:p w:rsidR="00C26828" w:rsidRPr="00F75E46" w:rsidRDefault="00C26828" w:rsidP="00C26828">
      <w:pPr>
        <w:pStyle w:val="Standard"/>
        <w:jc w:val="right"/>
        <w:rPr>
          <w:sz w:val="20"/>
          <w:szCs w:val="20"/>
        </w:rPr>
      </w:pPr>
      <w:r w:rsidRPr="00F75E46">
        <w:rPr>
          <w:sz w:val="20"/>
          <w:szCs w:val="20"/>
        </w:rPr>
        <w:t xml:space="preserve"> </w:t>
      </w:r>
      <w:r w:rsidRPr="00F75E46">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F75E46"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Hrvatski Telekom d.d.</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2.340</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780</w:t>
            </w:r>
          </w:p>
        </w:tc>
      </w:tr>
    </w:tbl>
    <w:p w:rsidR="00C26828" w:rsidRDefault="00C26828" w:rsidP="00C26828">
      <w:pPr>
        <w:pStyle w:val="Standard"/>
        <w:rPr>
          <w:b/>
        </w:rPr>
      </w:pPr>
    </w:p>
    <w:p w:rsidR="00C26828" w:rsidRDefault="00C26828" w:rsidP="00C26828">
      <w:pPr>
        <w:pStyle w:val="Standard"/>
        <w:rPr>
          <w:b/>
        </w:rPr>
      </w:pPr>
      <w:r>
        <w:rPr>
          <w:b/>
        </w:rPr>
        <w:t xml:space="preserve">- </w:t>
      </w:r>
      <w:r>
        <w:t xml:space="preserve">odnose se na obvezu za otplatu mobilnog uređaja Samsung Galaxy S7 </w:t>
      </w:r>
      <w:r w:rsidR="00D630EB">
        <w:t xml:space="preserve">Edge </w:t>
      </w:r>
      <w:r>
        <w:t>koji je kupljen u 05/2016 uz rok otplate od 2 godine.</w:t>
      </w:r>
    </w:p>
    <w:p w:rsidR="00C26828" w:rsidRDefault="00C26828" w:rsidP="00C26828">
      <w:pPr>
        <w:pStyle w:val="Standard"/>
        <w:rPr>
          <w:b/>
        </w:rPr>
      </w:pPr>
    </w:p>
    <w:p w:rsidR="00C26828" w:rsidRDefault="00C26828" w:rsidP="00C26828">
      <w:pPr>
        <w:pStyle w:val="Standard"/>
        <w:rPr>
          <w:b/>
        </w:rPr>
      </w:pPr>
    </w:p>
    <w:p w:rsidR="00C26828" w:rsidRPr="00D630EB" w:rsidRDefault="00C26828" w:rsidP="00C26828">
      <w:pPr>
        <w:pStyle w:val="Standard"/>
        <w:rPr>
          <w:b/>
          <w:sz w:val="20"/>
          <w:szCs w:val="20"/>
        </w:rPr>
      </w:pPr>
      <w:r w:rsidRPr="00D630EB">
        <w:rPr>
          <w:b/>
          <w:sz w:val="20"/>
          <w:szCs w:val="20"/>
        </w:rPr>
        <w:t>Bilješka 11.  Obveze prema dobavljačima</w:t>
      </w:r>
    </w:p>
    <w:p w:rsidR="00C26828" w:rsidRPr="00F75E46" w:rsidRDefault="00C26828" w:rsidP="00C26828">
      <w:pPr>
        <w:pStyle w:val="Standard"/>
        <w:jc w:val="right"/>
        <w:rPr>
          <w:sz w:val="20"/>
          <w:szCs w:val="20"/>
        </w:rPr>
      </w:pPr>
      <w:r>
        <w:t xml:space="preserve"> </w:t>
      </w:r>
      <w:r w:rsidRPr="00F75E46">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F75E46"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Domaći dobavljači</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6.647</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2.280</w:t>
            </w:r>
          </w:p>
        </w:tc>
      </w:tr>
    </w:tbl>
    <w:p w:rsidR="00C26828" w:rsidRDefault="00C26828" w:rsidP="00C26828">
      <w:pPr>
        <w:pStyle w:val="Standard"/>
      </w:pPr>
      <w:r>
        <w:tab/>
      </w:r>
    </w:p>
    <w:p w:rsidR="00C26828" w:rsidRDefault="00C26828" w:rsidP="00C26828">
      <w:pPr>
        <w:pStyle w:val="Standard"/>
      </w:pPr>
      <w:r>
        <w:t>Ukupan iznos obveza prema dobavljačima odnosi se na račune dobavljača ispostavljene sa datumom 31.12.2017., a plaćenih  kroz siječanj 2018., do datuma dospijeća.</w:t>
      </w:r>
    </w:p>
    <w:p w:rsidR="00C26828" w:rsidRDefault="00C26828" w:rsidP="00C26828">
      <w:pPr>
        <w:pStyle w:val="Standard"/>
      </w:pPr>
    </w:p>
    <w:p w:rsidR="00C26828" w:rsidRDefault="00C26828" w:rsidP="00C26828">
      <w:pPr>
        <w:pStyle w:val="Standard"/>
        <w:rPr>
          <w:b/>
        </w:rPr>
      </w:pPr>
    </w:p>
    <w:p w:rsidR="00F75E46" w:rsidRDefault="00F75E46" w:rsidP="00C26828">
      <w:pPr>
        <w:pStyle w:val="Standard"/>
        <w:rPr>
          <w:b/>
          <w:sz w:val="20"/>
          <w:szCs w:val="20"/>
        </w:rPr>
      </w:pPr>
    </w:p>
    <w:p w:rsidR="00B7267D" w:rsidRDefault="00B7267D" w:rsidP="00C26828">
      <w:pPr>
        <w:pStyle w:val="Standard"/>
        <w:rPr>
          <w:b/>
          <w:sz w:val="20"/>
          <w:szCs w:val="20"/>
        </w:rPr>
      </w:pPr>
    </w:p>
    <w:p w:rsidR="00C26828" w:rsidRPr="00D630EB" w:rsidRDefault="00C26828" w:rsidP="00C26828">
      <w:pPr>
        <w:pStyle w:val="Standard"/>
        <w:rPr>
          <w:b/>
          <w:sz w:val="20"/>
          <w:szCs w:val="20"/>
        </w:rPr>
      </w:pPr>
      <w:r w:rsidRPr="00D630EB">
        <w:rPr>
          <w:b/>
          <w:sz w:val="20"/>
          <w:szCs w:val="20"/>
        </w:rPr>
        <w:lastRenderedPageBreak/>
        <w:t>Bilješka 12.  Obveze prema zaposlenicima</w:t>
      </w:r>
    </w:p>
    <w:p w:rsidR="00C26828" w:rsidRPr="00F75E46" w:rsidRDefault="00C26828" w:rsidP="00C26828">
      <w:pPr>
        <w:pStyle w:val="Standard"/>
        <w:jc w:val="right"/>
        <w:rPr>
          <w:sz w:val="20"/>
          <w:szCs w:val="20"/>
        </w:rPr>
      </w:pPr>
      <w:r>
        <w:t xml:space="preserve"> </w:t>
      </w:r>
      <w:r w:rsidRPr="00F75E46">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F75E46"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Obveze za neto plaće</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15.225</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14.516</w:t>
            </w:r>
          </w:p>
        </w:tc>
      </w:tr>
    </w:tbl>
    <w:p w:rsidR="00F75E46" w:rsidRDefault="00F75E46" w:rsidP="00C26828">
      <w:pPr>
        <w:pStyle w:val="Standard"/>
      </w:pPr>
    </w:p>
    <w:p w:rsidR="00C26828" w:rsidRDefault="00C26828" w:rsidP="00C26828">
      <w:pPr>
        <w:pStyle w:val="Standard"/>
      </w:pPr>
      <w:r>
        <w:t>Obveze prema zaposlenima odnose se na obvezu za neto plaće radnika Društva za prosinac 2017. koje su podmirene u prvim danima siječnja 2018.</w:t>
      </w:r>
    </w:p>
    <w:p w:rsidR="00C26828" w:rsidRDefault="00C26828" w:rsidP="00C26828">
      <w:pPr>
        <w:pStyle w:val="Standard"/>
      </w:pPr>
    </w:p>
    <w:p w:rsidR="00C26828" w:rsidRDefault="00C26828" w:rsidP="00C26828">
      <w:pPr>
        <w:pStyle w:val="Standard"/>
        <w:rPr>
          <w:b/>
        </w:rPr>
      </w:pPr>
    </w:p>
    <w:p w:rsidR="00C26828" w:rsidRPr="00D630EB" w:rsidRDefault="00C26828" w:rsidP="00C26828">
      <w:pPr>
        <w:pStyle w:val="Standard"/>
        <w:rPr>
          <w:b/>
          <w:sz w:val="20"/>
          <w:szCs w:val="20"/>
        </w:rPr>
      </w:pPr>
      <w:r w:rsidRPr="00D630EB">
        <w:rPr>
          <w:b/>
          <w:sz w:val="20"/>
          <w:szCs w:val="20"/>
        </w:rPr>
        <w:t>Bilješka 13.  Obveze za poreze, doprinose i slična davanja</w:t>
      </w:r>
    </w:p>
    <w:p w:rsidR="00C26828" w:rsidRPr="00F75E46" w:rsidRDefault="00C26828" w:rsidP="00C26828">
      <w:pPr>
        <w:pStyle w:val="Standard"/>
        <w:jc w:val="right"/>
        <w:rPr>
          <w:sz w:val="20"/>
          <w:szCs w:val="20"/>
        </w:rPr>
      </w:pPr>
      <w:r>
        <w:t xml:space="preserve"> </w:t>
      </w:r>
      <w:r w:rsidRPr="00F75E46">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958"/>
        <w:gridCol w:w="1701"/>
        <w:gridCol w:w="1731"/>
      </w:tblGrid>
      <w:tr w:rsidR="00C26828" w:rsidRPr="00F75E46" w:rsidTr="00F75E46">
        <w:tblPrEx>
          <w:tblCellMar>
            <w:top w:w="0" w:type="dxa"/>
            <w:bottom w:w="0" w:type="dxa"/>
          </w:tblCellMar>
        </w:tblPrEx>
        <w:tc>
          <w:tcPr>
            <w:tcW w:w="395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F75E46">
        <w:tblPrEx>
          <w:tblCellMar>
            <w:top w:w="0" w:type="dxa"/>
            <w:bottom w:w="0" w:type="dxa"/>
          </w:tblCellMar>
        </w:tblPrEx>
        <w:tc>
          <w:tcPr>
            <w:tcW w:w="395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Doprinosi iz i na plaće</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7.674</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7.106</w:t>
            </w:r>
          </w:p>
        </w:tc>
      </w:tr>
      <w:tr w:rsidR="00C26828" w:rsidTr="00F75E46">
        <w:tblPrEx>
          <w:tblCellMar>
            <w:top w:w="0" w:type="dxa"/>
            <w:bottom w:w="0" w:type="dxa"/>
          </w:tblCellMar>
        </w:tblPrEx>
        <w:tc>
          <w:tcPr>
            <w:tcW w:w="395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Obveze za porez i prirez iz plaća</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1.633</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1.373</w:t>
            </w:r>
          </w:p>
        </w:tc>
      </w:tr>
      <w:tr w:rsidR="00C26828" w:rsidTr="00F75E46">
        <w:tblPrEx>
          <w:tblCellMar>
            <w:top w:w="0" w:type="dxa"/>
            <w:bottom w:w="0" w:type="dxa"/>
          </w:tblCellMar>
        </w:tblPrEx>
        <w:tc>
          <w:tcPr>
            <w:tcW w:w="395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Porez na dobit</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1.136</w:t>
            </w:r>
          </w:p>
        </w:tc>
      </w:tr>
      <w:tr w:rsidR="00C26828" w:rsidTr="00F75E46">
        <w:tblPrEx>
          <w:tblCellMar>
            <w:top w:w="0" w:type="dxa"/>
            <w:bottom w:w="0" w:type="dxa"/>
          </w:tblCellMar>
        </w:tblPrEx>
        <w:tc>
          <w:tcPr>
            <w:tcW w:w="3958"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OKFŠ</w:t>
            </w:r>
          </w:p>
        </w:tc>
        <w:tc>
          <w:tcPr>
            <w:tcW w:w="1701"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p>
        </w:tc>
        <w:tc>
          <w:tcPr>
            <w:tcW w:w="1731"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124</w:t>
            </w:r>
          </w:p>
        </w:tc>
      </w:tr>
      <w:tr w:rsidR="00C26828" w:rsidTr="00F75E46">
        <w:tblPrEx>
          <w:tblCellMar>
            <w:top w:w="0" w:type="dxa"/>
            <w:bottom w:w="0" w:type="dxa"/>
          </w:tblCellMar>
        </w:tblPrEx>
        <w:tc>
          <w:tcPr>
            <w:tcW w:w="395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Obveze za PDV</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12.865</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10.039</w:t>
            </w:r>
          </w:p>
        </w:tc>
      </w:tr>
      <w:tr w:rsidR="00C26828" w:rsidTr="00F75E46">
        <w:tblPrEx>
          <w:tblCellMar>
            <w:top w:w="0" w:type="dxa"/>
            <w:bottom w:w="0" w:type="dxa"/>
          </w:tblCellMar>
        </w:tblPrEx>
        <w:tc>
          <w:tcPr>
            <w:tcW w:w="3958"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Ukupno:</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22.172</w:t>
            </w:r>
          </w:p>
        </w:tc>
        <w:tc>
          <w:tcPr>
            <w:tcW w:w="1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19.778</w:t>
            </w:r>
          </w:p>
        </w:tc>
      </w:tr>
    </w:tbl>
    <w:p w:rsidR="00C26828" w:rsidRDefault="00C26828" w:rsidP="00C26828">
      <w:pPr>
        <w:pStyle w:val="Standard"/>
      </w:pPr>
    </w:p>
    <w:p w:rsidR="00C26828" w:rsidRDefault="00C26828" w:rsidP="00F75E46">
      <w:pPr>
        <w:pStyle w:val="Standard"/>
        <w:jc w:val="both"/>
      </w:pPr>
      <w:r>
        <w:t>Navedene obveze za poreze i doprinose odnose se na prosinac 2017. koje je Društvo podmirilo u zakonskim rokovima kroz siječanj 2018., osim poreza na dobit i doprinosa za šume OKFŠ koji se odnose na cijelu godinu i koji će biti podmireni do 30.04.2018.</w:t>
      </w:r>
    </w:p>
    <w:p w:rsidR="00C26828" w:rsidRDefault="00C26828" w:rsidP="00C26828">
      <w:pPr>
        <w:pStyle w:val="Standard"/>
      </w:pPr>
    </w:p>
    <w:p w:rsidR="00C26828" w:rsidRPr="00D630EB" w:rsidRDefault="00C26828" w:rsidP="00C26828">
      <w:pPr>
        <w:pStyle w:val="Standard"/>
        <w:rPr>
          <w:b/>
          <w:sz w:val="20"/>
          <w:szCs w:val="20"/>
        </w:rPr>
      </w:pPr>
      <w:r w:rsidRPr="00D630EB">
        <w:rPr>
          <w:b/>
          <w:sz w:val="20"/>
          <w:szCs w:val="20"/>
        </w:rPr>
        <w:t>Bilješka 14.  Ostale kratkoročne obveze</w:t>
      </w:r>
    </w:p>
    <w:p w:rsidR="00C26828" w:rsidRDefault="00C26828" w:rsidP="00C26828">
      <w:pPr>
        <w:pStyle w:val="Standard"/>
      </w:pPr>
    </w:p>
    <w:tbl>
      <w:tblPr>
        <w:tblW w:w="7390" w:type="dxa"/>
        <w:tblInd w:w="715" w:type="dxa"/>
        <w:tblLayout w:type="fixed"/>
        <w:tblCellMar>
          <w:left w:w="10" w:type="dxa"/>
          <w:right w:w="10" w:type="dxa"/>
        </w:tblCellMar>
        <w:tblLook w:val="0000" w:firstRow="0" w:lastRow="0" w:firstColumn="0" w:lastColumn="0" w:noHBand="0" w:noVBand="0"/>
      </w:tblPr>
      <w:tblGrid>
        <w:gridCol w:w="4383"/>
        <w:gridCol w:w="1560"/>
        <w:gridCol w:w="1447"/>
      </w:tblGrid>
      <w:tr w:rsidR="00C26828" w:rsidRPr="00F75E46"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31.12.16</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Obveze prema članovima N</w:t>
            </w:r>
            <w:r w:rsidR="00F75E46">
              <w:t>O</w:t>
            </w:r>
            <w:r>
              <w:t xml:space="preserve"> Društva</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6.937</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6.979</w:t>
            </w:r>
          </w:p>
        </w:tc>
      </w:tr>
      <w:tr w:rsidR="00C26828" w:rsidTr="00F75E46">
        <w:tblPrEx>
          <w:tblCellMar>
            <w:top w:w="0" w:type="dxa"/>
            <w:bottom w:w="0" w:type="dxa"/>
          </w:tblCellMar>
        </w:tblPrEx>
        <w:tc>
          <w:tcPr>
            <w:tcW w:w="4383"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Obveze s temelja nabave gotovinom</w:t>
            </w:r>
          </w:p>
        </w:tc>
        <w:tc>
          <w:tcPr>
            <w:tcW w:w="15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65</w:t>
            </w:r>
          </w:p>
        </w:tc>
        <w:tc>
          <w:tcPr>
            <w:tcW w:w="1447"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462</w:t>
            </w:r>
          </w:p>
        </w:tc>
      </w:tr>
      <w:tr w:rsidR="00C26828" w:rsidTr="00F75E46">
        <w:tblPrEx>
          <w:tblCellMar>
            <w:top w:w="0" w:type="dxa"/>
            <w:bottom w:w="0" w:type="dxa"/>
          </w:tblCellMar>
        </w:tblPrEx>
        <w:tc>
          <w:tcPr>
            <w:tcW w:w="4383"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Administrativne zabrane</w:t>
            </w:r>
          </w:p>
        </w:tc>
        <w:tc>
          <w:tcPr>
            <w:tcW w:w="15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254</w:t>
            </w:r>
          </w:p>
        </w:tc>
        <w:tc>
          <w:tcPr>
            <w:tcW w:w="1447"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p>
        </w:tc>
      </w:tr>
      <w:tr w:rsidR="00C26828" w:rsidTr="00F75E46">
        <w:tblPrEx>
          <w:tblCellMar>
            <w:top w:w="0" w:type="dxa"/>
            <w:bottom w:w="0" w:type="dxa"/>
          </w:tblCellMar>
        </w:tblPrEx>
        <w:tc>
          <w:tcPr>
            <w:tcW w:w="4383"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Ostale kratkoročne obveze</w:t>
            </w:r>
          </w:p>
        </w:tc>
        <w:tc>
          <w:tcPr>
            <w:tcW w:w="15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p>
        </w:tc>
        <w:tc>
          <w:tcPr>
            <w:tcW w:w="1447"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252</w:t>
            </w:r>
          </w:p>
        </w:tc>
      </w:tr>
      <w:tr w:rsidR="00C26828" w:rsidTr="00F75E46">
        <w:tblPrEx>
          <w:tblCellMar>
            <w:top w:w="0" w:type="dxa"/>
            <w:bottom w:w="0" w:type="dxa"/>
          </w:tblCellMar>
        </w:tblPrEx>
        <w:tc>
          <w:tcPr>
            <w:tcW w:w="4383"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Ukupno:</w:t>
            </w:r>
          </w:p>
        </w:tc>
        <w:tc>
          <w:tcPr>
            <w:tcW w:w="15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7.256</w:t>
            </w:r>
          </w:p>
        </w:tc>
        <w:tc>
          <w:tcPr>
            <w:tcW w:w="1447"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7.693</w:t>
            </w:r>
          </w:p>
        </w:tc>
      </w:tr>
    </w:tbl>
    <w:p w:rsidR="00C26828" w:rsidRDefault="00C26828" w:rsidP="00C26828">
      <w:pPr>
        <w:pStyle w:val="Standard"/>
      </w:pPr>
    </w:p>
    <w:p w:rsidR="00C26828" w:rsidRDefault="00C26828" w:rsidP="00C26828">
      <w:pPr>
        <w:pStyle w:val="Standard"/>
      </w:pPr>
      <w:r>
        <w:t>Ostale kratkoročne obveze odnose se na obveze za prosinac 2017. koje su podmirene u prvim danima siječnja 2018.</w:t>
      </w:r>
    </w:p>
    <w:p w:rsidR="00C26828" w:rsidRDefault="00C26828" w:rsidP="00C26828">
      <w:pPr>
        <w:pStyle w:val="Standard"/>
      </w:pPr>
    </w:p>
    <w:p w:rsidR="00C26828" w:rsidRDefault="00C26828" w:rsidP="00C26828">
      <w:pPr>
        <w:pStyle w:val="Standard"/>
      </w:pPr>
    </w:p>
    <w:p w:rsidR="00C26828" w:rsidRPr="00B7267D" w:rsidRDefault="00C26828" w:rsidP="00C26828">
      <w:pPr>
        <w:pStyle w:val="Standard"/>
        <w:rPr>
          <w:b/>
          <w:u w:val="single"/>
        </w:rPr>
      </w:pPr>
      <w:r w:rsidRPr="00B7267D">
        <w:rPr>
          <w:b/>
          <w:u w:val="single"/>
        </w:rPr>
        <w:t>RAČUN DOBITI I GUBITKA</w:t>
      </w:r>
    </w:p>
    <w:p w:rsidR="00C26828" w:rsidRDefault="00C26828" w:rsidP="00C26828">
      <w:pPr>
        <w:pStyle w:val="Standard"/>
        <w:rPr>
          <w:b/>
        </w:rPr>
      </w:pPr>
    </w:p>
    <w:p w:rsidR="00C26828" w:rsidRPr="00BE4649" w:rsidRDefault="00C26828" w:rsidP="00C26828">
      <w:pPr>
        <w:pStyle w:val="Standard"/>
        <w:rPr>
          <w:b/>
          <w:sz w:val="20"/>
          <w:szCs w:val="20"/>
        </w:rPr>
      </w:pPr>
      <w:r w:rsidRPr="00BE4649">
        <w:rPr>
          <w:b/>
          <w:sz w:val="20"/>
          <w:szCs w:val="20"/>
        </w:rPr>
        <w:t>Bilješka 15.   Poslovni prihodi</w:t>
      </w:r>
    </w:p>
    <w:p w:rsidR="00C26828" w:rsidRPr="00F75E46" w:rsidRDefault="00C26828" w:rsidP="00C26828">
      <w:pPr>
        <w:pStyle w:val="Standard"/>
        <w:jc w:val="right"/>
        <w:rPr>
          <w:b/>
          <w:i/>
          <w:sz w:val="20"/>
          <w:szCs w:val="20"/>
        </w:rPr>
      </w:pPr>
      <w:r w:rsidRPr="00F75E46">
        <w:rPr>
          <w:b/>
          <w:i/>
          <w:sz w:val="20"/>
          <w:szCs w:val="20"/>
        </w:rPr>
        <w:t>- u kn</w:t>
      </w:r>
    </w:p>
    <w:tbl>
      <w:tblPr>
        <w:tblW w:w="7678" w:type="dxa"/>
        <w:tblInd w:w="715" w:type="dxa"/>
        <w:tblLayout w:type="fixed"/>
        <w:tblCellMar>
          <w:left w:w="10" w:type="dxa"/>
          <w:right w:w="10" w:type="dxa"/>
        </w:tblCellMar>
        <w:tblLook w:val="0000" w:firstRow="0" w:lastRow="0" w:firstColumn="0" w:lastColumn="0" w:noHBand="0" w:noVBand="0"/>
      </w:tblPr>
      <w:tblGrid>
        <w:gridCol w:w="3060"/>
        <w:gridCol w:w="2304"/>
        <w:gridCol w:w="2314"/>
      </w:tblGrid>
      <w:tr w:rsidR="00C26828" w:rsidRPr="00F75E46"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2304"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2016</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31.12.17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Prihodi od prodaje</w:t>
            </w:r>
          </w:p>
        </w:tc>
        <w:tc>
          <w:tcPr>
            <w:tcW w:w="2304"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452.494</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470.602</w:t>
            </w:r>
          </w:p>
        </w:tc>
      </w:tr>
      <w:tr w:rsidR="00C26828" w:rsidTr="00C26828">
        <w:tblPrEx>
          <w:tblCellMar>
            <w:top w:w="0" w:type="dxa"/>
            <w:bottom w:w="0" w:type="dxa"/>
          </w:tblCellMar>
        </w:tblPrEx>
        <w:tc>
          <w:tcPr>
            <w:tcW w:w="30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Ostali poslovni prihodi</w:t>
            </w:r>
          </w:p>
        </w:tc>
        <w:tc>
          <w:tcPr>
            <w:tcW w:w="2304"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40</w:t>
            </w:r>
          </w:p>
        </w:tc>
        <w:tc>
          <w:tcPr>
            <w:tcW w:w="231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F75E46" w:rsidP="00C26828">
            <w:pPr>
              <w:pStyle w:val="Standard"/>
              <w:snapToGrid w:val="0"/>
              <w:jc w:val="right"/>
            </w:pPr>
            <w:r>
              <w:t>0</w:t>
            </w:r>
          </w:p>
        </w:tc>
      </w:tr>
    </w:tbl>
    <w:p w:rsidR="00C26828" w:rsidRDefault="00C26828" w:rsidP="00C26828">
      <w:pPr>
        <w:pStyle w:val="Standard"/>
        <w:rPr>
          <w:b/>
        </w:rPr>
      </w:pPr>
    </w:p>
    <w:p w:rsidR="00C26828" w:rsidRPr="00BE4649" w:rsidRDefault="00C26828" w:rsidP="00C26828">
      <w:pPr>
        <w:pStyle w:val="Standard"/>
        <w:rPr>
          <w:b/>
          <w:sz w:val="20"/>
          <w:szCs w:val="20"/>
        </w:rPr>
      </w:pPr>
      <w:r w:rsidRPr="00BE4649">
        <w:rPr>
          <w:b/>
          <w:sz w:val="20"/>
          <w:szCs w:val="20"/>
        </w:rPr>
        <w:t>Bilješka 16.   Troškovi sirovina i materijala</w:t>
      </w:r>
    </w:p>
    <w:p w:rsidR="00C26828" w:rsidRPr="00F75E46" w:rsidRDefault="00C26828" w:rsidP="00C26828">
      <w:pPr>
        <w:pStyle w:val="Standard"/>
        <w:jc w:val="right"/>
        <w:rPr>
          <w:b/>
          <w:i/>
          <w:sz w:val="20"/>
          <w:szCs w:val="20"/>
        </w:rPr>
      </w:pPr>
      <w:r w:rsidRPr="00F75E46">
        <w:rPr>
          <w:b/>
          <w:i/>
          <w:sz w:val="20"/>
          <w:szCs w:val="20"/>
        </w:rPr>
        <w:t>- u kn</w:t>
      </w:r>
    </w:p>
    <w:tbl>
      <w:tblPr>
        <w:tblW w:w="7678" w:type="dxa"/>
        <w:tblInd w:w="715" w:type="dxa"/>
        <w:tblLayout w:type="fixed"/>
        <w:tblCellMar>
          <w:left w:w="10" w:type="dxa"/>
          <w:right w:w="10" w:type="dxa"/>
        </w:tblCellMar>
        <w:tblLook w:val="0000" w:firstRow="0" w:lastRow="0" w:firstColumn="0" w:lastColumn="0" w:noHBand="0" w:noVBand="0"/>
      </w:tblPr>
      <w:tblGrid>
        <w:gridCol w:w="4242"/>
        <w:gridCol w:w="1842"/>
        <w:gridCol w:w="1594"/>
      </w:tblGrid>
      <w:tr w:rsidR="00C26828" w:rsidRPr="00F75E46" w:rsidTr="00F75E46">
        <w:tblPrEx>
          <w:tblCellMar>
            <w:top w:w="0" w:type="dxa"/>
            <w:bottom w:w="0" w:type="dxa"/>
          </w:tblCellMar>
        </w:tblPrEx>
        <w:tc>
          <w:tcPr>
            <w:tcW w:w="42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2017</w:t>
            </w:r>
          </w:p>
        </w:tc>
      </w:tr>
      <w:tr w:rsidR="00C26828" w:rsidTr="00F75E46">
        <w:tblPrEx>
          <w:tblCellMar>
            <w:top w:w="0" w:type="dxa"/>
            <w:bottom w:w="0" w:type="dxa"/>
          </w:tblCellMar>
        </w:tblPrEx>
        <w:tc>
          <w:tcPr>
            <w:tcW w:w="42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Uredski materijal</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1.506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1.155</w:t>
            </w:r>
          </w:p>
        </w:tc>
      </w:tr>
      <w:tr w:rsidR="00C26828" w:rsidTr="00F75E46">
        <w:tblPrEx>
          <w:tblCellMar>
            <w:top w:w="0" w:type="dxa"/>
            <w:bottom w:w="0" w:type="dxa"/>
          </w:tblCellMar>
        </w:tblPrEx>
        <w:tc>
          <w:tcPr>
            <w:tcW w:w="4242"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Ostali materijalni troškovi</w:t>
            </w:r>
          </w:p>
        </w:tc>
        <w:tc>
          <w:tcPr>
            <w:tcW w:w="1842"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82</w:t>
            </w:r>
          </w:p>
        </w:tc>
        <w:tc>
          <w:tcPr>
            <w:tcW w:w="159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2.080</w:t>
            </w:r>
          </w:p>
        </w:tc>
      </w:tr>
      <w:tr w:rsidR="00C26828" w:rsidTr="00F75E46">
        <w:tblPrEx>
          <w:tblCellMar>
            <w:top w:w="0" w:type="dxa"/>
            <w:bottom w:w="0" w:type="dxa"/>
          </w:tblCellMar>
        </w:tblPrEx>
        <w:tc>
          <w:tcPr>
            <w:tcW w:w="4242"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Troškovi sirovina i materijala ukupno</w:t>
            </w:r>
          </w:p>
        </w:tc>
        <w:tc>
          <w:tcPr>
            <w:tcW w:w="1842"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1.592</w:t>
            </w:r>
          </w:p>
        </w:tc>
        <w:tc>
          <w:tcPr>
            <w:tcW w:w="159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3.235</w:t>
            </w:r>
          </w:p>
        </w:tc>
      </w:tr>
    </w:tbl>
    <w:p w:rsidR="00F75E46" w:rsidRDefault="00F75E46" w:rsidP="00C26828">
      <w:pPr>
        <w:pStyle w:val="Standard"/>
      </w:pPr>
    </w:p>
    <w:p w:rsidR="00C26828" w:rsidRDefault="00C26828" w:rsidP="00C26828">
      <w:pPr>
        <w:pStyle w:val="Standard"/>
      </w:pPr>
      <w:r>
        <w:t>Ostale materijalne troškove čine troškovi goriva za osobni automobil Opel Corsa.</w:t>
      </w:r>
    </w:p>
    <w:p w:rsidR="00C26828" w:rsidRDefault="00C26828" w:rsidP="00C26828">
      <w:pPr>
        <w:pStyle w:val="Standard"/>
        <w:rPr>
          <w:b/>
          <w:sz w:val="20"/>
          <w:szCs w:val="20"/>
        </w:rPr>
      </w:pPr>
      <w:r w:rsidRPr="00BE4649">
        <w:rPr>
          <w:b/>
          <w:sz w:val="20"/>
          <w:szCs w:val="20"/>
        </w:rPr>
        <w:lastRenderedPageBreak/>
        <w:t>Bilješka 17.   Ostali vanjski troškovi</w:t>
      </w:r>
    </w:p>
    <w:p w:rsidR="00F75E46" w:rsidRPr="00BE4649" w:rsidRDefault="00F75E46" w:rsidP="00C26828">
      <w:pPr>
        <w:pStyle w:val="Standard"/>
        <w:rPr>
          <w:b/>
          <w:sz w:val="20"/>
          <w:szCs w:val="20"/>
        </w:rPr>
      </w:pPr>
    </w:p>
    <w:p w:rsidR="00C26828" w:rsidRPr="00F75E46" w:rsidRDefault="00C26828" w:rsidP="00C26828">
      <w:pPr>
        <w:pStyle w:val="Standard"/>
        <w:jc w:val="right"/>
        <w:rPr>
          <w:b/>
          <w:i/>
          <w:sz w:val="20"/>
          <w:szCs w:val="20"/>
        </w:rPr>
      </w:pPr>
      <w:r w:rsidRPr="00F75E46">
        <w:rPr>
          <w:b/>
          <w:i/>
          <w:sz w:val="20"/>
          <w:szCs w:val="20"/>
        </w:rPr>
        <w:t>- u kn</w:t>
      </w:r>
    </w:p>
    <w:tbl>
      <w:tblPr>
        <w:tblW w:w="7678" w:type="dxa"/>
        <w:tblInd w:w="715" w:type="dxa"/>
        <w:tblLayout w:type="fixed"/>
        <w:tblCellMar>
          <w:left w:w="10" w:type="dxa"/>
          <w:right w:w="10" w:type="dxa"/>
        </w:tblCellMar>
        <w:tblLook w:val="0000" w:firstRow="0" w:lastRow="0" w:firstColumn="0" w:lastColumn="0" w:noHBand="0" w:noVBand="0"/>
      </w:tblPr>
      <w:tblGrid>
        <w:gridCol w:w="4383"/>
        <w:gridCol w:w="1701"/>
        <w:gridCol w:w="1594"/>
      </w:tblGrid>
      <w:tr w:rsidR="00C26828" w:rsidRPr="00F75E46"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2017</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Troškovi telefona i mobitela</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5.639</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3.468</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Troškovi poštarine</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308</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241</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Računovodstvene usluge</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20.040</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20.040</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Usluge održavanja računalnog programa</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14.680</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10.694</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Usluge Nadzornog odbora</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95.200</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83.478</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Usluge javnog bilježnika</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4.206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1.000</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Trošak reprezentacije</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1.712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4.793</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Sudska pristojba</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1.550</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250</w:t>
            </w:r>
          </w:p>
        </w:tc>
      </w:tr>
      <w:tr w:rsidR="00C26828" w:rsidTr="00F75E46">
        <w:tblPrEx>
          <w:tblCellMar>
            <w:top w:w="0" w:type="dxa"/>
            <w:bottom w:w="0" w:type="dxa"/>
          </w:tblCellMar>
        </w:tblPrEx>
        <w:tc>
          <w:tcPr>
            <w:tcW w:w="4383"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Javnobilježnička pristojba</w:t>
            </w:r>
          </w:p>
        </w:tc>
        <w:tc>
          <w:tcPr>
            <w:tcW w:w="1701"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p>
        </w:tc>
        <w:tc>
          <w:tcPr>
            <w:tcW w:w="159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20</w:t>
            </w:r>
          </w:p>
        </w:tc>
      </w:tr>
      <w:tr w:rsidR="00C26828" w:rsidTr="00F75E46">
        <w:tblPrEx>
          <w:tblCellMar>
            <w:top w:w="0" w:type="dxa"/>
            <w:bottom w:w="0" w:type="dxa"/>
          </w:tblCellMar>
        </w:tblPrEx>
        <w:tc>
          <w:tcPr>
            <w:tcW w:w="4383"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Ostale usluge</w:t>
            </w:r>
          </w:p>
        </w:tc>
        <w:tc>
          <w:tcPr>
            <w:tcW w:w="1701"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1.259</w:t>
            </w:r>
          </w:p>
        </w:tc>
        <w:tc>
          <w:tcPr>
            <w:tcW w:w="159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6.935</w:t>
            </w:r>
          </w:p>
        </w:tc>
      </w:tr>
      <w:tr w:rsidR="00C26828" w:rsidTr="00F75E46">
        <w:tblPrEx>
          <w:tblCellMar>
            <w:top w:w="0" w:type="dxa"/>
            <w:bottom w:w="0" w:type="dxa"/>
          </w:tblCellMar>
        </w:tblPrEx>
        <w:tc>
          <w:tcPr>
            <w:tcW w:w="4383"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Odvjetničke usluge</w:t>
            </w:r>
          </w:p>
        </w:tc>
        <w:tc>
          <w:tcPr>
            <w:tcW w:w="1701"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3.220</w:t>
            </w:r>
          </w:p>
        </w:tc>
        <w:tc>
          <w:tcPr>
            <w:tcW w:w="1594"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48.700</w:t>
            </w:r>
          </w:p>
        </w:tc>
      </w:tr>
      <w:tr w:rsidR="00C26828" w:rsidTr="00F75E46">
        <w:tblPrEx>
          <w:tblCellMar>
            <w:top w:w="0" w:type="dxa"/>
            <w:bottom w:w="0" w:type="dxa"/>
          </w:tblCellMar>
        </w:tblPrEx>
        <w:tc>
          <w:tcPr>
            <w:tcW w:w="4383"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Ostali vanjski troškovi ukupno</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147.814</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179.619</w:t>
            </w:r>
          </w:p>
        </w:tc>
      </w:tr>
    </w:tbl>
    <w:p w:rsidR="00C26828" w:rsidRDefault="00C26828" w:rsidP="00C26828">
      <w:pPr>
        <w:pStyle w:val="Standard"/>
        <w:rPr>
          <w:b/>
        </w:rPr>
      </w:pPr>
    </w:p>
    <w:p w:rsidR="00C26828" w:rsidRDefault="00C26828" w:rsidP="00C26828">
      <w:pPr>
        <w:pStyle w:val="Standard"/>
        <w:rPr>
          <w:b/>
        </w:rPr>
      </w:pPr>
    </w:p>
    <w:p w:rsidR="00C26828" w:rsidRDefault="00C26828" w:rsidP="00C26828">
      <w:pPr>
        <w:pStyle w:val="Standard"/>
        <w:rPr>
          <w:b/>
          <w:sz w:val="20"/>
          <w:szCs w:val="20"/>
        </w:rPr>
      </w:pPr>
      <w:r w:rsidRPr="00BE4649">
        <w:rPr>
          <w:b/>
          <w:sz w:val="20"/>
          <w:szCs w:val="20"/>
        </w:rPr>
        <w:t>Bilješka 18.   Amortizacija</w:t>
      </w:r>
    </w:p>
    <w:p w:rsidR="00F75E46" w:rsidRPr="00BE4649" w:rsidRDefault="00F75E46" w:rsidP="00C26828">
      <w:pPr>
        <w:pStyle w:val="Standard"/>
        <w:rPr>
          <w:b/>
          <w:sz w:val="20"/>
          <w:szCs w:val="20"/>
        </w:rPr>
      </w:pPr>
    </w:p>
    <w:p w:rsidR="00F75E46" w:rsidRPr="00F75E46" w:rsidRDefault="00F75E46" w:rsidP="00F75E46">
      <w:pPr>
        <w:pStyle w:val="Standard"/>
        <w:jc w:val="right"/>
        <w:rPr>
          <w:b/>
          <w:i/>
          <w:sz w:val="20"/>
          <w:szCs w:val="20"/>
        </w:rPr>
      </w:pPr>
      <w:r w:rsidRPr="00F75E46">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F75E46"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2017</w:t>
            </w:r>
          </w:p>
        </w:tc>
      </w:tr>
      <w:tr w:rsidR="00C26828" w:rsidTr="00C26828">
        <w:tblPrEx>
          <w:tblCellMar>
            <w:top w:w="0" w:type="dxa"/>
            <w:bottom w:w="0" w:type="dxa"/>
          </w:tblCellMar>
        </w:tblPrEx>
        <w:tc>
          <w:tcPr>
            <w:tcW w:w="30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Uredska oprema, telefon, mobitel, fax</w:t>
            </w:r>
          </w:p>
        </w:tc>
        <w:tc>
          <w:tcPr>
            <w:tcW w:w="21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p>
          <w:p w:rsidR="00C26828" w:rsidRDefault="00C26828" w:rsidP="00C26828">
            <w:pPr>
              <w:pStyle w:val="Standard"/>
              <w:jc w:val="right"/>
            </w:pPr>
            <w:r>
              <w:t>4.743</w:t>
            </w: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p>
          <w:p w:rsidR="00C26828" w:rsidRDefault="00C26828" w:rsidP="00C26828">
            <w:pPr>
              <w:pStyle w:val="Standard"/>
              <w:jc w:val="right"/>
            </w:pPr>
            <w:r>
              <w:t>4.860</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Transp.sredstva-Opel Corsa</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18.000</w:t>
            </w:r>
          </w:p>
        </w:tc>
      </w:tr>
      <w:tr w:rsidR="00C26828" w:rsidTr="00C26828">
        <w:tblPrEx>
          <w:tblCellMar>
            <w:top w:w="0" w:type="dxa"/>
            <w:bottom w:w="0" w:type="dxa"/>
          </w:tblCellMar>
        </w:tblPrEx>
        <w:tc>
          <w:tcPr>
            <w:tcW w:w="30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Amortizacija ukupno</w:t>
            </w:r>
          </w:p>
        </w:tc>
        <w:tc>
          <w:tcPr>
            <w:tcW w:w="21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4.743</w:t>
            </w: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22.860</w:t>
            </w:r>
          </w:p>
        </w:tc>
      </w:tr>
    </w:tbl>
    <w:p w:rsidR="00C26828" w:rsidRDefault="00C26828" w:rsidP="00C26828">
      <w:pPr>
        <w:pStyle w:val="Standard"/>
        <w:rPr>
          <w:b/>
        </w:rPr>
      </w:pPr>
    </w:p>
    <w:p w:rsidR="00C26828" w:rsidRDefault="00C26828" w:rsidP="00C26828">
      <w:pPr>
        <w:pStyle w:val="Standard"/>
        <w:rPr>
          <w:b/>
        </w:rPr>
      </w:pPr>
    </w:p>
    <w:p w:rsidR="00C26828" w:rsidRDefault="00C26828" w:rsidP="00C26828">
      <w:pPr>
        <w:pStyle w:val="Standard"/>
        <w:rPr>
          <w:b/>
          <w:sz w:val="20"/>
          <w:szCs w:val="20"/>
        </w:rPr>
      </w:pPr>
      <w:r w:rsidRPr="00BE4649">
        <w:rPr>
          <w:b/>
          <w:sz w:val="20"/>
          <w:szCs w:val="20"/>
        </w:rPr>
        <w:t>Bilješka 19.   Ostali troškovi</w:t>
      </w:r>
    </w:p>
    <w:p w:rsidR="00F75E46" w:rsidRPr="00BE4649" w:rsidRDefault="00F75E46" w:rsidP="00C26828">
      <w:pPr>
        <w:pStyle w:val="Standard"/>
        <w:rPr>
          <w:b/>
          <w:sz w:val="20"/>
          <w:szCs w:val="20"/>
        </w:rPr>
      </w:pPr>
    </w:p>
    <w:p w:rsidR="00C26828" w:rsidRPr="00F75E46" w:rsidRDefault="00C26828" w:rsidP="00C26828">
      <w:pPr>
        <w:pStyle w:val="Standard"/>
        <w:jc w:val="right"/>
        <w:rPr>
          <w:b/>
          <w:i/>
          <w:sz w:val="20"/>
          <w:szCs w:val="20"/>
        </w:rPr>
      </w:pPr>
      <w:r w:rsidRPr="00F75E46">
        <w:rPr>
          <w:b/>
          <w:i/>
          <w:sz w:val="20"/>
          <w:szCs w:val="20"/>
        </w:rPr>
        <w:t>- u kn</w:t>
      </w:r>
    </w:p>
    <w:tbl>
      <w:tblPr>
        <w:tblW w:w="7927" w:type="dxa"/>
        <w:tblInd w:w="715" w:type="dxa"/>
        <w:tblLayout w:type="fixed"/>
        <w:tblCellMar>
          <w:left w:w="10" w:type="dxa"/>
          <w:right w:w="10" w:type="dxa"/>
        </w:tblCellMar>
        <w:tblLook w:val="0000" w:firstRow="0" w:lastRow="0" w:firstColumn="0" w:lastColumn="0" w:noHBand="0" w:noVBand="0"/>
      </w:tblPr>
      <w:tblGrid>
        <w:gridCol w:w="5376"/>
        <w:gridCol w:w="1275"/>
        <w:gridCol w:w="1276"/>
      </w:tblGrid>
      <w:tr w:rsidR="00C26828" w:rsidRPr="00F75E46" w:rsidTr="00F75E46">
        <w:tblPrEx>
          <w:tblCellMar>
            <w:top w:w="0" w:type="dxa"/>
            <w:bottom w:w="0" w:type="dxa"/>
          </w:tblCellMar>
        </w:tblPrEx>
        <w:tc>
          <w:tcPr>
            <w:tcW w:w="5376"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2017</w:t>
            </w:r>
          </w:p>
        </w:tc>
      </w:tr>
      <w:tr w:rsidR="00C26828" w:rsidTr="00F75E46">
        <w:tblPrEx>
          <w:tblCellMar>
            <w:top w:w="0" w:type="dxa"/>
            <w:bottom w:w="0" w:type="dxa"/>
          </w:tblCellMar>
        </w:tblPrEx>
        <w:tc>
          <w:tcPr>
            <w:tcW w:w="5376"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Prijevoz s posla/na posao</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9.600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5.100</w:t>
            </w:r>
          </w:p>
        </w:tc>
      </w:tr>
      <w:tr w:rsidR="00C26828" w:rsidTr="00F75E46">
        <w:tblPrEx>
          <w:tblCellMar>
            <w:top w:w="0" w:type="dxa"/>
            <w:bottom w:w="0" w:type="dxa"/>
          </w:tblCellMar>
        </w:tblPrEx>
        <w:tc>
          <w:tcPr>
            <w:tcW w:w="5376"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HGK-članarina</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504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504</w:t>
            </w:r>
          </w:p>
        </w:tc>
      </w:tr>
      <w:tr w:rsidR="00C26828" w:rsidTr="00F75E46">
        <w:tblPrEx>
          <w:tblCellMar>
            <w:top w:w="0" w:type="dxa"/>
            <w:bottom w:w="0" w:type="dxa"/>
          </w:tblCellMar>
        </w:tblPrEx>
        <w:tc>
          <w:tcPr>
            <w:tcW w:w="5376"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Dnevnice</w:t>
            </w:r>
          </w:p>
        </w:tc>
        <w:tc>
          <w:tcPr>
            <w:tcW w:w="1275"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85</w:t>
            </w:r>
          </w:p>
        </w:tc>
      </w:tr>
      <w:tr w:rsidR="00C26828" w:rsidTr="00F75E46">
        <w:tblPrEx>
          <w:tblCellMar>
            <w:top w:w="0" w:type="dxa"/>
            <w:bottom w:w="0" w:type="dxa"/>
          </w:tblCellMar>
        </w:tblPrEx>
        <w:tc>
          <w:tcPr>
            <w:tcW w:w="5376"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Doprinos za šume</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120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125</w:t>
            </w:r>
          </w:p>
        </w:tc>
      </w:tr>
      <w:tr w:rsidR="00C26828" w:rsidTr="00F75E46">
        <w:tblPrEx>
          <w:tblCellMar>
            <w:top w:w="0" w:type="dxa"/>
            <w:bottom w:w="0" w:type="dxa"/>
          </w:tblCellMar>
        </w:tblPrEx>
        <w:tc>
          <w:tcPr>
            <w:tcW w:w="5376"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Bankarske usluge</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1.452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1.666</w:t>
            </w:r>
          </w:p>
        </w:tc>
      </w:tr>
      <w:tr w:rsidR="00C26828" w:rsidTr="00F75E46">
        <w:tblPrEx>
          <w:tblCellMar>
            <w:top w:w="0" w:type="dxa"/>
            <w:bottom w:w="0" w:type="dxa"/>
          </w:tblCellMar>
        </w:tblPrEx>
        <w:tc>
          <w:tcPr>
            <w:tcW w:w="5376"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Ugovor o djelu</w:t>
            </w:r>
          </w:p>
        </w:tc>
        <w:tc>
          <w:tcPr>
            <w:tcW w:w="1275"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1.396</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p>
        </w:tc>
      </w:tr>
      <w:tr w:rsidR="00C26828" w:rsidTr="00F75E46">
        <w:tblPrEx>
          <w:tblCellMar>
            <w:top w:w="0" w:type="dxa"/>
            <w:bottom w:w="0" w:type="dxa"/>
          </w:tblCellMar>
        </w:tblPrEx>
        <w:tc>
          <w:tcPr>
            <w:tcW w:w="5376"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Isplate zaposlenima (dar za dijete, prigodne nagrade)</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7.263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9.000</w:t>
            </w:r>
          </w:p>
        </w:tc>
      </w:tr>
      <w:tr w:rsidR="00C26828" w:rsidTr="00F75E46">
        <w:tblPrEx>
          <w:tblCellMar>
            <w:top w:w="0" w:type="dxa"/>
            <w:bottom w:w="0" w:type="dxa"/>
          </w:tblCellMar>
        </w:tblPrEx>
        <w:tc>
          <w:tcPr>
            <w:tcW w:w="5376"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Ostali troškovi ukupno</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20.335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16.480</w:t>
            </w:r>
          </w:p>
        </w:tc>
      </w:tr>
    </w:tbl>
    <w:p w:rsidR="00C26828" w:rsidRDefault="00C26828" w:rsidP="00C26828">
      <w:pPr>
        <w:pStyle w:val="Standard"/>
      </w:pPr>
    </w:p>
    <w:p w:rsidR="00C26828" w:rsidRDefault="00C26828" w:rsidP="00C26828">
      <w:pPr>
        <w:pStyle w:val="Standard"/>
        <w:rPr>
          <w:b/>
        </w:rPr>
      </w:pPr>
    </w:p>
    <w:p w:rsidR="00C26828" w:rsidRDefault="00C26828" w:rsidP="00C26828">
      <w:pPr>
        <w:pStyle w:val="Standard"/>
        <w:rPr>
          <w:b/>
          <w:sz w:val="20"/>
          <w:szCs w:val="20"/>
        </w:rPr>
      </w:pPr>
      <w:r w:rsidRPr="00BE4649">
        <w:rPr>
          <w:b/>
          <w:sz w:val="20"/>
          <w:szCs w:val="20"/>
        </w:rPr>
        <w:t>Bilješka 20.   Ostali poslovni rashodi</w:t>
      </w:r>
    </w:p>
    <w:p w:rsidR="00F75E46" w:rsidRPr="00BE4649" w:rsidRDefault="00F75E46" w:rsidP="00C26828">
      <w:pPr>
        <w:pStyle w:val="Standard"/>
        <w:rPr>
          <w:b/>
          <w:sz w:val="20"/>
          <w:szCs w:val="20"/>
        </w:rPr>
      </w:pPr>
    </w:p>
    <w:p w:rsidR="00C26828" w:rsidRPr="00F75E46" w:rsidRDefault="00C26828" w:rsidP="00C26828">
      <w:pPr>
        <w:pStyle w:val="Standard"/>
        <w:jc w:val="right"/>
        <w:rPr>
          <w:b/>
          <w:i/>
          <w:sz w:val="20"/>
          <w:szCs w:val="20"/>
        </w:rPr>
      </w:pPr>
      <w:r w:rsidRPr="00F75E46">
        <w:rPr>
          <w:b/>
          <w:i/>
          <w:sz w:val="20"/>
          <w:szCs w:val="20"/>
        </w:rPr>
        <w:t>- u kn</w:t>
      </w:r>
    </w:p>
    <w:tbl>
      <w:tblPr>
        <w:tblW w:w="7927" w:type="dxa"/>
        <w:tblInd w:w="715" w:type="dxa"/>
        <w:tblLayout w:type="fixed"/>
        <w:tblCellMar>
          <w:left w:w="10" w:type="dxa"/>
          <w:right w:w="10" w:type="dxa"/>
        </w:tblCellMar>
        <w:tblLook w:val="0000" w:firstRow="0" w:lastRow="0" w:firstColumn="0" w:lastColumn="0" w:noHBand="0" w:noVBand="0"/>
      </w:tblPr>
      <w:tblGrid>
        <w:gridCol w:w="4809"/>
        <w:gridCol w:w="1842"/>
        <w:gridCol w:w="1276"/>
      </w:tblGrid>
      <w:tr w:rsidR="00C26828" w:rsidRPr="00F75E46" w:rsidTr="00F75E46">
        <w:tblPrEx>
          <w:tblCellMar>
            <w:top w:w="0" w:type="dxa"/>
            <w:bottom w:w="0" w:type="dxa"/>
          </w:tblCellMar>
        </w:tblPrEx>
        <w:tc>
          <w:tcPr>
            <w:tcW w:w="480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Opis</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F75E46" w:rsidRDefault="00C26828" w:rsidP="00C26828">
            <w:pPr>
              <w:pStyle w:val="Standard"/>
              <w:jc w:val="center"/>
              <w:rPr>
                <w:b/>
                <w:sz w:val="20"/>
                <w:szCs w:val="20"/>
              </w:rPr>
            </w:pPr>
            <w:r w:rsidRPr="00F75E46">
              <w:rPr>
                <w:b/>
                <w:sz w:val="20"/>
                <w:szCs w:val="20"/>
              </w:rPr>
              <w:t>2017</w:t>
            </w:r>
          </w:p>
        </w:tc>
      </w:tr>
      <w:tr w:rsidR="00C26828" w:rsidTr="00F75E46">
        <w:tblPrEx>
          <w:tblCellMar>
            <w:top w:w="0" w:type="dxa"/>
            <w:bottom w:w="0" w:type="dxa"/>
          </w:tblCellMar>
        </w:tblPrEx>
        <w:tc>
          <w:tcPr>
            <w:tcW w:w="480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Premije osiguranja</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2.601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7.545</w:t>
            </w:r>
          </w:p>
        </w:tc>
      </w:tr>
      <w:tr w:rsidR="00C26828" w:rsidTr="00F75E46">
        <w:tblPrEx>
          <w:tblCellMar>
            <w:top w:w="0" w:type="dxa"/>
            <w:bottom w:w="0" w:type="dxa"/>
          </w:tblCellMar>
        </w:tblPrEx>
        <w:tc>
          <w:tcPr>
            <w:tcW w:w="4809"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Naknadno utvrđeni troškovi proteklih godina</w:t>
            </w:r>
          </w:p>
        </w:tc>
        <w:tc>
          <w:tcPr>
            <w:tcW w:w="1842"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9</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3</w:t>
            </w:r>
          </w:p>
        </w:tc>
      </w:tr>
      <w:tr w:rsidR="00C26828" w:rsidTr="00F75E46">
        <w:tblPrEx>
          <w:tblCellMar>
            <w:top w:w="0" w:type="dxa"/>
            <w:bottom w:w="0" w:type="dxa"/>
          </w:tblCellMar>
        </w:tblPrEx>
        <w:tc>
          <w:tcPr>
            <w:tcW w:w="480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F75E46">
            <w:pPr>
              <w:pStyle w:val="Standard"/>
              <w:rPr>
                <w:b/>
              </w:rPr>
            </w:pPr>
            <w:r>
              <w:rPr>
                <w:b/>
              </w:rPr>
              <w:t>Ostali poslovni rashodi</w:t>
            </w:r>
            <w:r w:rsidR="00F75E46">
              <w:rPr>
                <w:b/>
              </w:rPr>
              <w:t xml:space="preserve">  </w:t>
            </w:r>
            <w:r>
              <w:rPr>
                <w:b/>
              </w:rPr>
              <w:t>ukupno</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2.610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rPr>
                <w:b/>
              </w:rPr>
            </w:pPr>
            <w:r>
              <w:rPr>
                <w:b/>
              </w:rPr>
              <w:t>7.548</w:t>
            </w:r>
          </w:p>
        </w:tc>
      </w:tr>
    </w:tbl>
    <w:p w:rsidR="00C26828" w:rsidRDefault="00C26828" w:rsidP="00C26828">
      <w:pPr>
        <w:pStyle w:val="Standard"/>
        <w:rPr>
          <w:b/>
        </w:rPr>
      </w:pPr>
    </w:p>
    <w:p w:rsidR="00C26828" w:rsidRDefault="00C26828" w:rsidP="00C26828">
      <w:pPr>
        <w:pStyle w:val="Standard"/>
        <w:rPr>
          <w:b/>
        </w:rPr>
      </w:pPr>
    </w:p>
    <w:p w:rsidR="00F75E46" w:rsidRDefault="00F75E46" w:rsidP="00C26828">
      <w:pPr>
        <w:pStyle w:val="Standard"/>
        <w:rPr>
          <w:b/>
          <w:sz w:val="20"/>
          <w:szCs w:val="20"/>
        </w:rPr>
      </w:pPr>
    </w:p>
    <w:p w:rsidR="00C26828" w:rsidRPr="00BE4649" w:rsidRDefault="00C26828" w:rsidP="00C26828">
      <w:pPr>
        <w:pStyle w:val="Standard"/>
        <w:rPr>
          <w:b/>
          <w:sz w:val="20"/>
          <w:szCs w:val="20"/>
        </w:rPr>
      </w:pPr>
      <w:r w:rsidRPr="00BE4649">
        <w:rPr>
          <w:b/>
          <w:sz w:val="20"/>
          <w:szCs w:val="20"/>
        </w:rPr>
        <w:lastRenderedPageBreak/>
        <w:t>Bilješka 21.  Kamate, tečajne razlike i slični prihodi iz odnosa s nepovezanim poduzetnicima</w:t>
      </w:r>
    </w:p>
    <w:p w:rsidR="00C26828" w:rsidRDefault="00C26828" w:rsidP="00C26828">
      <w:pPr>
        <w:pStyle w:val="Standard"/>
      </w:pPr>
    </w:p>
    <w:p w:rsidR="00C26828" w:rsidRPr="00B7267D" w:rsidRDefault="00C26828" w:rsidP="00C26828">
      <w:pPr>
        <w:pStyle w:val="Standard"/>
        <w:jc w:val="right"/>
        <w:rPr>
          <w:b/>
          <w:i/>
          <w:sz w:val="20"/>
          <w:szCs w:val="20"/>
        </w:rPr>
      </w:pPr>
      <w:r w:rsidRPr="00B7267D">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B7267D"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2016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2017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Prihodi od kamata-redovne</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44</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26</w:t>
            </w:r>
          </w:p>
        </w:tc>
      </w:tr>
      <w:tr w:rsidR="00C26828" w:rsidTr="00C26828">
        <w:tblPrEx>
          <w:tblCellMar>
            <w:top w:w="0" w:type="dxa"/>
            <w:bottom w:w="0" w:type="dxa"/>
          </w:tblCellMar>
        </w:tblPrEx>
        <w:tc>
          <w:tcPr>
            <w:tcW w:w="30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Pozitivne tečajne razlike</w:t>
            </w:r>
          </w:p>
        </w:tc>
        <w:tc>
          <w:tcPr>
            <w:tcW w:w="21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45</w:t>
            </w:r>
          </w:p>
        </w:tc>
      </w:tr>
      <w:tr w:rsidR="00C26828" w:rsidTr="00C26828">
        <w:tblPrEx>
          <w:tblCellMar>
            <w:top w:w="0" w:type="dxa"/>
            <w:bottom w:w="0" w:type="dxa"/>
          </w:tblCellMar>
        </w:tblPrEx>
        <w:tc>
          <w:tcPr>
            <w:tcW w:w="30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bCs/>
              </w:rPr>
            </w:pPr>
            <w:r>
              <w:rPr>
                <w:b/>
                <w:bCs/>
              </w:rPr>
              <w:t>Ukupno financijski prihodi</w:t>
            </w:r>
          </w:p>
        </w:tc>
        <w:tc>
          <w:tcPr>
            <w:tcW w:w="21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bCs/>
              </w:rPr>
            </w:pPr>
            <w:r>
              <w:rPr>
                <w:b/>
                <w:bCs/>
              </w:rPr>
              <w:t>44</w:t>
            </w: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bCs/>
              </w:rPr>
            </w:pPr>
            <w:r>
              <w:rPr>
                <w:b/>
                <w:bCs/>
              </w:rPr>
              <w:t>71</w:t>
            </w:r>
          </w:p>
        </w:tc>
      </w:tr>
    </w:tbl>
    <w:p w:rsidR="00C26828" w:rsidRDefault="00C26828" w:rsidP="00C26828">
      <w:pPr>
        <w:pStyle w:val="Standard"/>
      </w:pPr>
    </w:p>
    <w:p w:rsidR="00C26828" w:rsidRDefault="00C26828" w:rsidP="00C26828">
      <w:pPr>
        <w:pStyle w:val="Standard"/>
        <w:rPr>
          <w:b/>
        </w:rPr>
      </w:pPr>
    </w:p>
    <w:p w:rsidR="00C26828" w:rsidRPr="00BE4649" w:rsidRDefault="00C26828" w:rsidP="00C26828">
      <w:pPr>
        <w:pStyle w:val="Standard"/>
        <w:rPr>
          <w:b/>
          <w:sz w:val="20"/>
          <w:szCs w:val="20"/>
        </w:rPr>
      </w:pPr>
      <w:r w:rsidRPr="00BE4649">
        <w:rPr>
          <w:b/>
          <w:sz w:val="20"/>
          <w:szCs w:val="20"/>
        </w:rPr>
        <w:t>Bilješka 22.  Kamate, tečajne razlike i drugi rashodi iz odnosa s nepovezanim poduzetnicima</w:t>
      </w:r>
    </w:p>
    <w:p w:rsidR="00C26828" w:rsidRDefault="00C26828" w:rsidP="00C26828">
      <w:pPr>
        <w:pStyle w:val="Standard"/>
      </w:pPr>
    </w:p>
    <w:p w:rsidR="00C26828" w:rsidRPr="00B7267D" w:rsidRDefault="00C26828" w:rsidP="00C26828">
      <w:pPr>
        <w:pStyle w:val="Standard"/>
        <w:jc w:val="right"/>
        <w:rPr>
          <w:b/>
          <w:i/>
          <w:sz w:val="20"/>
          <w:szCs w:val="20"/>
        </w:rPr>
      </w:pPr>
      <w:r w:rsidRPr="00B7267D">
        <w:rPr>
          <w:b/>
          <w:i/>
          <w:sz w:val="20"/>
          <w:szCs w:val="20"/>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C26828" w:rsidRPr="00B7267D"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Opis</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2016</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2017</w:t>
            </w:r>
          </w:p>
        </w:tc>
      </w:tr>
      <w:tr w:rsidR="00C26828" w:rsidTr="00C26828">
        <w:tblPrEx>
          <w:tblCellMar>
            <w:top w:w="0" w:type="dxa"/>
            <w:bottom w:w="0" w:type="dxa"/>
          </w:tblCellMar>
        </w:tblPrEx>
        <w:tc>
          <w:tcPr>
            <w:tcW w:w="30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Rashodi od kamata</w:t>
            </w:r>
          </w:p>
        </w:tc>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330</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3294</w:t>
            </w:r>
          </w:p>
        </w:tc>
      </w:tr>
      <w:tr w:rsidR="00C26828" w:rsidTr="00C26828">
        <w:tblPrEx>
          <w:tblCellMar>
            <w:top w:w="0" w:type="dxa"/>
            <w:bottom w:w="0" w:type="dxa"/>
          </w:tblCellMar>
        </w:tblPrEx>
        <w:tc>
          <w:tcPr>
            <w:tcW w:w="30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Negativne tečajne razlike</w:t>
            </w:r>
          </w:p>
        </w:tc>
        <w:tc>
          <w:tcPr>
            <w:tcW w:w="21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38</w:t>
            </w:r>
          </w:p>
        </w:tc>
      </w:tr>
      <w:tr w:rsidR="00C26828" w:rsidTr="00C26828">
        <w:tblPrEx>
          <w:tblCellMar>
            <w:top w:w="0" w:type="dxa"/>
            <w:bottom w:w="0" w:type="dxa"/>
          </w:tblCellMar>
        </w:tblPrEx>
        <w:tc>
          <w:tcPr>
            <w:tcW w:w="30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bCs/>
              </w:rPr>
            </w:pPr>
            <w:r>
              <w:rPr>
                <w:b/>
                <w:bCs/>
              </w:rPr>
              <w:t>Ukupno financijski rashodi</w:t>
            </w:r>
          </w:p>
        </w:tc>
        <w:tc>
          <w:tcPr>
            <w:tcW w:w="2160"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bCs/>
              </w:rPr>
            </w:pPr>
            <w:r>
              <w:rPr>
                <w:b/>
                <w:bCs/>
              </w:rPr>
              <w:t>330</w:t>
            </w: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bCs/>
              </w:rPr>
            </w:pPr>
            <w:r>
              <w:rPr>
                <w:b/>
                <w:bCs/>
              </w:rPr>
              <w:t>3332</w:t>
            </w:r>
          </w:p>
        </w:tc>
      </w:tr>
    </w:tbl>
    <w:p w:rsidR="00C26828" w:rsidRDefault="00C26828" w:rsidP="00C26828">
      <w:pPr>
        <w:pStyle w:val="Standard"/>
        <w:rPr>
          <w:b/>
        </w:rPr>
      </w:pPr>
    </w:p>
    <w:p w:rsidR="00C26828" w:rsidRDefault="00C26828" w:rsidP="00C26828">
      <w:pPr>
        <w:pStyle w:val="Standard"/>
        <w:rPr>
          <w:b/>
        </w:rPr>
      </w:pPr>
    </w:p>
    <w:p w:rsidR="00C26828" w:rsidRPr="00BE4649" w:rsidRDefault="00C26828" w:rsidP="00C26828">
      <w:pPr>
        <w:pStyle w:val="Standard"/>
        <w:rPr>
          <w:b/>
          <w:sz w:val="20"/>
          <w:szCs w:val="20"/>
        </w:rPr>
      </w:pPr>
      <w:r w:rsidRPr="00BE4649">
        <w:rPr>
          <w:b/>
          <w:sz w:val="20"/>
          <w:szCs w:val="20"/>
        </w:rPr>
        <w:t>Bilješka 23.  Porez na dobit</w:t>
      </w:r>
    </w:p>
    <w:p w:rsidR="00C26828" w:rsidRPr="00B7267D" w:rsidRDefault="00C26828" w:rsidP="00C26828">
      <w:pPr>
        <w:pStyle w:val="Standard"/>
        <w:jc w:val="right"/>
        <w:rPr>
          <w:b/>
          <w:i/>
          <w:sz w:val="20"/>
          <w:szCs w:val="20"/>
        </w:rPr>
      </w:pPr>
      <w:r w:rsidRPr="00B7267D">
        <w:rPr>
          <w:b/>
          <w:i/>
          <w:sz w:val="20"/>
          <w:szCs w:val="20"/>
        </w:rPr>
        <w:t>- u kn</w:t>
      </w:r>
    </w:p>
    <w:tbl>
      <w:tblPr>
        <w:tblW w:w="8211" w:type="dxa"/>
        <w:tblInd w:w="715" w:type="dxa"/>
        <w:tblLayout w:type="fixed"/>
        <w:tblCellMar>
          <w:left w:w="10" w:type="dxa"/>
          <w:right w:w="10" w:type="dxa"/>
        </w:tblCellMar>
        <w:tblLook w:val="0000" w:firstRow="0" w:lastRow="0" w:firstColumn="0" w:lastColumn="0" w:noHBand="0" w:noVBand="0"/>
      </w:tblPr>
      <w:tblGrid>
        <w:gridCol w:w="5092"/>
        <w:gridCol w:w="1559"/>
        <w:gridCol w:w="1560"/>
      </w:tblGrid>
      <w:tr w:rsidR="00C26828" w:rsidRPr="00B7267D"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Opis</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2016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Pr="00B7267D" w:rsidRDefault="00C26828" w:rsidP="00C26828">
            <w:pPr>
              <w:pStyle w:val="Standard"/>
              <w:jc w:val="center"/>
              <w:rPr>
                <w:b/>
                <w:sz w:val="20"/>
                <w:szCs w:val="20"/>
              </w:rPr>
            </w:pPr>
            <w:r w:rsidRPr="00B7267D">
              <w:rPr>
                <w:b/>
                <w:sz w:val="20"/>
                <w:szCs w:val="20"/>
              </w:rPr>
              <w:t>2017</w:t>
            </w:r>
          </w:p>
        </w:tc>
      </w:tr>
      <w:tr w:rsidR="00C26828"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bCs/>
              </w:rPr>
            </w:pPr>
            <w:r>
              <w:rPr>
                <w:b/>
                <w:bCs/>
              </w:rPr>
              <w:t>Dobit prije oporezivanja</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bCs/>
              </w:rPr>
            </w:pPr>
            <w:r>
              <w:rPr>
                <w:b/>
                <w:bCs/>
              </w:rPr>
              <w:t>2.864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bCs/>
              </w:rPr>
            </w:pPr>
            <w:r>
              <w:rPr>
                <w:b/>
                <w:bCs/>
              </w:rPr>
              <w:t>8.654</w:t>
            </w:r>
          </w:p>
        </w:tc>
      </w:tr>
      <w:tr w:rsidR="00C26828"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Uveć. osnovice por.na dobit</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1.131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3.152</w:t>
            </w:r>
          </w:p>
        </w:tc>
      </w:tr>
      <w:tr w:rsidR="00C26828" w:rsidTr="00B7267D">
        <w:tblPrEx>
          <w:tblCellMar>
            <w:top w:w="0" w:type="dxa"/>
            <w:bottom w:w="0" w:type="dxa"/>
          </w:tblCellMar>
        </w:tblPrEx>
        <w:tc>
          <w:tcPr>
            <w:tcW w:w="5092"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i/>
                <w:iCs/>
              </w:rPr>
            </w:pPr>
            <w:r>
              <w:rPr>
                <w:i/>
                <w:iCs/>
              </w:rPr>
              <w:t>- nepriz.trošak reprezentacije</w:t>
            </w:r>
          </w:p>
        </w:tc>
        <w:tc>
          <w:tcPr>
            <w:tcW w:w="1559"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i/>
                <w:iCs/>
              </w:rPr>
            </w:pPr>
            <w:r>
              <w:rPr>
                <w:i/>
                <w:iCs/>
              </w:rPr>
              <w:t>1.131</w:t>
            </w:r>
          </w:p>
        </w:tc>
        <w:tc>
          <w:tcPr>
            <w:tcW w:w="156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i/>
                <w:iCs/>
              </w:rPr>
            </w:pPr>
            <w:r>
              <w:rPr>
                <w:i/>
                <w:iCs/>
              </w:rPr>
              <w:t>2.396</w:t>
            </w:r>
          </w:p>
        </w:tc>
      </w:tr>
      <w:tr w:rsidR="00C26828"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i/>
                <w:iCs/>
              </w:rPr>
            </w:pPr>
            <w:r>
              <w:rPr>
                <w:i/>
                <w:iCs/>
              </w:rPr>
              <w:t>- nepriz.troš.za osobni prijev.</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i/>
                <w:iC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i/>
                <w:iCs/>
              </w:rPr>
            </w:pPr>
            <w:r>
              <w:rPr>
                <w:i/>
                <w:iCs/>
              </w:rPr>
              <w:t>756</w:t>
            </w:r>
          </w:p>
        </w:tc>
      </w:tr>
      <w:tr w:rsidR="00C26828"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Dobit nakon povećanja/smanjenja</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3.996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11.806</w:t>
            </w:r>
          </w:p>
        </w:tc>
      </w:tr>
      <w:tr w:rsidR="00C26828"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Preneseni porezni gubitak</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pPr>
            <w: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pPr>
            <w:r>
              <w:t>-</w:t>
            </w:r>
          </w:p>
        </w:tc>
      </w:tr>
      <w:tr w:rsidR="00C26828"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pPr>
            <w:r>
              <w:t>Osnovica por.na dobit</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snapToGrid w:val="0"/>
              <w:jc w:val="right"/>
            </w:pPr>
            <w:r>
              <w:t>3.995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snapToGrid w:val="0"/>
              <w:jc w:val="right"/>
            </w:pPr>
            <w:r>
              <w:t>11.806</w:t>
            </w:r>
          </w:p>
        </w:tc>
      </w:tr>
      <w:tr w:rsidR="00C26828" w:rsidTr="00B7267D">
        <w:tblPrEx>
          <w:tblCellMar>
            <w:top w:w="0" w:type="dxa"/>
            <w:bottom w:w="0" w:type="dxa"/>
          </w:tblCellMar>
        </w:tblPrEx>
        <w:tc>
          <w:tcPr>
            <w:tcW w:w="5092"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Tekuća porezna obveza</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799</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1.417</w:t>
            </w:r>
          </w:p>
        </w:tc>
      </w:tr>
      <w:tr w:rsidR="00C26828" w:rsidTr="00B7267D">
        <w:tblPrEx>
          <w:tblCellMar>
            <w:top w:w="0" w:type="dxa"/>
            <w:bottom w:w="0" w:type="dxa"/>
          </w:tblCellMar>
        </w:tblPrEx>
        <w:tc>
          <w:tcPr>
            <w:tcW w:w="5092"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rPr>
                <w:b/>
              </w:rPr>
            </w:pPr>
            <w:r>
              <w:rPr>
                <w:b/>
              </w:rPr>
              <w:t>Dobit razdoblja</w:t>
            </w:r>
          </w:p>
        </w:tc>
        <w:tc>
          <w:tcPr>
            <w:tcW w:w="1559" w:type="dxa"/>
            <w:tcBorders>
              <w:left w:val="single" w:sz="4" w:space="0" w:color="000000"/>
              <w:bottom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2.065</w:t>
            </w:r>
          </w:p>
        </w:tc>
        <w:tc>
          <w:tcPr>
            <w:tcW w:w="1560" w:type="dxa"/>
            <w:tcBorders>
              <w:left w:val="single" w:sz="4" w:space="0" w:color="000000"/>
              <w:bottom w:val="single" w:sz="4" w:space="0" w:color="000000"/>
              <w:right w:val="single" w:sz="4" w:space="0" w:color="000000"/>
            </w:tcBorders>
            <w:tcMar>
              <w:top w:w="0" w:type="dxa"/>
              <w:left w:w="108" w:type="dxa"/>
              <w:bottom w:w="0" w:type="dxa"/>
              <w:right w:w="108" w:type="dxa"/>
            </w:tcMar>
          </w:tcPr>
          <w:p w:rsidR="00C26828" w:rsidRDefault="00C26828" w:rsidP="00C26828">
            <w:pPr>
              <w:pStyle w:val="Standard"/>
              <w:jc w:val="right"/>
              <w:rPr>
                <w:b/>
              </w:rPr>
            </w:pPr>
            <w:r>
              <w:rPr>
                <w:b/>
              </w:rPr>
              <w:t>7.237</w:t>
            </w:r>
          </w:p>
        </w:tc>
      </w:tr>
    </w:tbl>
    <w:p w:rsidR="00C26828" w:rsidRDefault="00C26828" w:rsidP="00C26828">
      <w:pPr>
        <w:pStyle w:val="Standard"/>
        <w:rPr>
          <w:b/>
        </w:rPr>
      </w:pPr>
    </w:p>
    <w:p w:rsidR="00C26828" w:rsidRDefault="00C26828" w:rsidP="00C26828">
      <w:pPr>
        <w:pStyle w:val="Standard"/>
        <w:rPr>
          <w:b/>
        </w:rPr>
      </w:pPr>
    </w:p>
    <w:p w:rsidR="00C26828" w:rsidRDefault="00C26828" w:rsidP="00354EB0">
      <w:pPr>
        <w:ind w:left="5664" w:firstLine="708"/>
        <w:jc w:val="both"/>
        <w:rPr>
          <w:rFonts w:ascii="Times New Roman" w:hAnsi="Times New Roman" w:cs="Times New Roman"/>
        </w:rPr>
      </w:pPr>
    </w:p>
    <w:p w:rsidR="00BE4649" w:rsidRPr="00B7267D" w:rsidRDefault="00B7267D" w:rsidP="00BE4649">
      <w:pPr>
        <w:ind w:left="5664" w:firstLine="708"/>
        <w:jc w:val="both"/>
        <w:rPr>
          <w:rFonts w:ascii="Times New Roman" w:hAnsi="Times New Roman" w:cs="Times New Roman"/>
        </w:rPr>
      </w:pPr>
      <w:r w:rsidRPr="00B7267D">
        <w:rPr>
          <w:rFonts w:ascii="Times New Roman" w:hAnsi="Times New Roman" w:cs="Times New Roman"/>
        </w:rPr>
        <w:t>Groblje Dubac d.o.o</w:t>
      </w:r>
    </w:p>
    <w:p w:rsidR="00C26828" w:rsidRPr="00B7267D" w:rsidRDefault="00BE4649" w:rsidP="00BE4649">
      <w:pPr>
        <w:ind w:left="5664" w:firstLine="708"/>
        <w:jc w:val="both"/>
        <w:rPr>
          <w:rFonts w:ascii="Times New Roman" w:hAnsi="Times New Roman" w:cs="Times New Roman"/>
        </w:rPr>
      </w:pPr>
      <w:r w:rsidRPr="00B7267D">
        <w:rPr>
          <w:rFonts w:ascii="Times New Roman" w:hAnsi="Times New Roman" w:cs="Times New Roman"/>
        </w:rPr>
        <w:t>Đuro Lonza</w:t>
      </w:r>
      <w:r w:rsidR="00B7267D" w:rsidRPr="00B7267D">
        <w:rPr>
          <w:rFonts w:ascii="Times New Roman" w:hAnsi="Times New Roman" w:cs="Times New Roman"/>
        </w:rPr>
        <w:t>, direktor</w:t>
      </w:r>
    </w:p>
    <w:sectPr w:rsidR="00C26828" w:rsidRPr="00B7267D" w:rsidSect="00B25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0816"/>
    <w:multiLevelType w:val="hybridMultilevel"/>
    <w:tmpl w:val="A4608D5E"/>
    <w:lvl w:ilvl="0" w:tplc="3132DB88">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F4F1627"/>
    <w:multiLevelType w:val="multilevel"/>
    <w:tmpl w:val="0420793E"/>
    <w:styleLink w:val="WW8Num1"/>
    <w:lvl w:ilvl="0">
      <w:start w:val="1"/>
      <w:numFmt w:val="decimal"/>
      <w:lvlText w:val="%1."/>
      <w:lvlJc w:val="left"/>
      <w:pPr>
        <w:ind w:left="720" w:hanging="360"/>
      </w:p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 w15:restartNumberingAfterBreak="0">
    <w:nsid w:val="565F3FA6"/>
    <w:multiLevelType w:val="hybridMultilevel"/>
    <w:tmpl w:val="960CB8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5739681C"/>
    <w:multiLevelType w:val="hybridMultilevel"/>
    <w:tmpl w:val="B1CA1E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65"/>
    <w:rsid w:val="000A120A"/>
    <w:rsid w:val="000A1807"/>
    <w:rsid w:val="000A4ED1"/>
    <w:rsid w:val="000B4B3D"/>
    <w:rsid w:val="0010536D"/>
    <w:rsid w:val="001179E4"/>
    <w:rsid w:val="00194510"/>
    <w:rsid w:val="001A2095"/>
    <w:rsid w:val="001B5E84"/>
    <w:rsid w:val="001C67BA"/>
    <w:rsid w:val="00226211"/>
    <w:rsid w:val="00270416"/>
    <w:rsid w:val="00281AF2"/>
    <w:rsid w:val="002A2DB3"/>
    <w:rsid w:val="002C03D6"/>
    <w:rsid w:val="002D1D42"/>
    <w:rsid w:val="002E175D"/>
    <w:rsid w:val="00354EB0"/>
    <w:rsid w:val="00377B1D"/>
    <w:rsid w:val="00390E03"/>
    <w:rsid w:val="00431B42"/>
    <w:rsid w:val="00481F3B"/>
    <w:rsid w:val="004F66AD"/>
    <w:rsid w:val="00506F00"/>
    <w:rsid w:val="00507593"/>
    <w:rsid w:val="00516BC0"/>
    <w:rsid w:val="0052438A"/>
    <w:rsid w:val="00565D98"/>
    <w:rsid w:val="0059638B"/>
    <w:rsid w:val="005E14BD"/>
    <w:rsid w:val="005F2C23"/>
    <w:rsid w:val="006403CD"/>
    <w:rsid w:val="0066361E"/>
    <w:rsid w:val="00685BB0"/>
    <w:rsid w:val="006D287A"/>
    <w:rsid w:val="00703D68"/>
    <w:rsid w:val="00730240"/>
    <w:rsid w:val="00770B45"/>
    <w:rsid w:val="00784B72"/>
    <w:rsid w:val="00796D80"/>
    <w:rsid w:val="007E0FAB"/>
    <w:rsid w:val="007F3C3F"/>
    <w:rsid w:val="00833BF1"/>
    <w:rsid w:val="00843E59"/>
    <w:rsid w:val="008A5781"/>
    <w:rsid w:val="008D533D"/>
    <w:rsid w:val="00903E2B"/>
    <w:rsid w:val="00950472"/>
    <w:rsid w:val="009C3D3E"/>
    <w:rsid w:val="009F5EAC"/>
    <w:rsid w:val="00A34EA0"/>
    <w:rsid w:val="00A40899"/>
    <w:rsid w:val="00A541AC"/>
    <w:rsid w:val="00A74136"/>
    <w:rsid w:val="00A9050D"/>
    <w:rsid w:val="00AA705C"/>
    <w:rsid w:val="00B1750D"/>
    <w:rsid w:val="00B25E50"/>
    <w:rsid w:val="00B46C06"/>
    <w:rsid w:val="00B51231"/>
    <w:rsid w:val="00B7267D"/>
    <w:rsid w:val="00BE2261"/>
    <w:rsid w:val="00BE4649"/>
    <w:rsid w:val="00C26828"/>
    <w:rsid w:val="00C76876"/>
    <w:rsid w:val="00C94509"/>
    <w:rsid w:val="00D4137F"/>
    <w:rsid w:val="00D62021"/>
    <w:rsid w:val="00D630EB"/>
    <w:rsid w:val="00DB1ACD"/>
    <w:rsid w:val="00E25C65"/>
    <w:rsid w:val="00E42C80"/>
    <w:rsid w:val="00E66C03"/>
    <w:rsid w:val="00E77E37"/>
    <w:rsid w:val="00E93805"/>
    <w:rsid w:val="00EA2094"/>
    <w:rsid w:val="00EC7E60"/>
    <w:rsid w:val="00EF563A"/>
    <w:rsid w:val="00F5341D"/>
    <w:rsid w:val="00F56A67"/>
    <w:rsid w:val="00F75E46"/>
    <w:rsid w:val="00FB4F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A1EE"/>
  <w15:docId w15:val="{50568FBC-DBB0-48BF-BA97-82340AB3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AC"/>
    <w:rPr>
      <w:rFonts w:ascii="Segoe UI" w:hAnsi="Segoe UI" w:cs="Segoe UI"/>
      <w:sz w:val="18"/>
      <w:szCs w:val="18"/>
    </w:rPr>
  </w:style>
  <w:style w:type="paragraph" w:styleId="ListParagraph">
    <w:name w:val="List Paragraph"/>
    <w:basedOn w:val="Normal"/>
    <w:uiPriority w:val="34"/>
    <w:qFormat/>
    <w:rsid w:val="00A74136"/>
    <w:pPr>
      <w:ind w:left="720"/>
      <w:contextualSpacing/>
    </w:pPr>
  </w:style>
  <w:style w:type="paragraph" w:customStyle="1" w:styleId="Standard">
    <w:name w:val="Standard"/>
    <w:rsid w:val="00C2682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8Num1">
    <w:name w:val="WW8Num1"/>
    <w:basedOn w:val="NoList"/>
    <w:rsid w:val="00C2682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5317</Words>
  <Characters>30311</Characters>
  <Application>Microsoft Office Word</Application>
  <DocSecurity>0</DocSecurity>
  <Lines>252</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Đuro</dc:creator>
  <cp:lastModifiedBy>Korisnik</cp:lastModifiedBy>
  <cp:revision>10</cp:revision>
  <cp:lastPrinted>2018-02-06T12:37:00Z</cp:lastPrinted>
  <dcterms:created xsi:type="dcterms:W3CDTF">2018-02-06T12:35:00Z</dcterms:created>
  <dcterms:modified xsi:type="dcterms:W3CDTF">2018-03-08T07:42:00Z</dcterms:modified>
</cp:coreProperties>
</file>