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CC" w:rsidRDefault="004549E1" w:rsidP="00F24EB0">
      <w:r>
        <w:t xml:space="preserve"> </w:t>
      </w:r>
      <w:r w:rsidR="00E674D4">
        <w:t xml:space="preserve"> </w:t>
      </w:r>
      <w:r w:rsidR="00C144CB">
        <w:t xml:space="preserve"> </w:t>
      </w:r>
      <w:r w:rsidR="00DE53AB">
        <w:t xml:space="preserve">  </w:t>
      </w:r>
      <w:r w:rsidR="001200C2">
        <w:t xml:space="preserve"> </w:t>
      </w:r>
      <w:r w:rsidR="009320F6">
        <w:t xml:space="preserve"> </w:t>
      </w:r>
      <w:r w:rsidR="009E12E5">
        <w:t xml:space="preserve">   </w:t>
      </w:r>
      <w:r w:rsidR="00467986">
        <w:t xml:space="preserve">  </w:t>
      </w:r>
      <w:r w:rsidR="00D76F0A">
        <w:t xml:space="preserve"> </w:t>
      </w:r>
      <w:r w:rsidR="002D7883">
        <w:t xml:space="preserve">    </w:t>
      </w:r>
    </w:p>
    <w:p w:rsidR="005E3391" w:rsidRPr="005E3391" w:rsidRDefault="005E3391" w:rsidP="005E3391">
      <w:pPr>
        <w:rPr>
          <w:sz w:val="24"/>
          <w:szCs w:val="24"/>
        </w:rPr>
      </w:pPr>
      <w:r w:rsidRPr="005E3391">
        <w:rPr>
          <w:sz w:val="24"/>
          <w:szCs w:val="24"/>
        </w:rPr>
        <w:t xml:space="preserve">                    </w:t>
      </w:r>
    </w:p>
    <w:p w:rsidR="005E3391" w:rsidRPr="005E3391" w:rsidRDefault="005E3391" w:rsidP="005E3391">
      <w:pPr>
        <w:ind w:left="708" w:firstLine="708"/>
        <w:rPr>
          <w:sz w:val="24"/>
          <w:szCs w:val="24"/>
        </w:rPr>
      </w:pPr>
      <w:r w:rsidRPr="005E3391">
        <w:rPr>
          <w:sz w:val="24"/>
          <w:szCs w:val="24"/>
        </w:rPr>
        <w:t xml:space="preserve">          </w:t>
      </w:r>
      <w:r w:rsidRPr="005E3391">
        <w:rPr>
          <w:sz w:val="24"/>
          <w:szCs w:val="24"/>
        </w:rPr>
        <w:object w:dxaOrig="2055"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5pt" o:ole="">
            <v:imagedata r:id="rId8" o:title=""/>
          </v:shape>
          <o:OLEObject Type="Embed" ProgID="CorelDraw.Graphic.9" ShapeID="_x0000_i1025" DrawAspect="Content" ObjectID="_1586338164" r:id="rId9"/>
        </w:object>
      </w:r>
    </w:p>
    <w:p w:rsidR="005E3391" w:rsidRPr="005E3391" w:rsidRDefault="005E3391" w:rsidP="005E3391">
      <w:pPr>
        <w:ind w:left="708" w:firstLine="708"/>
        <w:rPr>
          <w:sz w:val="24"/>
          <w:szCs w:val="24"/>
        </w:rPr>
      </w:pPr>
    </w:p>
    <w:p w:rsidR="005E3391" w:rsidRPr="005E3391" w:rsidRDefault="005E3391" w:rsidP="005E3391">
      <w:pPr>
        <w:tabs>
          <w:tab w:val="left" w:pos="4111"/>
        </w:tabs>
        <w:ind w:right="15"/>
        <w:rPr>
          <w:rFonts w:ascii="Arial" w:hAnsi="Arial" w:cs="Arial"/>
          <w:b/>
          <w:sz w:val="24"/>
          <w:szCs w:val="24"/>
        </w:rPr>
      </w:pPr>
      <w:r w:rsidRPr="005E3391">
        <w:rPr>
          <w:rFonts w:ascii="Arial" w:hAnsi="Arial" w:cs="Arial"/>
          <w:b/>
          <w:sz w:val="24"/>
          <w:szCs w:val="24"/>
        </w:rPr>
        <w:t xml:space="preserve">       R E P U B L I K A   H R V A T S K A</w:t>
      </w:r>
    </w:p>
    <w:p w:rsidR="005E3391" w:rsidRPr="005E3391" w:rsidRDefault="005E3391" w:rsidP="005E3391">
      <w:pPr>
        <w:ind w:left="-480" w:right="15"/>
        <w:rPr>
          <w:rFonts w:ascii="Arial" w:hAnsi="Arial" w:cs="Arial"/>
          <w:b/>
          <w:sz w:val="24"/>
          <w:szCs w:val="24"/>
        </w:rPr>
      </w:pPr>
      <w:r w:rsidRPr="005E3391">
        <w:rPr>
          <w:rFonts w:ascii="Arial" w:hAnsi="Arial" w:cs="Arial"/>
          <w:b/>
          <w:sz w:val="24"/>
          <w:szCs w:val="24"/>
        </w:rPr>
        <w:t xml:space="preserve">        DUBROVAČKO NERETVANSKA ŽUPANIJA</w:t>
      </w:r>
    </w:p>
    <w:p w:rsidR="005E3391" w:rsidRPr="005E3391" w:rsidRDefault="005E3391" w:rsidP="005E3391">
      <w:pPr>
        <w:ind w:right="-32"/>
        <w:rPr>
          <w:rFonts w:ascii="Arial" w:hAnsi="Arial" w:cs="Arial"/>
          <w:b/>
          <w:sz w:val="24"/>
          <w:szCs w:val="24"/>
        </w:rPr>
      </w:pPr>
      <w:r w:rsidRPr="005E3391">
        <w:rPr>
          <w:rFonts w:ascii="Arial" w:hAnsi="Arial" w:cs="Arial"/>
          <w:b/>
          <w:sz w:val="24"/>
          <w:szCs w:val="24"/>
        </w:rPr>
        <w:t xml:space="preserve">                  GRAD  DUBROVNIK</w:t>
      </w:r>
    </w:p>
    <w:p w:rsidR="005E3391" w:rsidRPr="005E3391" w:rsidRDefault="005E3391" w:rsidP="005E3391">
      <w:pPr>
        <w:ind w:right="-32"/>
        <w:rPr>
          <w:rFonts w:ascii="Arial" w:hAnsi="Arial" w:cs="Arial"/>
          <w:b/>
          <w:sz w:val="24"/>
          <w:szCs w:val="24"/>
        </w:rPr>
      </w:pPr>
    </w:p>
    <w:p w:rsidR="005E3391" w:rsidRPr="00244099" w:rsidRDefault="005E3391" w:rsidP="005E3391">
      <w:pPr>
        <w:pStyle w:val="Naslov1"/>
        <w:ind w:firstLine="0"/>
        <w:rPr>
          <w:szCs w:val="24"/>
        </w:rPr>
      </w:pPr>
      <w:r w:rsidRPr="00244099">
        <w:rPr>
          <w:szCs w:val="24"/>
        </w:rPr>
        <w:t xml:space="preserve">Upravni odjel za proračun, financije i naplatu </w:t>
      </w:r>
    </w:p>
    <w:p w:rsidR="005E3391" w:rsidRPr="00244099" w:rsidRDefault="005E3391" w:rsidP="005E3391">
      <w:pPr>
        <w:rPr>
          <w:sz w:val="24"/>
          <w:szCs w:val="24"/>
        </w:rPr>
      </w:pPr>
    </w:p>
    <w:p w:rsidR="005E3391" w:rsidRPr="00244099" w:rsidRDefault="005E3391" w:rsidP="005E3391">
      <w:pPr>
        <w:jc w:val="both"/>
        <w:rPr>
          <w:b/>
          <w:sz w:val="24"/>
          <w:szCs w:val="24"/>
        </w:rPr>
      </w:pPr>
    </w:p>
    <w:p w:rsidR="005E3391" w:rsidRPr="007E3D76" w:rsidRDefault="005E3391" w:rsidP="005E3391">
      <w:pPr>
        <w:rPr>
          <w:sz w:val="24"/>
          <w:szCs w:val="24"/>
        </w:rPr>
      </w:pPr>
      <w:r w:rsidRPr="007E3D76">
        <w:rPr>
          <w:sz w:val="24"/>
          <w:szCs w:val="24"/>
        </w:rPr>
        <w:t>KLASA:     400-06/1</w:t>
      </w:r>
      <w:r w:rsidR="00734C2A" w:rsidRPr="007E3D76">
        <w:rPr>
          <w:sz w:val="24"/>
          <w:szCs w:val="24"/>
        </w:rPr>
        <w:t>6</w:t>
      </w:r>
      <w:r w:rsidRPr="007E3D76">
        <w:rPr>
          <w:sz w:val="24"/>
          <w:szCs w:val="24"/>
        </w:rPr>
        <w:t>-02/0</w:t>
      </w:r>
      <w:r w:rsidR="00734C2A" w:rsidRPr="007E3D76">
        <w:rPr>
          <w:sz w:val="24"/>
          <w:szCs w:val="24"/>
        </w:rPr>
        <w:t>1</w:t>
      </w:r>
    </w:p>
    <w:p w:rsidR="003B09B2" w:rsidRPr="007E3D76" w:rsidRDefault="005E3391" w:rsidP="005E3391">
      <w:pPr>
        <w:jc w:val="both"/>
        <w:rPr>
          <w:sz w:val="24"/>
          <w:szCs w:val="24"/>
        </w:rPr>
      </w:pPr>
      <w:r w:rsidRPr="007E3D76">
        <w:rPr>
          <w:sz w:val="24"/>
          <w:szCs w:val="24"/>
        </w:rPr>
        <w:t>URBROJ: 2117/01-07-1</w:t>
      </w:r>
      <w:r w:rsidR="003B09B2" w:rsidRPr="007E3D76">
        <w:rPr>
          <w:sz w:val="24"/>
          <w:szCs w:val="24"/>
        </w:rPr>
        <w:t>8</w:t>
      </w:r>
      <w:r w:rsidRPr="007E3D76">
        <w:rPr>
          <w:sz w:val="24"/>
          <w:szCs w:val="24"/>
        </w:rPr>
        <w:t>-</w:t>
      </w:r>
      <w:r w:rsidR="00734C2A" w:rsidRPr="007E3D76">
        <w:rPr>
          <w:sz w:val="24"/>
          <w:szCs w:val="24"/>
        </w:rPr>
        <w:t>95</w:t>
      </w:r>
    </w:p>
    <w:p w:rsidR="005E3391" w:rsidRPr="007E3D76" w:rsidRDefault="00734C2A" w:rsidP="005E3391">
      <w:pPr>
        <w:jc w:val="both"/>
        <w:rPr>
          <w:sz w:val="24"/>
          <w:szCs w:val="24"/>
        </w:rPr>
      </w:pPr>
      <w:r w:rsidRPr="007E3D76">
        <w:rPr>
          <w:sz w:val="24"/>
          <w:szCs w:val="24"/>
        </w:rPr>
        <w:t xml:space="preserve">Dubrovnik,  </w:t>
      </w:r>
      <w:r w:rsidR="00F42678" w:rsidRPr="007E3D76">
        <w:rPr>
          <w:sz w:val="24"/>
          <w:szCs w:val="24"/>
        </w:rPr>
        <w:t>2</w:t>
      </w:r>
      <w:r w:rsidRPr="007E3D76">
        <w:rPr>
          <w:sz w:val="24"/>
          <w:szCs w:val="24"/>
        </w:rPr>
        <w:t>6.</w:t>
      </w:r>
      <w:r w:rsidR="00A903B1" w:rsidRPr="007E3D76">
        <w:rPr>
          <w:sz w:val="24"/>
          <w:szCs w:val="24"/>
        </w:rPr>
        <w:t xml:space="preserve"> travnja </w:t>
      </w:r>
      <w:r w:rsidR="005E3391" w:rsidRPr="007E3D76">
        <w:rPr>
          <w:sz w:val="24"/>
          <w:szCs w:val="24"/>
        </w:rPr>
        <w:t>201</w:t>
      </w:r>
      <w:r w:rsidR="003B09B2" w:rsidRPr="007E3D76">
        <w:rPr>
          <w:sz w:val="24"/>
          <w:szCs w:val="24"/>
        </w:rPr>
        <w:t>8</w:t>
      </w:r>
      <w:r w:rsidR="005E3391" w:rsidRPr="007E3D76">
        <w:rPr>
          <w:sz w:val="24"/>
          <w:szCs w:val="24"/>
        </w:rPr>
        <w:t>.</w:t>
      </w:r>
    </w:p>
    <w:p w:rsidR="005E3391" w:rsidRPr="007E3D76" w:rsidRDefault="005E3391" w:rsidP="005E3391">
      <w:pPr>
        <w:jc w:val="both"/>
      </w:pPr>
    </w:p>
    <w:p w:rsidR="005E3391" w:rsidRDefault="005E3391" w:rsidP="005E3391">
      <w:pPr>
        <w:jc w:val="both"/>
      </w:pPr>
    </w:p>
    <w:p w:rsidR="005E3391" w:rsidRDefault="005E3391" w:rsidP="005E3391"/>
    <w:p w:rsidR="005E3391" w:rsidRDefault="005E3391" w:rsidP="005E3391">
      <w:pPr>
        <w:pStyle w:val="Naslov1"/>
      </w:pPr>
    </w:p>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Pr="004366D9" w:rsidRDefault="005E3391" w:rsidP="005E3391">
      <w:pPr>
        <w:pStyle w:val="Naslov5"/>
        <w:jc w:val="center"/>
        <w:rPr>
          <w:b/>
          <w:sz w:val="24"/>
          <w:szCs w:val="24"/>
        </w:rPr>
      </w:pPr>
      <w:r w:rsidRPr="004366D9">
        <w:rPr>
          <w:b/>
          <w:sz w:val="24"/>
          <w:szCs w:val="24"/>
        </w:rPr>
        <w:t>OBRAZLOŽENJE OSTVARENJA PRIHODA I PRIMITAKA, RASHODA I</w:t>
      </w:r>
    </w:p>
    <w:p w:rsidR="005E3391" w:rsidRPr="004366D9" w:rsidRDefault="005E3391" w:rsidP="005E3391">
      <w:pPr>
        <w:jc w:val="center"/>
        <w:rPr>
          <w:b/>
          <w:sz w:val="24"/>
          <w:szCs w:val="24"/>
        </w:rPr>
      </w:pPr>
    </w:p>
    <w:p w:rsidR="005E3391" w:rsidRPr="004366D9" w:rsidRDefault="005E3391" w:rsidP="005E3391">
      <w:pPr>
        <w:pStyle w:val="Naslov5"/>
        <w:jc w:val="center"/>
        <w:rPr>
          <w:b/>
          <w:sz w:val="24"/>
          <w:szCs w:val="24"/>
        </w:rPr>
      </w:pPr>
      <w:r w:rsidRPr="004366D9">
        <w:rPr>
          <w:b/>
          <w:sz w:val="24"/>
          <w:szCs w:val="24"/>
        </w:rPr>
        <w:t>IZDATAKA  PRORAČUNA GRADA DUBROVNIKA ZA</w:t>
      </w:r>
    </w:p>
    <w:p w:rsidR="005E3391" w:rsidRPr="004366D9" w:rsidRDefault="005E3391" w:rsidP="005E3391">
      <w:pPr>
        <w:jc w:val="center"/>
        <w:rPr>
          <w:b/>
          <w:sz w:val="24"/>
          <w:szCs w:val="24"/>
        </w:rPr>
      </w:pPr>
    </w:p>
    <w:p w:rsidR="005E3391" w:rsidRPr="004366D9" w:rsidRDefault="005E3391" w:rsidP="005E3391">
      <w:pPr>
        <w:pStyle w:val="Naslov5"/>
        <w:jc w:val="center"/>
        <w:rPr>
          <w:b/>
          <w:sz w:val="24"/>
          <w:szCs w:val="24"/>
        </w:rPr>
      </w:pPr>
      <w:r w:rsidRPr="004366D9">
        <w:rPr>
          <w:b/>
          <w:sz w:val="24"/>
          <w:szCs w:val="24"/>
        </w:rPr>
        <w:t>RAZDOBLJE SIJEČANJ – PROSINAC  201</w:t>
      </w:r>
      <w:r w:rsidR="00C13F94">
        <w:rPr>
          <w:b/>
          <w:sz w:val="24"/>
          <w:szCs w:val="24"/>
        </w:rPr>
        <w:t>7</w:t>
      </w:r>
      <w:r w:rsidRPr="004366D9">
        <w:rPr>
          <w:b/>
          <w:sz w:val="24"/>
          <w:szCs w:val="24"/>
        </w:rPr>
        <w:t>. GODINE</w:t>
      </w:r>
    </w:p>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r>
        <w:tab/>
      </w:r>
      <w:r>
        <w:tab/>
      </w:r>
      <w:r>
        <w:tab/>
      </w:r>
      <w:r>
        <w:tab/>
      </w:r>
      <w:r>
        <w:tab/>
      </w:r>
      <w:r>
        <w:tab/>
      </w:r>
      <w:r>
        <w:tab/>
      </w:r>
      <w:r>
        <w:tab/>
      </w:r>
      <w:r>
        <w:tab/>
      </w:r>
    </w:p>
    <w:p w:rsidR="005E3391" w:rsidRDefault="005E3391" w:rsidP="005E3391">
      <w:r>
        <w:t xml:space="preserve">  </w:t>
      </w:r>
    </w:p>
    <w:p w:rsidR="006A2213" w:rsidRDefault="00F24EB0" w:rsidP="00F24EB0">
      <w:r>
        <w:t xml:space="preserve">      </w:t>
      </w:r>
    </w:p>
    <w:p w:rsidR="00DC4E85" w:rsidRDefault="00C21CC0" w:rsidP="00F24EB0">
      <w:r>
        <w:t xml:space="preserve"> </w:t>
      </w:r>
    </w:p>
    <w:p w:rsidR="005E3391" w:rsidRDefault="005E3391" w:rsidP="00F24EB0"/>
    <w:p w:rsidR="005E3391" w:rsidRDefault="005E3391" w:rsidP="00F24EB0"/>
    <w:p w:rsidR="00F24EB0" w:rsidRDefault="00F24EB0" w:rsidP="00F24EB0">
      <w:r>
        <w:t xml:space="preserve">        </w:t>
      </w:r>
      <w:r w:rsidR="00511DAD">
        <w:t xml:space="preserve">      </w:t>
      </w:r>
      <w:r>
        <w:t xml:space="preserve">    </w:t>
      </w:r>
    </w:p>
    <w:p w:rsidR="00757AEA" w:rsidRDefault="00757AEA">
      <w:pPr>
        <w:jc w:val="center"/>
        <w:rPr>
          <w:b/>
          <w:sz w:val="24"/>
        </w:rPr>
      </w:pPr>
    </w:p>
    <w:p w:rsidR="00757AEA" w:rsidRDefault="00757AEA" w:rsidP="00440BAF">
      <w:pPr>
        <w:numPr>
          <w:ilvl w:val="0"/>
          <w:numId w:val="4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lastRenderedPageBreak/>
        <w:t>U</w:t>
      </w:r>
      <w:r w:rsidR="001A44A2">
        <w:rPr>
          <w:b/>
          <w:sz w:val="24"/>
        </w:rPr>
        <w:t xml:space="preserve"> </w:t>
      </w:r>
      <w:r>
        <w:rPr>
          <w:b/>
          <w:sz w:val="24"/>
        </w:rPr>
        <w:t>V</w:t>
      </w:r>
      <w:r w:rsidR="001A44A2">
        <w:rPr>
          <w:b/>
          <w:sz w:val="24"/>
        </w:rPr>
        <w:t xml:space="preserve"> </w:t>
      </w:r>
      <w:r>
        <w:rPr>
          <w:b/>
          <w:sz w:val="24"/>
        </w:rPr>
        <w:t>O</w:t>
      </w:r>
      <w:r w:rsidR="001A44A2">
        <w:rPr>
          <w:b/>
          <w:sz w:val="24"/>
        </w:rPr>
        <w:t xml:space="preserve"> </w:t>
      </w:r>
      <w:r>
        <w:rPr>
          <w:b/>
          <w:sz w:val="24"/>
        </w:rPr>
        <w:t>D</w:t>
      </w:r>
    </w:p>
    <w:p w:rsidR="00440BAF" w:rsidRDefault="00440BAF" w:rsidP="00E302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4"/>
        </w:rPr>
      </w:pP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 xml:space="preserve">Na temelju </w:t>
      </w:r>
      <w:r w:rsidR="00063FC8">
        <w:rPr>
          <w:sz w:val="24"/>
        </w:rPr>
        <w:t>č</w:t>
      </w:r>
      <w:r>
        <w:rPr>
          <w:sz w:val="24"/>
        </w:rPr>
        <w:t xml:space="preserve">lanka </w:t>
      </w:r>
      <w:r w:rsidR="00926B07">
        <w:rPr>
          <w:sz w:val="24"/>
        </w:rPr>
        <w:t>1</w:t>
      </w:r>
      <w:r w:rsidR="00A027DD">
        <w:rPr>
          <w:sz w:val="24"/>
        </w:rPr>
        <w:t>10</w:t>
      </w:r>
      <w:r>
        <w:rPr>
          <w:sz w:val="24"/>
        </w:rPr>
        <w:t>.</w:t>
      </w:r>
      <w:r w:rsidR="0053704A">
        <w:rPr>
          <w:sz w:val="24"/>
        </w:rPr>
        <w:t xml:space="preserve"> </w:t>
      </w:r>
      <w:r>
        <w:rPr>
          <w:sz w:val="24"/>
        </w:rPr>
        <w:t xml:space="preserve">Zakona o proračunu, </w:t>
      </w:r>
      <w:r w:rsidR="00B42DB5">
        <w:rPr>
          <w:sz w:val="24"/>
        </w:rPr>
        <w:t>Pravilnika o polugodišnjem i godišnjem izvještavanju o izvršenju proračuna</w:t>
      </w:r>
      <w:r>
        <w:rPr>
          <w:sz w:val="24"/>
        </w:rPr>
        <w:t xml:space="preserve"> i Odluke o izvršenju proračuna Grada Dubrovnika dužni smo </w:t>
      </w:r>
      <w:r w:rsidR="00926B07">
        <w:rPr>
          <w:sz w:val="24"/>
        </w:rPr>
        <w:t xml:space="preserve">izraditi i donijeti </w:t>
      </w:r>
      <w:r w:rsidR="009946A5">
        <w:rPr>
          <w:sz w:val="24"/>
        </w:rPr>
        <w:t>Izvje</w:t>
      </w:r>
      <w:r w:rsidR="00AF06CC">
        <w:rPr>
          <w:sz w:val="24"/>
        </w:rPr>
        <w:t>šće</w:t>
      </w:r>
      <w:r w:rsidR="009946A5">
        <w:rPr>
          <w:sz w:val="24"/>
        </w:rPr>
        <w:t xml:space="preserve"> o </w:t>
      </w:r>
      <w:r w:rsidR="0072144A">
        <w:rPr>
          <w:sz w:val="24"/>
        </w:rPr>
        <w:t>izvršenju</w:t>
      </w:r>
      <w:r>
        <w:rPr>
          <w:sz w:val="24"/>
        </w:rPr>
        <w:t xml:space="preserve"> </w:t>
      </w:r>
      <w:r w:rsidR="00036AA1">
        <w:rPr>
          <w:sz w:val="24"/>
        </w:rPr>
        <w:t>p</w:t>
      </w:r>
      <w:r>
        <w:rPr>
          <w:sz w:val="24"/>
        </w:rPr>
        <w:t>roračuna Grada Dubrovnika za 20</w:t>
      </w:r>
      <w:r w:rsidR="00507C74">
        <w:rPr>
          <w:sz w:val="24"/>
        </w:rPr>
        <w:t>1</w:t>
      </w:r>
      <w:r w:rsidR="00AF45EB">
        <w:rPr>
          <w:sz w:val="24"/>
        </w:rPr>
        <w:t>7</w:t>
      </w:r>
      <w:r>
        <w:rPr>
          <w:sz w:val="24"/>
        </w:rPr>
        <w:t>. godinu. Zakonom propisan</w:t>
      </w:r>
      <w:r w:rsidR="00AF06CC">
        <w:rPr>
          <w:sz w:val="24"/>
        </w:rPr>
        <w:t>a</w:t>
      </w:r>
      <w:r>
        <w:rPr>
          <w:sz w:val="24"/>
        </w:rPr>
        <w:t xml:space="preserve"> temeljn</w:t>
      </w:r>
      <w:r w:rsidR="00AF06CC">
        <w:rPr>
          <w:sz w:val="24"/>
        </w:rPr>
        <w:t>a</w:t>
      </w:r>
      <w:r>
        <w:rPr>
          <w:sz w:val="24"/>
        </w:rPr>
        <w:t xml:space="preserve"> financijsk</w:t>
      </w:r>
      <w:r w:rsidR="00AF06CC">
        <w:rPr>
          <w:sz w:val="24"/>
        </w:rPr>
        <w:t>a</w:t>
      </w:r>
      <w:r>
        <w:rPr>
          <w:sz w:val="24"/>
        </w:rPr>
        <w:t xml:space="preserve"> izvješ</w:t>
      </w:r>
      <w:r w:rsidR="00AF06CC">
        <w:rPr>
          <w:sz w:val="24"/>
        </w:rPr>
        <w:t>ća</w:t>
      </w:r>
      <w:r w:rsidR="00181A60">
        <w:rPr>
          <w:sz w:val="24"/>
        </w:rPr>
        <w:t xml:space="preserve"> pripremljena</w:t>
      </w:r>
      <w:r>
        <w:rPr>
          <w:sz w:val="24"/>
        </w:rPr>
        <w:t xml:space="preserve"> su u roku i dostavlje</w:t>
      </w:r>
      <w:r w:rsidR="00AF06CC">
        <w:rPr>
          <w:sz w:val="24"/>
        </w:rPr>
        <w:t>na</w:t>
      </w:r>
      <w:r>
        <w:rPr>
          <w:sz w:val="24"/>
        </w:rPr>
        <w:t xml:space="preserve"> nadležnim institucijama</w:t>
      </w:r>
      <w:r w:rsidR="00780BF4">
        <w:rPr>
          <w:sz w:val="24"/>
        </w:rPr>
        <w:t xml:space="preserve"> (Ministarstvu financija i FINI)</w:t>
      </w:r>
      <w:r>
        <w:rPr>
          <w:sz w:val="24"/>
        </w:rPr>
        <w:t xml:space="preserve">. </w:t>
      </w:r>
      <w:r w:rsidR="00AF06CC">
        <w:rPr>
          <w:sz w:val="24"/>
        </w:rPr>
        <w:t xml:space="preserve">U istima su </w:t>
      </w:r>
      <w:r>
        <w:rPr>
          <w:sz w:val="24"/>
        </w:rPr>
        <w:t>sustavno prikazane standardne informacije</w:t>
      </w:r>
      <w:r w:rsidR="00E062B2">
        <w:rPr>
          <w:sz w:val="24"/>
        </w:rPr>
        <w:t>, a koje će</w:t>
      </w:r>
      <w:r w:rsidR="00AF06CC">
        <w:rPr>
          <w:sz w:val="24"/>
        </w:rPr>
        <w:t xml:space="preserve"> se</w:t>
      </w:r>
      <w:r w:rsidR="00E062B2">
        <w:rPr>
          <w:sz w:val="24"/>
        </w:rPr>
        <w:t xml:space="preserve"> </w:t>
      </w:r>
      <w:r w:rsidR="00181A60">
        <w:rPr>
          <w:sz w:val="24"/>
        </w:rPr>
        <w:t xml:space="preserve">u </w:t>
      </w:r>
      <w:r>
        <w:rPr>
          <w:sz w:val="24"/>
        </w:rPr>
        <w:t xml:space="preserve">ovom obrazloženju nadopuniti bilješkama kako bi </w:t>
      </w:r>
      <w:r w:rsidR="00AF06CC">
        <w:rPr>
          <w:sz w:val="24"/>
        </w:rPr>
        <w:t xml:space="preserve">se </w:t>
      </w:r>
      <w:r w:rsidR="00E062B2">
        <w:rPr>
          <w:sz w:val="24"/>
        </w:rPr>
        <w:t xml:space="preserve">detaljnije </w:t>
      </w:r>
      <w:r w:rsidR="00AF06CC">
        <w:rPr>
          <w:sz w:val="24"/>
        </w:rPr>
        <w:t>pojasnilo</w:t>
      </w:r>
      <w:r>
        <w:rPr>
          <w:sz w:val="24"/>
        </w:rPr>
        <w:t xml:space="preserve"> ostvarenje proračuna.</w:t>
      </w: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rsidR="00757AEA" w:rsidRDefault="00757AEA" w:rsidP="00440B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Tijekom 20</w:t>
      </w:r>
      <w:r w:rsidR="00507C74">
        <w:rPr>
          <w:sz w:val="24"/>
        </w:rPr>
        <w:t>1</w:t>
      </w:r>
      <w:r w:rsidR="00AF45EB">
        <w:rPr>
          <w:sz w:val="24"/>
        </w:rPr>
        <w:t>7</w:t>
      </w:r>
      <w:r>
        <w:rPr>
          <w:sz w:val="24"/>
        </w:rPr>
        <w:t xml:space="preserve">. godine  </w:t>
      </w:r>
      <w:r w:rsidR="00FD3DDB">
        <w:rPr>
          <w:sz w:val="24"/>
        </w:rPr>
        <w:t>g</w:t>
      </w:r>
      <w:r>
        <w:rPr>
          <w:sz w:val="24"/>
        </w:rPr>
        <w:t xml:space="preserve">radsko vijeće </w:t>
      </w:r>
      <w:r w:rsidR="00A84AAA">
        <w:rPr>
          <w:sz w:val="24"/>
        </w:rPr>
        <w:t>izvije</w:t>
      </w:r>
      <w:r w:rsidR="00DA0522">
        <w:rPr>
          <w:sz w:val="24"/>
        </w:rPr>
        <w:t>šte</w:t>
      </w:r>
      <w:r w:rsidR="00FD3DDB">
        <w:rPr>
          <w:sz w:val="24"/>
        </w:rPr>
        <w:t>no</w:t>
      </w:r>
      <w:r w:rsidR="00A84AAA">
        <w:rPr>
          <w:sz w:val="24"/>
        </w:rPr>
        <w:t xml:space="preserve"> je </w:t>
      </w:r>
      <w:r>
        <w:rPr>
          <w:sz w:val="24"/>
        </w:rPr>
        <w:t xml:space="preserve">o </w:t>
      </w:r>
      <w:r w:rsidR="00A84AAA">
        <w:rPr>
          <w:sz w:val="24"/>
        </w:rPr>
        <w:t xml:space="preserve">polugodišnjem ostvarenju proračuna, a kao nastavak istog slijedi ovo </w:t>
      </w:r>
      <w:r>
        <w:rPr>
          <w:sz w:val="24"/>
        </w:rPr>
        <w:t>konačn</w:t>
      </w:r>
      <w:r w:rsidR="009946A5">
        <w:rPr>
          <w:sz w:val="24"/>
        </w:rPr>
        <w:t>o</w:t>
      </w:r>
      <w:r>
        <w:rPr>
          <w:sz w:val="24"/>
        </w:rPr>
        <w:t xml:space="preserve"> </w:t>
      </w:r>
      <w:r w:rsidR="009946A5">
        <w:rPr>
          <w:sz w:val="24"/>
        </w:rPr>
        <w:t>izvješće o</w:t>
      </w:r>
      <w:r>
        <w:rPr>
          <w:sz w:val="24"/>
        </w:rPr>
        <w:t xml:space="preserve"> ostvarenj</w:t>
      </w:r>
      <w:r w:rsidR="009946A5">
        <w:rPr>
          <w:sz w:val="24"/>
        </w:rPr>
        <w:t>u</w:t>
      </w:r>
      <w:r>
        <w:rPr>
          <w:sz w:val="24"/>
        </w:rPr>
        <w:t xml:space="preserve"> proračuna Grada Dubrovnika za </w:t>
      </w:r>
      <w:r w:rsidR="00E6224D">
        <w:rPr>
          <w:sz w:val="24"/>
        </w:rPr>
        <w:t>201</w:t>
      </w:r>
      <w:r w:rsidR="00AF45EB">
        <w:rPr>
          <w:sz w:val="24"/>
        </w:rPr>
        <w:t>7</w:t>
      </w:r>
      <w:r w:rsidR="00E6224D">
        <w:rPr>
          <w:sz w:val="24"/>
        </w:rPr>
        <w:t>.</w:t>
      </w:r>
      <w:r>
        <w:rPr>
          <w:sz w:val="24"/>
        </w:rPr>
        <w:t xml:space="preserve"> godinu. Svrha sastavljanja i prezentiranja ovog obrazloženja je pružiti pouzdanu i usporedivu informaciju o poslovanju Grada Dubrovnika</w:t>
      </w:r>
      <w:r w:rsidR="00DA0522">
        <w:rPr>
          <w:sz w:val="24"/>
        </w:rPr>
        <w:t xml:space="preserve"> i njegovih proračunskih korisnika</w:t>
      </w:r>
      <w:r>
        <w:rPr>
          <w:sz w:val="24"/>
        </w:rPr>
        <w:t xml:space="preserve"> u 20</w:t>
      </w:r>
      <w:r w:rsidR="00507C74">
        <w:rPr>
          <w:sz w:val="24"/>
        </w:rPr>
        <w:t>1</w:t>
      </w:r>
      <w:r w:rsidR="00AF45EB">
        <w:rPr>
          <w:sz w:val="24"/>
        </w:rPr>
        <w:t>7</w:t>
      </w:r>
      <w:r>
        <w:rPr>
          <w:sz w:val="24"/>
        </w:rPr>
        <w:t>. godini. Izvješćem o ostvarenju proračuna uspore</w:t>
      </w:r>
      <w:r w:rsidR="00B300F1">
        <w:rPr>
          <w:sz w:val="24"/>
        </w:rPr>
        <w:t xml:space="preserve">đuje se </w:t>
      </w:r>
      <w:r>
        <w:rPr>
          <w:sz w:val="24"/>
        </w:rPr>
        <w:t xml:space="preserve"> ostvaren</w:t>
      </w:r>
      <w:r w:rsidR="00B300F1">
        <w:rPr>
          <w:sz w:val="24"/>
        </w:rPr>
        <w:t>j</w:t>
      </w:r>
      <w:r>
        <w:rPr>
          <w:sz w:val="24"/>
        </w:rPr>
        <w:t>e tekuć</w:t>
      </w:r>
      <w:r w:rsidR="00B300F1">
        <w:rPr>
          <w:sz w:val="24"/>
        </w:rPr>
        <w:t>ih r</w:t>
      </w:r>
      <w:r>
        <w:rPr>
          <w:sz w:val="24"/>
        </w:rPr>
        <w:t>ezultat</w:t>
      </w:r>
      <w:r w:rsidR="00B300F1">
        <w:rPr>
          <w:sz w:val="24"/>
        </w:rPr>
        <w:t>a</w:t>
      </w:r>
      <w:r>
        <w:rPr>
          <w:sz w:val="24"/>
        </w:rPr>
        <w:t xml:space="preserve"> sa zakonski usvojenim proračunom i ostvarenjima u prethodnim godinama, te izvrš</w:t>
      </w:r>
      <w:r w:rsidR="00B300F1">
        <w:rPr>
          <w:sz w:val="24"/>
        </w:rPr>
        <w:t xml:space="preserve">enje </w:t>
      </w:r>
      <w:r>
        <w:rPr>
          <w:sz w:val="24"/>
        </w:rPr>
        <w:t>ili procjenu financijskih uvjeta i rezultata poslovanja.</w:t>
      </w:r>
    </w:p>
    <w:p w:rsidR="00440BAF" w:rsidRDefault="00440BAF" w:rsidP="00440B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2F6C40" w:rsidRDefault="00440BAF" w:rsidP="00440BAF">
      <w:pPr>
        <w:pStyle w:val="BodyText27"/>
      </w:pPr>
      <w:r>
        <w:t>T</w:t>
      </w:r>
      <w:r w:rsidR="00757AEA">
        <w:t xml:space="preserve">emeljni cilj izvješća o ostvarenju proračuna  </w:t>
      </w:r>
      <w:r>
        <w:t xml:space="preserve">je </w:t>
      </w:r>
      <w:r w:rsidR="00757AEA">
        <w:t xml:space="preserve">osigurati informacije upotrebljive za donošenje odluka i razvoj upravljanja, a samo </w:t>
      </w:r>
      <w:r>
        <w:t xml:space="preserve">izvješće </w:t>
      </w:r>
      <w:r w:rsidR="00757AEA">
        <w:t>mora biti podrška upravljanju, internoj kontroli i reviziji.</w:t>
      </w:r>
    </w:p>
    <w:p w:rsidR="00440BAF" w:rsidRDefault="00440BAF" w:rsidP="00440BAF">
      <w:pPr>
        <w:pStyle w:val="BodyText27"/>
      </w:pPr>
    </w:p>
    <w:p w:rsidR="00440BAF" w:rsidRDefault="00440BAF" w:rsidP="00F4405E">
      <w:pPr>
        <w:pStyle w:val="BodyText27"/>
      </w:pPr>
      <w:r w:rsidRPr="00C576DC">
        <w:t xml:space="preserve"> U ovom obrazloženju prikazat</w:t>
      </w:r>
      <w:r w:rsidR="00757AEA" w:rsidRPr="00C576DC">
        <w:t xml:space="preserve"> će</w:t>
      </w:r>
      <w:r w:rsidRPr="00C576DC">
        <w:t xml:space="preserve"> se </w:t>
      </w:r>
      <w:r w:rsidR="00757AEA" w:rsidRPr="00C576DC">
        <w:t xml:space="preserve"> struktur</w:t>
      </w:r>
      <w:r w:rsidRPr="00C576DC">
        <w:t>a</w:t>
      </w:r>
      <w:r w:rsidR="00757AEA" w:rsidRPr="00C576DC">
        <w:t xml:space="preserve"> prihoda i rashod</w:t>
      </w:r>
      <w:r w:rsidR="00543742" w:rsidRPr="00C576DC">
        <w:t>a</w:t>
      </w:r>
      <w:r w:rsidR="00757AEA" w:rsidRPr="00C576DC">
        <w:t xml:space="preserve"> iskazan</w:t>
      </w:r>
      <w:r w:rsidRPr="00C576DC">
        <w:t>a</w:t>
      </w:r>
      <w:r w:rsidR="00757AEA" w:rsidRPr="00C576DC">
        <w:t xml:space="preserve"> u Općem dijelu proračuna</w:t>
      </w:r>
      <w:r w:rsidRPr="00C576DC">
        <w:t>,</w:t>
      </w:r>
      <w:r w:rsidR="00757AEA" w:rsidRPr="00C576DC">
        <w:t xml:space="preserve"> dok će obrazloženje ostvarenja proračuna po upravnim odjelima, u pisanoj formi, dati pročelnici upravnih odjela</w:t>
      </w:r>
      <w:r w:rsidR="00FC4862" w:rsidRPr="00C576DC">
        <w:t xml:space="preserve"> i ono čini sastavni dio ovog</w:t>
      </w:r>
      <w:r w:rsidR="004443B4" w:rsidRPr="00C576DC">
        <w:t xml:space="preserve"> izvješća</w:t>
      </w:r>
      <w:r w:rsidR="00FC4862" w:rsidRPr="00C576DC">
        <w:t>.</w:t>
      </w:r>
      <w:r w:rsidR="00757AEA" w:rsidRPr="00C576DC">
        <w:tab/>
      </w:r>
    </w:p>
    <w:p w:rsidR="00B372DA" w:rsidRDefault="00B372DA" w:rsidP="00F4405E">
      <w:pPr>
        <w:pStyle w:val="BodyText27"/>
      </w:pPr>
    </w:p>
    <w:p w:rsidR="00B372DA" w:rsidRDefault="00B372DA" w:rsidP="00F4405E">
      <w:pPr>
        <w:pStyle w:val="BodyText27"/>
      </w:pPr>
    </w:p>
    <w:p w:rsidR="00B372DA" w:rsidRDefault="00B372DA" w:rsidP="00F4405E">
      <w:pPr>
        <w:pStyle w:val="BodyText27"/>
      </w:pPr>
    </w:p>
    <w:p w:rsidR="00B372DA" w:rsidRDefault="00B372DA" w:rsidP="00F4405E">
      <w:pPr>
        <w:pStyle w:val="BodyText27"/>
      </w:pPr>
    </w:p>
    <w:p w:rsidR="00757AEA" w:rsidRDefault="00757AEA" w:rsidP="00B372DA">
      <w:pPr>
        <w:pStyle w:val="BodyText27"/>
        <w:numPr>
          <w:ilvl w:val="0"/>
          <w:numId w:val="41"/>
        </w:numPr>
        <w:rPr>
          <w:b/>
        </w:rPr>
      </w:pPr>
      <w:r>
        <w:rPr>
          <w:b/>
        </w:rPr>
        <w:t>P</w:t>
      </w:r>
      <w:r w:rsidR="00205470">
        <w:rPr>
          <w:b/>
        </w:rPr>
        <w:t xml:space="preserve"> </w:t>
      </w:r>
      <w:r>
        <w:rPr>
          <w:b/>
        </w:rPr>
        <w:t>R</w:t>
      </w:r>
      <w:r w:rsidR="00205470">
        <w:rPr>
          <w:b/>
        </w:rPr>
        <w:t xml:space="preserve"> </w:t>
      </w:r>
      <w:r>
        <w:rPr>
          <w:b/>
        </w:rPr>
        <w:t>I</w:t>
      </w:r>
      <w:r w:rsidR="00205470">
        <w:rPr>
          <w:b/>
        </w:rPr>
        <w:t xml:space="preserve"> </w:t>
      </w:r>
      <w:r>
        <w:rPr>
          <w:b/>
        </w:rPr>
        <w:t>H</w:t>
      </w:r>
      <w:r w:rsidR="00205470">
        <w:rPr>
          <w:b/>
        </w:rPr>
        <w:t xml:space="preserve"> </w:t>
      </w:r>
      <w:r>
        <w:rPr>
          <w:b/>
        </w:rPr>
        <w:t>O</w:t>
      </w:r>
      <w:r w:rsidR="00205470">
        <w:rPr>
          <w:b/>
        </w:rPr>
        <w:t xml:space="preserve"> </w:t>
      </w:r>
      <w:r>
        <w:rPr>
          <w:b/>
        </w:rPr>
        <w:t>D</w:t>
      </w:r>
      <w:r w:rsidR="00205470">
        <w:rPr>
          <w:b/>
        </w:rPr>
        <w:t xml:space="preserve"> </w:t>
      </w:r>
      <w:r>
        <w:rPr>
          <w:b/>
        </w:rPr>
        <w:t>I</w:t>
      </w:r>
      <w:r>
        <w:rPr>
          <w:b/>
        </w:rPr>
        <w:tab/>
      </w:r>
    </w:p>
    <w:p w:rsidR="00B372DA" w:rsidRDefault="00B372DA" w:rsidP="00B372DA">
      <w:pPr>
        <w:pStyle w:val="BodyText27"/>
        <w:ind w:left="1080" w:firstLine="0"/>
      </w:pPr>
    </w:p>
    <w:p w:rsidR="00B372DA" w:rsidRPr="00C40E5E" w:rsidRDefault="00B372DA" w:rsidP="00B372DA">
      <w:pPr>
        <w:pStyle w:val="BodyText27"/>
        <w:ind w:left="1080" w:firstLine="0"/>
      </w:pP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sidR="00ED5745">
        <w:rPr>
          <w:sz w:val="24"/>
        </w:rPr>
        <w:tab/>
      </w:r>
      <w:r>
        <w:rPr>
          <w:sz w:val="24"/>
        </w:rPr>
        <w:t>Proračunski prihodi predstavljaju povećanje ekonomskih koristi tijekom izvještajnog razdoblja u obliku priljeva novca i novčanih ekvivalenata. Temeljno se klasificiraju na prihode od poslovanja i prihode od prodaje nefinancijske imovine. Dalje se klasificiraju na prihode od poreza, prihode od doprinosa, potpore, prihode od imovine, prihode od administrativnih pristojbi i po</w:t>
      </w:r>
      <w:r w:rsidR="00166779">
        <w:rPr>
          <w:sz w:val="24"/>
        </w:rPr>
        <w:t xml:space="preserve"> posebnim propisima, te</w:t>
      </w:r>
      <w:r>
        <w:rPr>
          <w:sz w:val="24"/>
        </w:rPr>
        <w:t xml:space="preserve"> ostale prihode. Prihodi od prodaje nefinancijske imovine klasificiraju se prema vrstama prodane nefinancijske imovine. Prihodi se priznaju u razdoblju u kojem su nastali uz uvjet da su i naplaćeni u navedenom razdoblju.</w:t>
      </w:r>
      <w:r w:rsidR="002F6C40">
        <w:rPr>
          <w:sz w:val="24"/>
        </w:rPr>
        <w:t xml:space="preserve"> </w:t>
      </w:r>
      <w:r>
        <w:rPr>
          <w:sz w:val="24"/>
        </w:rPr>
        <w:t>Ovakva klasifikacija proračunskih prihoda pruža podatke o pojedinim vrstama i omogućuje praćenje udjela pojedine vrste prihoda u ukupnim prihodima.</w:t>
      </w:r>
    </w:p>
    <w:p w:rsidR="007F6DBA" w:rsidRDefault="00757AEA">
      <w:pPr>
        <w:pStyle w:val="BodyText24"/>
        <w:tabs>
          <w:tab w:val="clear" w:pos="1080"/>
          <w:tab w:val="left" w:pos="-720"/>
          <w:tab w:val="left" w:pos="1"/>
        </w:tabs>
      </w:pPr>
      <w:r>
        <w:t xml:space="preserve"> </w:t>
      </w:r>
    </w:p>
    <w:p w:rsidR="009E2F2E" w:rsidRDefault="009E2F2E">
      <w:pPr>
        <w:pStyle w:val="BodyText24"/>
        <w:tabs>
          <w:tab w:val="clear" w:pos="1080"/>
          <w:tab w:val="left" w:pos="-720"/>
          <w:tab w:val="left" w:pos="1"/>
        </w:tabs>
      </w:pPr>
    </w:p>
    <w:p w:rsidR="00B372DA" w:rsidRDefault="00B372DA">
      <w:pPr>
        <w:pStyle w:val="BodyText24"/>
        <w:tabs>
          <w:tab w:val="clear" w:pos="1080"/>
          <w:tab w:val="left" w:pos="-720"/>
          <w:tab w:val="left" w:pos="1"/>
        </w:tabs>
      </w:pPr>
    </w:p>
    <w:p w:rsidR="00B86412" w:rsidRDefault="00B86412">
      <w:pPr>
        <w:pStyle w:val="BodyText24"/>
        <w:tabs>
          <w:tab w:val="clear" w:pos="1080"/>
          <w:tab w:val="left" w:pos="-720"/>
          <w:tab w:val="left" w:pos="1"/>
        </w:tabs>
      </w:pPr>
    </w:p>
    <w:p w:rsidR="00173BF4" w:rsidRDefault="00173BF4">
      <w:pPr>
        <w:pStyle w:val="BodyText24"/>
        <w:tabs>
          <w:tab w:val="clear" w:pos="1080"/>
          <w:tab w:val="left" w:pos="-720"/>
          <w:tab w:val="left" w:pos="1"/>
        </w:tabs>
      </w:pPr>
    </w:p>
    <w:p w:rsidR="00B372DA" w:rsidRDefault="00B372DA">
      <w:pPr>
        <w:pStyle w:val="BodyText24"/>
        <w:tabs>
          <w:tab w:val="clear" w:pos="1080"/>
          <w:tab w:val="left" w:pos="-720"/>
          <w:tab w:val="left" w:pos="1"/>
        </w:tabs>
      </w:pPr>
    </w:p>
    <w:p w:rsidR="00757AEA" w:rsidRPr="00FF0FEB" w:rsidRDefault="00757AEA" w:rsidP="00FF0FEB">
      <w:pPr>
        <w:pStyle w:val="BodyText24"/>
        <w:tabs>
          <w:tab w:val="clear" w:pos="1080"/>
          <w:tab w:val="left" w:pos="-720"/>
          <w:tab w:val="left" w:pos="1"/>
        </w:tabs>
        <w:jc w:val="left"/>
        <w:rPr>
          <w:b/>
        </w:rPr>
      </w:pPr>
      <w:r w:rsidRPr="00FF0FEB">
        <w:rPr>
          <w:b/>
        </w:rPr>
        <w:t xml:space="preserve"> Tab</w:t>
      </w:r>
      <w:r w:rsidR="00D53726">
        <w:rPr>
          <w:b/>
        </w:rPr>
        <w:t xml:space="preserve">lica </w:t>
      </w:r>
      <w:r w:rsidRPr="00FF0FEB">
        <w:rPr>
          <w:b/>
        </w:rPr>
        <w:t xml:space="preserve"> br.1   Prihodi proračuna Grada Dubrovnika</w:t>
      </w:r>
      <w:r w:rsidRPr="00FF0FEB">
        <w:rPr>
          <w:b/>
        </w:rPr>
        <w:tab/>
      </w:r>
    </w:p>
    <w:p w:rsidR="00541EAF"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sz w:val="24"/>
        </w:rPr>
        <w:tab/>
      </w:r>
      <w:r w:rsidRPr="009320F6">
        <w:rPr>
          <w:b/>
          <w:sz w:val="24"/>
        </w:rPr>
        <w:t xml:space="preserve">                     </w:t>
      </w:r>
      <w:r w:rsidR="009320F6" w:rsidRPr="009320F6">
        <w:rPr>
          <w:b/>
          <w:sz w:val="24"/>
        </w:rPr>
        <w:t xml:space="preserve">      (bez proračunskih korisnika)</w:t>
      </w:r>
      <w:r w:rsidRPr="009320F6">
        <w:rPr>
          <w:b/>
          <w:sz w:val="24"/>
        </w:rPr>
        <w:t xml:space="preserve">         </w:t>
      </w:r>
      <w:r w:rsidR="00451B78">
        <w:rPr>
          <w:b/>
          <w:sz w:val="24"/>
        </w:rPr>
        <w:t>u 000</w:t>
      </w:r>
      <w:r w:rsidRPr="009320F6">
        <w:rPr>
          <w:b/>
          <w:sz w:val="24"/>
        </w:rPr>
        <w:t xml:space="preserve">  </w:t>
      </w:r>
      <w:r w:rsidR="00451B78">
        <w:rPr>
          <w:b/>
          <w:sz w:val="24"/>
        </w:rPr>
        <w:t>kuna</w:t>
      </w:r>
      <w:r w:rsidRPr="009320F6">
        <w:rPr>
          <w:b/>
          <w:sz w:val="24"/>
        </w:rPr>
        <w:t xml:space="preserve">    </w:t>
      </w:r>
    </w:p>
    <w:p w:rsidR="00757AEA" w:rsidRPr="009320F6"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9320F6">
        <w:rPr>
          <w:b/>
          <w:sz w:val="24"/>
        </w:rPr>
        <w:t xml:space="preserve">                          </w:t>
      </w:r>
    </w:p>
    <w:tbl>
      <w:tblPr>
        <w:tblW w:w="66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gridCol w:w="1134"/>
        <w:gridCol w:w="1228"/>
        <w:gridCol w:w="1040"/>
      </w:tblGrid>
      <w:tr w:rsidR="00451B78" w:rsidTr="00451B78">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rsidP="00F24EB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823"/>
              </w:tabs>
              <w:jc w:val="both"/>
              <w:rPr>
                <w:b/>
                <w:sz w:val="24"/>
              </w:rPr>
            </w:pPr>
            <w:r>
              <w:rPr>
                <w:b/>
                <w:sz w:val="24"/>
              </w:rPr>
              <w:t>P R I H O D I</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rsidP="00AF45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Ostv.  201</w:t>
            </w:r>
            <w:r w:rsidR="00AF45EB">
              <w:rPr>
                <w:b/>
                <w:sz w:val="22"/>
              </w:rPr>
              <w:t>6</w:t>
            </w:r>
            <w:r>
              <w:rPr>
                <w:b/>
                <w:sz w:val="22"/>
              </w:rPr>
              <w:t xml:space="preserve">.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rsidP="00AF45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Ostv.  201</w:t>
            </w:r>
            <w:r w:rsidR="00AF45EB">
              <w:rPr>
                <w:b/>
                <w:sz w:val="22"/>
              </w:rPr>
              <w:t>7</w:t>
            </w:r>
            <w:r>
              <w:rPr>
                <w:b/>
                <w:sz w:val="22"/>
              </w:rPr>
              <w:t xml:space="preserve">.  </w:t>
            </w:r>
          </w:p>
        </w:tc>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3/2</w:t>
            </w:r>
          </w:p>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index </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451B78" w:rsidP="002477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Prihodi od poreza</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156.978</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54264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153.584</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BB369A"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B030F0">
              <w:rPr>
                <w:sz w:val="24"/>
                <w:szCs w:val="24"/>
              </w:rPr>
              <w:t>97,84</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Pomoći</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18.146</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B030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20.191</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B030F0"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B030F0">
              <w:rPr>
                <w:sz w:val="24"/>
                <w:szCs w:val="24"/>
              </w:rPr>
              <w:t>111,27</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Prihodi od imovine</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115.800</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B030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134.230</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B030F0"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B030F0">
              <w:rPr>
                <w:sz w:val="24"/>
                <w:szCs w:val="24"/>
              </w:rPr>
              <w:t>115,91</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administrativnih pristojbi</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88.503</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EA76E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87.134</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EA76EC"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EA76EC">
              <w:rPr>
                <w:sz w:val="24"/>
                <w:szCs w:val="24"/>
              </w:rPr>
              <w:t>98,45</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Pr="00A67417"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A67417">
              <w:rPr>
                <w:sz w:val="24"/>
              </w:rPr>
              <w:t>Ostali prihodi</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 xml:space="preserve">6.151  </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99563D" w:rsidP="00F6131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3.980</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99563D" w:rsidP="007E29D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99563D">
              <w:rPr>
                <w:sz w:val="24"/>
                <w:szCs w:val="24"/>
              </w:rPr>
              <w:t>64,70</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prodaje ne proizvedene imovine</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415</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C3226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27</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C3226B"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C3226B">
              <w:rPr>
                <w:sz w:val="24"/>
                <w:szCs w:val="24"/>
              </w:rPr>
              <w:t>6,51</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prodaje proizvedene imovine</w:t>
            </w:r>
          </w:p>
        </w:tc>
        <w:tc>
          <w:tcPr>
            <w:tcW w:w="1134" w:type="dxa"/>
            <w:tcBorders>
              <w:top w:val="single" w:sz="6" w:space="0" w:color="auto"/>
              <w:left w:val="single" w:sz="6" w:space="0" w:color="auto"/>
              <w:bottom w:val="single" w:sz="6" w:space="0" w:color="auto"/>
              <w:right w:val="single" w:sz="6" w:space="0" w:color="auto"/>
            </w:tcBorders>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1.392</w:t>
            </w:r>
          </w:p>
        </w:tc>
        <w:tc>
          <w:tcPr>
            <w:tcW w:w="1228" w:type="dxa"/>
            <w:tcBorders>
              <w:top w:val="single" w:sz="6" w:space="0" w:color="auto"/>
              <w:left w:val="single" w:sz="6" w:space="0" w:color="auto"/>
              <w:bottom w:val="single" w:sz="6" w:space="0" w:color="auto"/>
              <w:right w:val="single" w:sz="6" w:space="0" w:color="auto"/>
            </w:tcBorders>
            <w:vAlign w:val="center"/>
          </w:tcPr>
          <w:p w:rsidR="00451B78" w:rsidRDefault="00C3226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2.530</w:t>
            </w:r>
          </w:p>
        </w:tc>
        <w:tc>
          <w:tcPr>
            <w:tcW w:w="1040" w:type="dxa"/>
            <w:tcBorders>
              <w:top w:val="single" w:sz="6" w:space="0" w:color="auto"/>
              <w:left w:val="single" w:sz="6" w:space="0" w:color="auto"/>
              <w:bottom w:val="single" w:sz="6" w:space="0" w:color="auto"/>
              <w:right w:val="single" w:sz="6" w:space="0" w:color="auto"/>
            </w:tcBorders>
            <w:vAlign w:val="center"/>
          </w:tcPr>
          <w:p w:rsidR="00451B78" w:rsidRPr="0080567F" w:rsidRDefault="00C3226B"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C3226B">
              <w:rPr>
                <w:sz w:val="24"/>
                <w:szCs w:val="24"/>
              </w:rPr>
              <w:t>181,75</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Primici od financijske imovine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86</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10755B" w:rsidP="000F3C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9</w:t>
            </w:r>
            <w:r w:rsidR="00D222D1">
              <w:rPr>
                <w:sz w:val="24"/>
              </w:rPr>
              <w:t>4</w:t>
            </w:r>
          </w:p>
        </w:tc>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Pr="0080567F" w:rsidRDefault="006D54F2" w:rsidP="00813EC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Pr>
                <w:sz w:val="24"/>
                <w:szCs w:val="24"/>
              </w:rPr>
              <w:t>109,30</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Primici od zaduživanja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8B6C9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Pr="0080567F" w:rsidRDefault="00451B78" w:rsidP="001A31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8B6C99">
              <w:rPr>
                <w:sz w:val="24"/>
                <w:szCs w:val="24"/>
              </w:rPr>
              <w:t>0</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Višak prih.iz prethod. razdoblja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25.810</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Pr="0060233E" w:rsidRDefault="00863E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60233E">
              <w:rPr>
                <w:sz w:val="24"/>
              </w:rPr>
              <w:t>3.123</w:t>
            </w:r>
          </w:p>
        </w:tc>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Pr="0080567F" w:rsidRDefault="00F13D68" w:rsidP="001A16A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F13D68">
              <w:rPr>
                <w:sz w:val="24"/>
                <w:szCs w:val="24"/>
              </w:rPr>
              <w:t>1</w:t>
            </w:r>
            <w:r w:rsidR="001A16A3">
              <w:rPr>
                <w:sz w:val="24"/>
                <w:szCs w:val="24"/>
              </w:rPr>
              <w:t>2</w:t>
            </w:r>
            <w:r w:rsidRPr="00F13D68">
              <w:rPr>
                <w:sz w:val="24"/>
                <w:szCs w:val="24"/>
              </w:rPr>
              <w:t>,</w:t>
            </w:r>
            <w:r w:rsidR="001A16A3">
              <w:rPr>
                <w:sz w:val="24"/>
                <w:szCs w:val="24"/>
              </w:rPr>
              <w:t>10</w:t>
            </w:r>
          </w:p>
        </w:tc>
      </w:tr>
      <w:tr w:rsidR="00451B78" w:rsidTr="00451B78">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451B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Ukupno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AF45EB" w:rsidP="006D45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413.281</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Default="00366645" w:rsidP="001A16A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40</w:t>
            </w:r>
            <w:r w:rsidR="001A16A3">
              <w:rPr>
                <w:sz w:val="24"/>
              </w:rPr>
              <w:t>4</w:t>
            </w:r>
            <w:r>
              <w:rPr>
                <w:sz w:val="24"/>
              </w:rPr>
              <w:t>.</w:t>
            </w:r>
            <w:r w:rsidR="001A16A3">
              <w:rPr>
                <w:sz w:val="24"/>
              </w:rPr>
              <w:t>893</w:t>
            </w:r>
          </w:p>
        </w:tc>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451B78" w:rsidRPr="0080567F" w:rsidRDefault="006265CA" w:rsidP="0040090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6265CA">
              <w:rPr>
                <w:sz w:val="24"/>
                <w:szCs w:val="24"/>
              </w:rPr>
              <w:t>9</w:t>
            </w:r>
            <w:r w:rsidR="00400909">
              <w:rPr>
                <w:sz w:val="24"/>
                <w:szCs w:val="24"/>
              </w:rPr>
              <w:t>7</w:t>
            </w:r>
            <w:r w:rsidRPr="006265CA">
              <w:rPr>
                <w:sz w:val="24"/>
                <w:szCs w:val="24"/>
              </w:rPr>
              <w:t>,</w:t>
            </w:r>
            <w:r w:rsidR="00400909">
              <w:rPr>
                <w:sz w:val="24"/>
                <w:szCs w:val="24"/>
              </w:rPr>
              <w:t>97</w:t>
            </w:r>
          </w:p>
        </w:tc>
      </w:tr>
    </w:tbl>
    <w:p w:rsidR="00E860E7" w:rsidRDefault="00E860E7" w:rsidP="00654345">
      <w:pPr>
        <w:jc w:val="both"/>
        <w:rPr>
          <w:noProof/>
          <w:sz w:val="24"/>
          <w:szCs w:val="24"/>
        </w:rPr>
      </w:pPr>
    </w:p>
    <w:p w:rsidR="00541EAF" w:rsidRDefault="00541EAF" w:rsidP="00654345">
      <w:pPr>
        <w:jc w:val="both"/>
        <w:rPr>
          <w:noProof/>
          <w:sz w:val="24"/>
          <w:szCs w:val="24"/>
        </w:rPr>
      </w:pPr>
    </w:p>
    <w:p w:rsidR="00541EAF" w:rsidRDefault="00541EAF" w:rsidP="00654345">
      <w:pPr>
        <w:jc w:val="both"/>
        <w:rPr>
          <w:noProof/>
          <w:sz w:val="24"/>
          <w:szCs w:val="24"/>
        </w:rPr>
      </w:pPr>
    </w:p>
    <w:p w:rsidR="00541EAF" w:rsidRDefault="00541EAF" w:rsidP="00654345">
      <w:pPr>
        <w:jc w:val="both"/>
        <w:rPr>
          <w:noProof/>
          <w:sz w:val="24"/>
          <w:szCs w:val="24"/>
        </w:rPr>
      </w:pPr>
    </w:p>
    <w:p w:rsidR="009E2F2E" w:rsidRDefault="00E860E7" w:rsidP="00654345">
      <w:pPr>
        <w:jc w:val="both"/>
        <w:rPr>
          <w:sz w:val="24"/>
          <w:szCs w:val="24"/>
        </w:rPr>
      </w:pPr>
      <w:r>
        <w:rPr>
          <w:noProof/>
          <w:sz w:val="24"/>
          <w:szCs w:val="24"/>
        </w:rPr>
        <w:drawing>
          <wp:inline distT="0" distB="0" distL="0" distR="0">
            <wp:extent cx="5614035" cy="3238583"/>
            <wp:effectExtent l="19050" t="0" r="571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614035" cy="3238583"/>
                    </a:xfrm>
                    <a:prstGeom prst="rect">
                      <a:avLst/>
                    </a:prstGeom>
                    <a:noFill/>
                    <a:ln w="9525">
                      <a:noFill/>
                      <a:miter lim="800000"/>
                      <a:headEnd/>
                      <a:tailEnd/>
                    </a:ln>
                  </pic:spPr>
                </pic:pic>
              </a:graphicData>
            </a:graphic>
          </wp:inline>
        </w:drawing>
      </w:r>
    </w:p>
    <w:p w:rsidR="00A72743" w:rsidRDefault="00A72743" w:rsidP="00654345">
      <w:pPr>
        <w:jc w:val="both"/>
        <w:rPr>
          <w:sz w:val="24"/>
          <w:szCs w:val="24"/>
        </w:rPr>
      </w:pPr>
    </w:p>
    <w:p w:rsidR="00A72743" w:rsidRDefault="00A72743" w:rsidP="00654345">
      <w:pPr>
        <w:jc w:val="both"/>
        <w:rPr>
          <w:sz w:val="24"/>
          <w:szCs w:val="24"/>
        </w:rPr>
      </w:pPr>
    </w:p>
    <w:p w:rsidR="00541EAF" w:rsidRDefault="00A72743" w:rsidP="00654345">
      <w:pPr>
        <w:jc w:val="both"/>
        <w:rPr>
          <w:sz w:val="24"/>
          <w:szCs w:val="24"/>
        </w:rPr>
      </w:pPr>
      <w:r>
        <w:rPr>
          <w:sz w:val="24"/>
          <w:szCs w:val="24"/>
        </w:rPr>
        <w:t xml:space="preserve">    </w:t>
      </w:r>
      <w:r w:rsidR="001F06D8">
        <w:rPr>
          <w:sz w:val="24"/>
          <w:szCs w:val="24"/>
        </w:rPr>
        <w:tab/>
      </w:r>
    </w:p>
    <w:p w:rsidR="001F06D8" w:rsidRDefault="00A72743" w:rsidP="00B01DAC">
      <w:pPr>
        <w:ind w:firstLine="720"/>
        <w:jc w:val="both"/>
        <w:rPr>
          <w:sz w:val="24"/>
          <w:szCs w:val="24"/>
        </w:rPr>
      </w:pPr>
      <w:r>
        <w:rPr>
          <w:sz w:val="24"/>
          <w:szCs w:val="24"/>
        </w:rPr>
        <w:t xml:space="preserve"> </w:t>
      </w:r>
      <w:r w:rsidR="00DA3172" w:rsidRPr="00755ED2">
        <w:rPr>
          <w:sz w:val="24"/>
          <w:szCs w:val="24"/>
        </w:rPr>
        <w:t>Ako pogledamo strukturu prihoda ostvarenih  20</w:t>
      </w:r>
      <w:r w:rsidR="00BD7F87" w:rsidRPr="00755ED2">
        <w:rPr>
          <w:sz w:val="24"/>
          <w:szCs w:val="24"/>
        </w:rPr>
        <w:t>1</w:t>
      </w:r>
      <w:r w:rsidR="0080567F">
        <w:rPr>
          <w:sz w:val="24"/>
          <w:szCs w:val="24"/>
        </w:rPr>
        <w:t>7</w:t>
      </w:r>
      <w:r w:rsidR="00DA3172" w:rsidRPr="00755ED2">
        <w:rPr>
          <w:sz w:val="24"/>
          <w:szCs w:val="24"/>
        </w:rPr>
        <w:t>. godini uočavamo da prihodi od poreza</w:t>
      </w:r>
      <w:r w:rsidR="00DA3172" w:rsidRPr="00755ED2">
        <w:rPr>
          <w:b/>
        </w:rPr>
        <w:t xml:space="preserve"> </w:t>
      </w:r>
      <w:r w:rsidR="00DA3172" w:rsidRPr="006437BA">
        <w:rPr>
          <w:sz w:val="24"/>
          <w:szCs w:val="24"/>
        </w:rPr>
        <w:t>čin</w:t>
      </w:r>
      <w:r w:rsidR="00DA3172" w:rsidRPr="00826054">
        <w:rPr>
          <w:sz w:val="24"/>
          <w:szCs w:val="24"/>
        </w:rPr>
        <w:t xml:space="preserve">e </w:t>
      </w:r>
      <w:r w:rsidR="003005B5" w:rsidRPr="00826054">
        <w:rPr>
          <w:sz w:val="24"/>
          <w:szCs w:val="24"/>
        </w:rPr>
        <w:t>3</w:t>
      </w:r>
      <w:r w:rsidR="00755ED2" w:rsidRPr="00826054">
        <w:rPr>
          <w:sz w:val="24"/>
          <w:szCs w:val="24"/>
        </w:rPr>
        <w:t>7</w:t>
      </w:r>
      <w:r w:rsidR="003005B5" w:rsidRPr="00826054">
        <w:rPr>
          <w:sz w:val="24"/>
          <w:szCs w:val="24"/>
        </w:rPr>
        <w:t>,</w:t>
      </w:r>
      <w:r w:rsidR="006437BA" w:rsidRPr="00826054">
        <w:rPr>
          <w:sz w:val="24"/>
          <w:szCs w:val="24"/>
        </w:rPr>
        <w:t>9</w:t>
      </w:r>
      <w:r w:rsidR="00B82A14">
        <w:rPr>
          <w:sz w:val="24"/>
          <w:szCs w:val="24"/>
        </w:rPr>
        <w:t>3</w:t>
      </w:r>
      <w:r w:rsidR="000D3DBA" w:rsidRPr="00826054">
        <w:rPr>
          <w:sz w:val="24"/>
          <w:szCs w:val="24"/>
        </w:rPr>
        <w:t xml:space="preserve"> </w:t>
      </w:r>
      <w:r w:rsidR="00DA3172" w:rsidRPr="00826054">
        <w:rPr>
          <w:sz w:val="24"/>
          <w:szCs w:val="24"/>
        </w:rPr>
        <w:t>% ukupnih prihoda</w:t>
      </w:r>
      <w:r w:rsidR="000A587C" w:rsidRPr="00826054">
        <w:rPr>
          <w:sz w:val="24"/>
          <w:szCs w:val="24"/>
        </w:rPr>
        <w:t xml:space="preserve">. </w:t>
      </w:r>
      <w:r w:rsidR="007E4490" w:rsidRPr="00826054">
        <w:rPr>
          <w:sz w:val="24"/>
          <w:szCs w:val="24"/>
        </w:rPr>
        <w:t xml:space="preserve">Prihodi od imovine druga su po veličini grupa prihoda i čine </w:t>
      </w:r>
      <w:r w:rsidR="00826054" w:rsidRPr="00826054">
        <w:rPr>
          <w:sz w:val="24"/>
          <w:szCs w:val="24"/>
        </w:rPr>
        <w:t>33</w:t>
      </w:r>
      <w:r w:rsidR="00694556">
        <w:rPr>
          <w:sz w:val="24"/>
          <w:szCs w:val="24"/>
        </w:rPr>
        <w:t>%</w:t>
      </w:r>
      <w:r w:rsidR="007E4490" w:rsidRPr="00826054">
        <w:rPr>
          <w:sz w:val="24"/>
          <w:szCs w:val="24"/>
        </w:rPr>
        <w:t xml:space="preserve">  ukupnih prihoda</w:t>
      </w:r>
      <w:r w:rsidR="00755ED2" w:rsidRPr="0080567F">
        <w:rPr>
          <w:color w:val="FF0000"/>
          <w:sz w:val="24"/>
          <w:szCs w:val="24"/>
        </w:rPr>
        <w:t>.</w:t>
      </w:r>
      <w:r w:rsidR="007E4490" w:rsidRPr="0080567F">
        <w:rPr>
          <w:color w:val="FF0000"/>
          <w:sz w:val="24"/>
          <w:szCs w:val="24"/>
        </w:rPr>
        <w:t xml:space="preserve"> </w:t>
      </w:r>
      <w:r w:rsidR="00DA3172" w:rsidRPr="00B30046">
        <w:rPr>
          <w:sz w:val="24"/>
          <w:szCs w:val="24"/>
        </w:rPr>
        <w:t>Prihodi od administrativnih pristojbi čin</w:t>
      </w:r>
      <w:r w:rsidR="00FC41FD" w:rsidRPr="00B30046">
        <w:rPr>
          <w:sz w:val="24"/>
          <w:szCs w:val="24"/>
        </w:rPr>
        <w:t>e</w:t>
      </w:r>
      <w:r w:rsidR="00DA3172" w:rsidRPr="00B30046">
        <w:rPr>
          <w:sz w:val="24"/>
          <w:szCs w:val="24"/>
        </w:rPr>
        <w:t xml:space="preserve"> </w:t>
      </w:r>
      <w:r w:rsidR="00F06EDD" w:rsidRPr="00B30046">
        <w:rPr>
          <w:sz w:val="24"/>
          <w:szCs w:val="24"/>
        </w:rPr>
        <w:t>21,</w:t>
      </w:r>
      <w:r w:rsidR="00B30046" w:rsidRPr="00B30046">
        <w:rPr>
          <w:sz w:val="24"/>
          <w:szCs w:val="24"/>
        </w:rPr>
        <w:t>5</w:t>
      </w:r>
      <w:r w:rsidR="0003772D">
        <w:rPr>
          <w:sz w:val="24"/>
          <w:szCs w:val="24"/>
        </w:rPr>
        <w:t>2</w:t>
      </w:r>
      <w:r w:rsidR="00BD7F87" w:rsidRPr="00B30046">
        <w:rPr>
          <w:sz w:val="24"/>
          <w:szCs w:val="24"/>
        </w:rPr>
        <w:t xml:space="preserve"> </w:t>
      </w:r>
      <w:r w:rsidR="00DA3172" w:rsidRPr="00B30046">
        <w:rPr>
          <w:sz w:val="24"/>
          <w:szCs w:val="24"/>
        </w:rPr>
        <w:t>% ukupnih prihoda</w:t>
      </w:r>
      <w:r w:rsidR="00063CA2" w:rsidRPr="00B30046">
        <w:rPr>
          <w:sz w:val="24"/>
          <w:szCs w:val="24"/>
        </w:rPr>
        <w:t xml:space="preserve">, </w:t>
      </w:r>
      <w:r w:rsidR="0045458E" w:rsidRPr="00C46D54">
        <w:rPr>
          <w:sz w:val="24"/>
          <w:szCs w:val="24"/>
        </w:rPr>
        <w:t>dok su</w:t>
      </w:r>
      <w:r w:rsidR="00063CA2" w:rsidRPr="00C46D54">
        <w:rPr>
          <w:sz w:val="24"/>
          <w:szCs w:val="24"/>
        </w:rPr>
        <w:t xml:space="preserve"> </w:t>
      </w:r>
      <w:r w:rsidR="00063CA2" w:rsidRPr="00E965D2">
        <w:rPr>
          <w:sz w:val="24"/>
          <w:szCs w:val="24"/>
        </w:rPr>
        <w:t>p</w:t>
      </w:r>
      <w:r w:rsidR="00470833" w:rsidRPr="00E965D2">
        <w:rPr>
          <w:sz w:val="24"/>
          <w:szCs w:val="24"/>
        </w:rPr>
        <w:t>rim</w:t>
      </w:r>
      <w:r w:rsidR="00470833" w:rsidRPr="00A91476">
        <w:rPr>
          <w:sz w:val="24"/>
          <w:szCs w:val="24"/>
        </w:rPr>
        <w:t xml:space="preserve">ici od financijske imovine </w:t>
      </w:r>
      <w:r w:rsidR="00F06EDD" w:rsidRPr="00A91476">
        <w:rPr>
          <w:sz w:val="24"/>
          <w:szCs w:val="24"/>
        </w:rPr>
        <w:t xml:space="preserve">za </w:t>
      </w:r>
      <w:r w:rsidR="00B30046" w:rsidRPr="00A91476">
        <w:rPr>
          <w:sz w:val="24"/>
          <w:szCs w:val="24"/>
        </w:rPr>
        <w:t>9,3</w:t>
      </w:r>
      <w:r w:rsidR="00F06EDD" w:rsidRPr="00A91476">
        <w:rPr>
          <w:sz w:val="24"/>
          <w:szCs w:val="24"/>
        </w:rPr>
        <w:t xml:space="preserve"> </w:t>
      </w:r>
      <w:r w:rsidR="003005B5" w:rsidRPr="00A91476">
        <w:rPr>
          <w:sz w:val="24"/>
          <w:szCs w:val="24"/>
        </w:rPr>
        <w:t xml:space="preserve"> % </w:t>
      </w:r>
      <w:r w:rsidR="00F06EDD" w:rsidRPr="00A91476">
        <w:rPr>
          <w:sz w:val="24"/>
          <w:szCs w:val="24"/>
        </w:rPr>
        <w:t>već</w:t>
      </w:r>
      <w:r w:rsidR="003005B5" w:rsidRPr="00A91476">
        <w:rPr>
          <w:sz w:val="24"/>
          <w:szCs w:val="24"/>
        </w:rPr>
        <w:t>i</w:t>
      </w:r>
      <w:r w:rsidR="00470833" w:rsidRPr="00A91476">
        <w:rPr>
          <w:sz w:val="24"/>
          <w:szCs w:val="24"/>
        </w:rPr>
        <w:t xml:space="preserve"> nego </w:t>
      </w:r>
      <w:r w:rsidR="00343D93" w:rsidRPr="00A91476">
        <w:rPr>
          <w:sz w:val="24"/>
          <w:szCs w:val="24"/>
        </w:rPr>
        <w:t>201</w:t>
      </w:r>
      <w:r w:rsidR="00B30046" w:rsidRPr="00A91476">
        <w:rPr>
          <w:sz w:val="24"/>
          <w:szCs w:val="24"/>
        </w:rPr>
        <w:t>6</w:t>
      </w:r>
      <w:r w:rsidR="00343D93" w:rsidRPr="00A91476">
        <w:rPr>
          <w:sz w:val="24"/>
          <w:szCs w:val="24"/>
        </w:rPr>
        <w:t>. godine</w:t>
      </w:r>
      <w:r w:rsidR="00F06EDD" w:rsidRPr="00A91476">
        <w:rPr>
          <w:sz w:val="24"/>
          <w:szCs w:val="24"/>
        </w:rPr>
        <w:t>.</w:t>
      </w:r>
      <w:r w:rsidR="00C576DC" w:rsidRPr="00A91476">
        <w:rPr>
          <w:sz w:val="24"/>
          <w:szCs w:val="24"/>
        </w:rPr>
        <w:t xml:space="preserve"> </w:t>
      </w:r>
    </w:p>
    <w:p w:rsidR="00CB32D0" w:rsidRPr="006671FE" w:rsidRDefault="000F5DF5" w:rsidP="001F06D8">
      <w:pPr>
        <w:ind w:firstLine="720"/>
        <w:jc w:val="both"/>
        <w:rPr>
          <w:sz w:val="24"/>
          <w:szCs w:val="24"/>
        </w:rPr>
      </w:pPr>
      <w:r w:rsidRPr="00A91476">
        <w:rPr>
          <w:sz w:val="24"/>
          <w:szCs w:val="24"/>
        </w:rPr>
        <w:t>Višak prenesenih sredstava iz 201</w:t>
      </w:r>
      <w:r w:rsidR="00A91476" w:rsidRPr="00A91476">
        <w:rPr>
          <w:sz w:val="24"/>
          <w:szCs w:val="24"/>
        </w:rPr>
        <w:t>6</w:t>
      </w:r>
      <w:r w:rsidRPr="00A91476">
        <w:rPr>
          <w:sz w:val="24"/>
          <w:szCs w:val="24"/>
        </w:rPr>
        <w:t>. u 201</w:t>
      </w:r>
      <w:r w:rsidR="00A91476" w:rsidRPr="00A91476">
        <w:rPr>
          <w:sz w:val="24"/>
          <w:szCs w:val="24"/>
        </w:rPr>
        <w:t>7</w:t>
      </w:r>
      <w:r w:rsidRPr="00A91476">
        <w:rPr>
          <w:sz w:val="24"/>
          <w:szCs w:val="24"/>
        </w:rPr>
        <w:t xml:space="preserve">. iznosi </w:t>
      </w:r>
      <w:r w:rsidR="00A91476" w:rsidRPr="00A91476">
        <w:rPr>
          <w:sz w:val="24"/>
          <w:szCs w:val="24"/>
        </w:rPr>
        <w:t>3.</w:t>
      </w:r>
      <w:r w:rsidR="001F06D8">
        <w:rPr>
          <w:sz w:val="24"/>
          <w:szCs w:val="24"/>
        </w:rPr>
        <w:t>122.621</w:t>
      </w:r>
      <w:r w:rsidRPr="00A91476">
        <w:rPr>
          <w:sz w:val="24"/>
          <w:szCs w:val="24"/>
        </w:rPr>
        <w:t xml:space="preserve"> kn i za </w:t>
      </w:r>
      <w:r w:rsidR="00A91476" w:rsidRPr="00A91476">
        <w:rPr>
          <w:sz w:val="24"/>
          <w:szCs w:val="24"/>
        </w:rPr>
        <w:t>8</w:t>
      </w:r>
      <w:r w:rsidR="001F06D8">
        <w:rPr>
          <w:sz w:val="24"/>
          <w:szCs w:val="24"/>
        </w:rPr>
        <w:t>7</w:t>
      </w:r>
      <w:r w:rsidR="00A91476" w:rsidRPr="00A91476">
        <w:rPr>
          <w:sz w:val="24"/>
          <w:szCs w:val="24"/>
        </w:rPr>
        <w:t>,</w:t>
      </w:r>
      <w:r w:rsidR="001F06D8">
        <w:rPr>
          <w:sz w:val="24"/>
          <w:szCs w:val="24"/>
        </w:rPr>
        <w:t>90</w:t>
      </w:r>
      <w:r w:rsidRPr="00A91476">
        <w:rPr>
          <w:sz w:val="24"/>
          <w:szCs w:val="24"/>
        </w:rPr>
        <w:t>% je</w:t>
      </w:r>
      <w:r w:rsidR="00A91476" w:rsidRPr="00A91476">
        <w:rPr>
          <w:sz w:val="24"/>
          <w:szCs w:val="24"/>
        </w:rPr>
        <w:t xml:space="preserve"> manji </w:t>
      </w:r>
      <w:r w:rsidRPr="00A91476">
        <w:rPr>
          <w:sz w:val="24"/>
          <w:szCs w:val="24"/>
        </w:rPr>
        <w:t>nego višak prenesen iz 201</w:t>
      </w:r>
      <w:r w:rsidR="00A91476" w:rsidRPr="00A91476">
        <w:rPr>
          <w:sz w:val="24"/>
          <w:szCs w:val="24"/>
        </w:rPr>
        <w:t>5</w:t>
      </w:r>
      <w:r w:rsidRPr="00A91476">
        <w:rPr>
          <w:sz w:val="24"/>
          <w:szCs w:val="24"/>
        </w:rPr>
        <w:t>. u 201</w:t>
      </w:r>
      <w:r w:rsidR="00A91476" w:rsidRPr="00A91476">
        <w:rPr>
          <w:sz w:val="24"/>
          <w:szCs w:val="24"/>
        </w:rPr>
        <w:t>6</w:t>
      </w:r>
      <w:r w:rsidRPr="00A91476">
        <w:rPr>
          <w:sz w:val="24"/>
          <w:szCs w:val="24"/>
        </w:rPr>
        <w:t>. godinu (</w:t>
      </w:r>
      <w:r w:rsidR="00A91476" w:rsidRPr="00A91476">
        <w:rPr>
          <w:sz w:val="24"/>
          <w:szCs w:val="24"/>
        </w:rPr>
        <w:t>25.810.030</w:t>
      </w:r>
      <w:r w:rsidRPr="00A91476">
        <w:rPr>
          <w:sz w:val="24"/>
          <w:szCs w:val="24"/>
        </w:rPr>
        <w:t xml:space="preserve"> kn</w:t>
      </w:r>
      <w:r w:rsidRPr="006671FE">
        <w:rPr>
          <w:sz w:val="24"/>
          <w:szCs w:val="24"/>
        </w:rPr>
        <w:t>).</w:t>
      </w:r>
      <w:r w:rsidR="001F06D8">
        <w:rPr>
          <w:sz w:val="24"/>
          <w:szCs w:val="24"/>
        </w:rPr>
        <w:t xml:space="preserve"> </w:t>
      </w:r>
      <w:r w:rsidR="006671FE">
        <w:rPr>
          <w:sz w:val="24"/>
          <w:szCs w:val="24"/>
        </w:rPr>
        <w:t>Razlog ovako velik</w:t>
      </w:r>
      <w:r w:rsidR="001F06D8">
        <w:rPr>
          <w:sz w:val="24"/>
          <w:szCs w:val="24"/>
        </w:rPr>
        <w:t>e</w:t>
      </w:r>
      <w:r w:rsidR="006671FE">
        <w:rPr>
          <w:sz w:val="24"/>
          <w:szCs w:val="24"/>
        </w:rPr>
        <w:t xml:space="preserve"> razli</w:t>
      </w:r>
      <w:r w:rsidR="001F06D8">
        <w:rPr>
          <w:sz w:val="24"/>
          <w:szCs w:val="24"/>
        </w:rPr>
        <w:t>ke</w:t>
      </w:r>
      <w:r w:rsidR="006671FE">
        <w:rPr>
          <w:sz w:val="24"/>
          <w:szCs w:val="24"/>
        </w:rPr>
        <w:t xml:space="preserve"> u prenesenom višku</w:t>
      </w:r>
      <w:r w:rsidR="004A5446">
        <w:rPr>
          <w:sz w:val="24"/>
          <w:szCs w:val="24"/>
        </w:rPr>
        <w:t xml:space="preserve"> u 2016.</w:t>
      </w:r>
      <w:r w:rsidR="007224A4">
        <w:rPr>
          <w:sz w:val="24"/>
          <w:szCs w:val="24"/>
        </w:rPr>
        <w:t>,</w:t>
      </w:r>
      <w:r w:rsidR="001F06D8">
        <w:rPr>
          <w:sz w:val="24"/>
          <w:szCs w:val="24"/>
        </w:rPr>
        <w:t xml:space="preserve"> u odnosu na </w:t>
      </w:r>
      <w:r w:rsidR="004A5446">
        <w:rPr>
          <w:sz w:val="24"/>
          <w:szCs w:val="24"/>
        </w:rPr>
        <w:t xml:space="preserve"> 2017. godin</w:t>
      </w:r>
      <w:r w:rsidR="001F06D8">
        <w:rPr>
          <w:sz w:val="24"/>
          <w:szCs w:val="24"/>
        </w:rPr>
        <w:t>u</w:t>
      </w:r>
      <w:r w:rsidR="004A5446">
        <w:rPr>
          <w:sz w:val="24"/>
          <w:szCs w:val="24"/>
        </w:rPr>
        <w:t>,</w:t>
      </w:r>
      <w:r w:rsidR="006671FE">
        <w:rPr>
          <w:sz w:val="24"/>
          <w:szCs w:val="24"/>
        </w:rPr>
        <w:t xml:space="preserve"> nalazimo u činjenici da je tijekom 2015. godine i to u prvoj polovici, Grad Dubrovnik imao privremeno financiranje i povjerenika Vlade RH, te je</w:t>
      </w:r>
      <w:r w:rsidR="001F06D8">
        <w:rPr>
          <w:sz w:val="24"/>
          <w:szCs w:val="24"/>
        </w:rPr>
        <w:t xml:space="preserve"> </w:t>
      </w:r>
      <w:r w:rsidR="006671FE">
        <w:rPr>
          <w:sz w:val="24"/>
          <w:szCs w:val="24"/>
        </w:rPr>
        <w:t xml:space="preserve">trošenje proračunskih sredstava bilo ograničeno samo na </w:t>
      </w:r>
      <w:r w:rsidR="007224A4">
        <w:rPr>
          <w:sz w:val="24"/>
          <w:szCs w:val="24"/>
        </w:rPr>
        <w:t>postojeće</w:t>
      </w:r>
      <w:r w:rsidR="006671FE">
        <w:rPr>
          <w:sz w:val="24"/>
          <w:szCs w:val="24"/>
        </w:rPr>
        <w:t xml:space="preserve"> ugovorne obveze, </w:t>
      </w:r>
      <w:r w:rsidR="007224A4">
        <w:rPr>
          <w:sz w:val="24"/>
          <w:szCs w:val="24"/>
        </w:rPr>
        <w:t xml:space="preserve">te </w:t>
      </w:r>
      <w:r w:rsidR="006671FE">
        <w:rPr>
          <w:sz w:val="24"/>
          <w:szCs w:val="24"/>
        </w:rPr>
        <w:t xml:space="preserve"> fiksne</w:t>
      </w:r>
      <w:r w:rsidR="007224A4">
        <w:rPr>
          <w:sz w:val="24"/>
          <w:szCs w:val="24"/>
        </w:rPr>
        <w:t xml:space="preserve">/režijske </w:t>
      </w:r>
      <w:r w:rsidR="006671FE">
        <w:rPr>
          <w:sz w:val="24"/>
          <w:szCs w:val="24"/>
        </w:rPr>
        <w:t>troškove, a bez mogućnosti ulaganja u neke nove projekte i sl.</w:t>
      </w:r>
      <w:r w:rsidRPr="006671FE">
        <w:rPr>
          <w:sz w:val="24"/>
          <w:szCs w:val="24"/>
        </w:rPr>
        <w:t xml:space="preserve"> </w:t>
      </w:r>
      <w:r w:rsidR="004A5446">
        <w:rPr>
          <w:sz w:val="24"/>
          <w:szCs w:val="24"/>
        </w:rPr>
        <w:t>Slijedom iznesenog, došlo je</w:t>
      </w:r>
      <w:r w:rsidR="00414E71">
        <w:rPr>
          <w:sz w:val="24"/>
          <w:szCs w:val="24"/>
        </w:rPr>
        <w:t xml:space="preserve"> </w:t>
      </w:r>
      <w:r w:rsidR="004A5446">
        <w:rPr>
          <w:sz w:val="24"/>
          <w:szCs w:val="24"/>
        </w:rPr>
        <w:t>do prenošenja neutrošenih novčanih sredstava (viška) u iznosu od 2</w:t>
      </w:r>
      <w:r w:rsidR="001F06D8">
        <w:rPr>
          <w:sz w:val="24"/>
          <w:szCs w:val="24"/>
        </w:rPr>
        <w:t xml:space="preserve">5,8 milijuna kn u 2016. godinu. </w:t>
      </w:r>
      <w:r w:rsidR="00C576DC" w:rsidRPr="006671FE">
        <w:rPr>
          <w:sz w:val="24"/>
          <w:szCs w:val="24"/>
        </w:rPr>
        <w:t>Konačni financijski rezultat 201</w:t>
      </w:r>
      <w:r w:rsidR="00680279" w:rsidRPr="006671FE">
        <w:rPr>
          <w:sz w:val="24"/>
          <w:szCs w:val="24"/>
        </w:rPr>
        <w:t>7</w:t>
      </w:r>
      <w:r w:rsidR="00C576DC" w:rsidRPr="006671FE">
        <w:rPr>
          <w:sz w:val="24"/>
          <w:szCs w:val="24"/>
        </w:rPr>
        <w:t xml:space="preserve">. godine </w:t>
      </w:r>
      <w:r w:rsidR="001F06D8">
        <w:rPr>
          <w:sz w:val="24"/>
          <w:szCs w:val="24"/>
        </w:rPr>
        <w:t xml:space="preserve"> je </w:t>
      </w:r>
      <w:r w:rsidR="00C576DC" w:rsidRPr="006671FE">
        <w:rPr>
          <w:sz w:val="24"/>
          <w:szCs w:val="24"/>
        </w:rPr>
        <w:t xml:space="preserve">za </w:t>
      </w:r>
      <w:r w:rsidR="001F06D8">
        <w:rPr>
          <w:sz w:val="24"/>
          <w:szCs w:val="24"/>
        </w:rPr>
        <w:t>2,03</w:t>
      </w:r>
      <w:r w:rsidR="00C576DC" w:rsidRPr="006671FE">
        <w:rPr>
          <w:sz w:val="24"/>
          <w:szCs w:val="24"/>
        </w:rPr>
        <w:t xml:space="preserve">% </w:t>
      </w:r>
      <w:r w:rsidR="00680279" w:rsidRPr="006671FE">
        <w:rPr>
          <w:sz w:val="24"/>
          <w:szCs w:val="24"/>
        </w:rPr>
        <w:t xml:space="preserve">niži </w:t>
      </w:r>
      <w:r w:rsidR="00C576DC" w:rsidRPr="006671FE">
        <w:rPr>
          <w:sz w:val="24"/>
          <w:szCs w:val="24"/>
        </w:rPr>
        <w:t>u odnosu na 201</w:t>
      </w:r>
      <w:r w:rsidR="00680279" w:rsidRPr="006671FE">
        <w:rPr>
          <w:sz w:val="24"/>
          <w:szCs w:val="24"/>
        </w:rPr>
        <w:t>6</w:t>
      </w:r>
      <w:r w:rsidR="00C576DC" w:rsidRPr="006671FE">
        <w:rPr>
          <w:sz w:val="24"/>
          <w:szCs w:val="24"/>
        </w:rPr>
        <w:t>. godinu</w:t>
      </w:r>
      <w:r w:rsidR="000E6D02" w:rsidRPr="006671FE">
        <w:rPr>
          <w:sz w:val="24"/>
          <w:szCs w:val="24"/>
        </w:rPr>
        <w:t xml:space="preserve">. </w:t>
      </w:r>
    </w:p>
    <w:p w:rsidR="00E81604" w:rsidRPr="007224A4" w:rsidRDefault="00B01DAC" w:rsidP="00B01DAC">
      <w:pPr>
        <w:jc w:val="both"/>
        <w:rPr>
          <w:sz w:val="24"/>
          <w:szCs w:val="24"/>
        </w:rPr>
      </w:pPr>
      <w:r>
        <w:rPr>
          <w:sz w:val="24"/>
          <w:szCs w:val="24"/>
        </w:rPr>
        <w:t xml:space="preserve">          </w:t>
      </w:r>
      <w:r w:rsidR="00C576DC" w:rsidRPr="007224A4">
        <w:rPr>
          <w:sz w:val="24"/>
          <w:szCs w:val="24"/>
        </w:rPr>
        <w:t xml:space="preserve">Ovdje moramo napomenuti da su </w:t>
      </w:r>
      <w:r w:rsidR="007D40D6">
        <w:rPr>
          <w:sz w:val="24"/>
          <w:szCs w:val="24"/>
        </w:rPr>
        <w:t>u</w:t>
      </w:r>
      <w:r w:rsidR="00C576DC" w:rsidRPr="007224A4">
        <w:rPr>
          <w:sz w:val="24"/>
          <w:szCs w:val="24"/>
        </w:rPr>
        <w:t xml:space="preserve"> gornjoj tablici prikazani financijski podaci samo za Grad Dubrovnik, odnosno bez podataka za proračunske korisnike. </w:t>
      </w:r>
    </w:p>
    <w:p w:rsidR="00C40E5E" w:rsidRDefault="00A72743" w:rsidP="00C67F6B">
      <w:pPr>
        <w:pStyle w:val="BodyText24"/>
        <w:tabs>
          <w:tab w:val="clear" w:pos="1080"/>
          <w:tab w:val="left" w:pos="-720"/>
          <w:tab w:val="left" w:pos="1"/>
        </w:tabs>
      </w:pPr>
      <w:r w:rsidRPr="00E5487D">
        <w:rPr>
          <w:szCs w:val="24"/>
        </w:rPr>
        <w:t xml:space="preserve">          </w:t>
      </w:r>
      <w:r w:rsidR="009B3A7A" w:rsidRPr="00E5487D">
        <w:t>M</w:t>
      </w:r>
      <w:r w:rsidR="001D2B7C" w:rsidRPr="00E5487D">
        <w:t>e</w:t>
      </w:r>
      <w:r w:rsidR="009B3A7A" w:rsidRPr="00E5487D">
        <w:t xml:space="preserve">đutim, budući je </w:t>
      </w:r>
      <w:r w:rsidR="00C576DC" w:rsidRPr="00E5487D">
        <w:t xml:space="preserve">temeljem </w:t>
      </w:r>
      <w:r w:rsidR="00C50031" w:rsidRPr="00E5487D">
        <w:t xml:space="preserve">članka 29. Zakona o proračunu , te preporukama državne revizije, </w:t>
      </w:r>
      <w:r w:rsidR="00C576DC" w:rsidRPr="00E5487D">
        <w:t xml:space="preserve">propisano da se </w:t>
      </w:r>
      <w:r w:rsidR="001D2B7C" w:rsidRPr="00E5487D">
        <w:t xml:space="preserve">proračun mora prikazivati </w:t>
      </w:r>
      <w:r w:rsidR="008977AC" w:rsidRPr="00E5487D">
        <w:t xml:space="preserve">u </w:t>
      </w:r>
      <w:r w:rsidR="009B3A7A" w:rsidRPr="00E5487D">
        <w:t>k</w:t>
      </w:r>
      <w:r w:rsidR="00C576DC" w:rsidRPr="00E5487D">
        <w:t>onsolidiran</w:t>
      </w:r>
      <w:r w:rsidR="008977AC" w:rsidRPr="00E5487D">
        <w:t>om obliku</w:t>
      </w:r>
      <w:r w:rsidR="00C576DC" w:rsidRPr="00E5487D">
        <w:t xml:space="preserve">, </w:t>
      </w:r>
      <w:r w:rsidR="00C67F6B" w:rsidRPr="00E5487D">
        <w:t xml:space="preserve">u nastavku izvješća </w:t>
      </w:r>
      <w:r w:rsidR="000F5DF5" w:rsidRPr="00E5487D">
        <w:t xml:space="preserve"> prikazat će se i</w:t>
      </w:r>
      <w:r w:rsidR="00EB068A" w:rsidRPr="00E5487D">
        <w:t xml:space="preserve"> </w:t>
      </w:r>
      <w:r w:rsidR="00C576DC" w:rsidRPr="00E5487D">
        <w:t>zajedničk</w:t>
      </w:r>
      <w:r w:rsidR="00C67F6B" w:rsidRPr="00E5487D">
        <w:t>i</w:t>
      </w:r>
      <w:r w:rsidR="00C576DC" w:rsidRPr="00E5487D">
        <w:t xml:space="preserve"> pokazatelj</w:t>
      </w:r>
      <w:r w:rsidR="00C67F6B" w:rsidRPr="00E5487D">
        <w:t>i</w:t>
      </w:r>
      <w:r w:rsidR="00C576DC" w:rsidRPr="00E5487D">
        <w:t xml:space="preserve"> prihoda Grada Dubrovnika i svih njegovih proračunskih korisnika. </w:t>
      </w:r>
    </w:p>
    <w:p w:rsidR="00A02D56" w:rsidRPr="0080567F" w:rsidRDefault="00A02D56" w:rsidP="00C67F6B">
      <w:pPr>
        <w:pStyle w:val="BodyText24"/>
        <w:tabs>
          <w:tab w:val="clear" w:pos="1080"/>
          <w:tab w:val="left" w:pos="-720"/>
          <w:tab w:val="left" w:pos="1"/>
        </w:tabs>
        <w:rPr>
          <w:color w:val="FF0000"/>
        </w:rPr>
      </w:pPr>
    </w:p>
    <w:tbl>
      <w:tblPr>
        <w:tblW w:w="9262" w:type="dxa"/>
        <w:tblInd w:w="108" w:type="dxa"/>
        <w:tblLayout w:type="fixed"/>
        <w:tblLook w:val="0000"/>
      </w:tblPr>
      <w:tblGrid>
        <w:gridCol w:w="2302"/>
        <w:gridCol w:w="1559"/>
        <w:gridCol w:w="1407"/>
        <w:gridCol w:w="11"/>
        <w:gridCol w:w="1417"/>
        <w:gridCol w:w="670"/>
        <w:gridCol w:w="748"/>
        <w:gridCol w:w="1134"/>
        <w:gridCol w:w="14"/>
      </w:tblGrid>
      <w:tr w:rsidR="00E81604" w:rsidTr="00DE4A86">
        <w:trPr>
          <w:trHeight w:val="255"/>
        </w:trPr>
        <w:tc>
          <w:tcPr>
            <w:tcW w:w="9262" w:type="dxa"/>
            <w:gridSpan w:val="9"/>
            <w:vMerge w:val="restart"/>
            <w:tcBorders>
              <w:top w:val="nil"/>
              <w:left w:val="nil"/>
              <w:bottom w:val="nil"/>
              <w:right w:val="nil"/>
            </w:tcBorders>
            <w:shd w:val="clear" w:color="auto" w:fill="auto"/>
            <w:vAlign w:val="center"/>
          </w:tcPr>
          <w:p w:rsidR="004C1244" w:rsidRDefault="004C1244" w:rsidP="00A72743">
            <w:pPr>
              <w:overflowPunct/>
              <w:autoSpaceDE/>
              <w:autoSpaceDN/>
              <w:adjustRightInd/>
              <w:textAlignment w:val="auto"/>
              <w:rPr>
                <w:rFonts w:ascii="Arial" w:hAnsi="Arial" w:cs="Arial"/>
                <w:b/>
                <w:bCs/>
              </w:rPr>
            </w:pPr>
          </w:p>
          <w:p w:rsidR="0040154E" w:rsidRPr="00FF0FEB" w:rsidRDefault="0040154E" w:rsidP="0040154E">
            <w:pPr>
              <w:pStyle w:val="BodyText24"/>
              <w:tabs>
                <w:tab w:val="clear" w:pos="1080"/>
                <w:tab w:val="left" w:pos="-720"/>
                <w:tab w:val="left" w:pos="1"/>
              </w:tabs>
              <w:jc w:val="left"/>
              <w:rPr>
                <w:b/>
              </w:rPr>
            </w:pPr>
            <w:r w:rsidRPr="00FF0FEB">
              <w:rPr>
                <w:b/>
              </w:rPr>
              <w:t>Tab</w:t>
            </w:r>
            <w:r>
              <w:rPr>
                <w:b/>
              </w:rPr>
              <w:t xml:space="preserve">lica </w:t>
            </w:r>
            <w:r w:rsidRPr="00FF0FEB">
              <w:rPr>
                <w:b/>
              </w:rPr>
              <w:t xml:space="preserve"> br.</w:t>
            </w:r>
            <w:r>
              <w:rPr>
                <w:b/>
              </w:rPr>
              <w:t>2</w:t>
            </w:r>
            <w:r w:rsidRPr="00FF0FEB">
              <w:rPr>
                <w:b/>
              </w:rPr>
              <w:t xml:space="preserve">   </w:t>
            </w:r>
            <w:r>
              <w:rPr>
                <w:b/>
              </w:rPr>
              <w:t>Konsolidirani p</w:t>
            </w:r>
            <w:r w:rsidRPr="00FF0FEB">
              <w:rPr>
                <w:b/>
              </w:rPr>
              <w:t>rih</w:t>
            </w:r>
            <w:r>
              <w:rPr>
                <w:b/>
              </w:rPr>
              <w:t xml:space="preserve">odi proračuna Grada Dubrovnika    </w:t>
            </w:r>
            <w:r>
              <w:rPr>
                <w:b/>
              </w:rPr>
              <w:tab/>
            </w:r>
            <w:r w:rsidRPr="00FF0FEB">
              <w:rPr>
                <w:b/>
              </w:rPr>
              <w:t>u 000 kuna</w:t>
            </w:r>
          </w:p>
          <w:p w:rsidR="00A02D56" w:rsidRDefault="0040154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sz w:val="24"/>
              </w:rPr>
              <w:tab/>
            </w:r>
            <w:r w:rsidRPr="009B3A7A">
              <w:rPr>
                <w:b/>
                <w:sz w:val="24"/>
              </w:rPr>
              <w:t xml:space="preserve">                          </w:t>
            </w:r>
            <w:r w:rsidR="009B3A7A" w:rsidRPr="009B3A7A">
              <w:rPr>
                <w:b/>
                <w:sz w:val="24"/>
              </w:rPr>
              <w:t>(zajedno sa proračunskim korisnicima)</w:t>
            </w:r>
            <w:r w:rsidRPr="009B3A7A">
              <w:rPr>
                <w:b/>
                <w:sz w:val="24"/>
              </w:rPr>
              <w:t xml:space="preserve">  </w:t>
            </w:r>
          </w:p>
          <w:p w:rsidR="001B063F" w:rsidRDefault="0040154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9B3A7A">
              <w:rPr>
                <w:b/>
                <w:sz w:val="24"/>
              </w:rPr>
              <w:t xml:space="preserve">                   </w:t>
            </w:r>
          </w:p>
          <w:tbl>
            <w:tblPr>
              <w:tblW w:w="88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8"/>
              <w:gridCol w:w="1133"/>
              <w:gridCol w:w="1133"/>
              <w:gridCol w:w="1226"/>
              <w:gridCol w:w="1056"/>
              <w:gridCol w:w="1056"/>
            </w:tblGrid>
            <w:tr w:rsidR="00E5487D" w:rsidTr="00E5487D">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823"/>
                    </w:tabs>
                    <w:jc w:val="both"/>
                    <w:rPr>
                      <w:b/>
                      <w:sz w:val="24"/>
                    </w:rPr>
                  </w:pPr>
                  <w:r>
                    <w:rPr>
                      <w:b/>
                      <w:sz w:val="24"/>
                    </w:rPr>
                    <w:t>P R I H O D 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487D" w:rsidRDefault="00E5487D" w:rsidP="00E454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Ostvare</w:t>
                  </w:r>
                  <w:r w:rsidR="00E454DF">
                    <w:rPr>
                      <w:b/>
                      <w:sz w:val="22"/>
                    </w:rPr>
                    <w:t>.</w:t>
                  </w:r>
                  <w:r>
                    <w:rPr>
                      <w:b/>
                      <w:sz w:val="22"/>
                    </w:rPr>
                    <w:t xml:space="preserve">  2016.</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Plan</w:t>
                  </w:r>
                </w:p>
                <w:p w:rsidR="00E5487D" w:rsidRDefault="00E5487D" w:rsidP="008056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2017.</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8056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Ostv</w:t>
                  </w:r>
                  <w:r w:rsidR="00E454DF">
                    <w:rPr>
                      <w:b/>
                      <w:sz w:val="22"/>
                    </w:rPr>
                    <w:t>are</w:t>
                  </w:r>
                  <w:r>
                    <w:rPr>
                      <w:b/>
                      <w:sz w:val="22"/>
                    </w:rPr>
                    <w:t xml:space="preserve">.  2017.  </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 4/2</w:t>
                  </w:r>
                </w:p>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Index</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E5487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 4/3</w:t>
                  </w:r>
                </w:p>
                <w:p w:rsidR="00E5487D" w:rsidRDefault="00E5487D" w:rsidP="00E5487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Index </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1.</w:t>
                  </w:r>
                </w:p>
              </w:tc>
              <w:tc>
                <w:tcPr>
                  <w:tcW w:w="1133" w:type="dxa"/>
                  <w:tcBorders>
                    <w:top w:val="single" w:sz="6" w:space="0" w:color="auto"/>
                    <w:left w:val="single" w:sz="6" w:space="0" w:color="auto"/>
                    <w:bottom w:val="single" w:sz="6" w:space="0" w:color="auto"/>
                    <w:right w:val="single" w:sz="6" w:space="0" w:color="auto"/>
                  </w:tcBorders>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w:t>
                  </w:r>
                </w:p>
              </w:tc>
              <w:tc>
                <w:tcPr>
                  <w:tcW w:w="1056" w:type="dxa"/>
                  <w:tcBorders>
                    <w:top w:val="single" w:sz="6" w:space="0" w:color="auto"/>
                    <w:left w:val="single" w:sz="6" w:space="0" w:color="auto"/>
                    <w:bottom w:val="single" w:sz="6" w:space="0" w:color="auto"/>
                    <w:right w:val="single" w:sz="6" w:space="0" w:color="auto"/>
                  </w:tcBorders>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5.</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6.</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Prihodi od poreza</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156.977</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902DA8"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152.650</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902DA8" w:rsidP="00D667C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153.</w:t>
                  </w:r>
                  <w:r w:rsidR="00D667C4">
                    <w:rPr>
                      <w:sz w:val="24"/>
                    </w:rPr>
                    <w:t>584</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FD0856"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97,84</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D42890"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100,61</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Pomoći</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25.473</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E76D78"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30.819</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E76D78"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27.347</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FD0856"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107,36</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E76D78"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88,73</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Prihodi od imovine</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116.994</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4E0367"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142.177</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4E0367"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135.674</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FD0856"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115,97</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4E0367" w:rsidP="00E56D6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95,4</w:t>
                  </w:r>
                  <w:r w:rsidR="00E56D62">
                    <w:rPr>
                      <w:sz w:val="24"/>
                      <w:szCs w:val="24"/>
                    </w:rPr>
                    <w:t>3</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administrativnih pristojbi</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102.641</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1E6112"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98.640</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1E6112"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101.590</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FD0856"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98,98</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1E6112"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102,99</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Pr="00A67417"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A67417">
                    <w:rPr>
                      <w:sz w:val="24"/>
                    </w:rPr>
                    <w:t>Ostali prihodi</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13.914</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49365C"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12.864</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49365C" w:rsidP="0083111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12.5</w:t>
                  </w:r>
                  <w:r w:rsidR="00831113">
                    <w:rPr>
                      <w:sz w:val="24"/>
                    </w:rPr>
                    <w:t>30</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5A5D90"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90,05</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49365C"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97,40</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prodaje ne proizvedene imovine</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415</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E7167A"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E7167A"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139</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5A5D90"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33,49</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E7167A"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Prihodi od prodaje proizvedene imovine</w:t>
                  </w:r>
                </w:p>
              </w:tc>
              <w:tc>
                <w:tcPr>
                  <w:tcW w:w="1133" w:type="dxa"/>
                  <w:tcBorders>
                    <w:top w:val="single" w:sz="6" w:space="0" w:color="auto"/>
                    <w:left w:val="single" w:sz="6" w:space="0" w:color="auto"/>
                    <w:bottom w:val="single" w:sz="6" w:space="0" w:color="auto"/>
                    <w:right w:val="single" w:sz="6" w:space="0" w:color="auto"/>
                  </w:tcBorders>
                </w:tcPr>
                <w:p w:rsidR="00E5487D" w:rsidRDefault="006324AE" w:rsidP="00E454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13.421</w:t>
                  </w:r>
                </w:p>
              </w:tc>
              <w:tc>
                <w:tcPr>
                  <w:tcW w:w="1133" w:type="dxa"/>
                  <w:tcBorders>
                    <w:top w:val="single" w:sz="6" w:space="0" w:color="auto"/>
                    <w:left w:val="single" w:sz="6" w:space="0" w:color="auto"/>
                    <w:bottom w:val="single" w:sz="6" w:space="0" w:color="auto"/>
                    <w:right w:val="single" w:sz="6" w:space="0" w:color="auto"/>
                  </w:tcBorders>
                  <w:vAlign w:val="center"/>
                </w:tcPr>
                <w:p w:rsidR="00E5487D" w:rsidRDefault="00E7167A"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11.698</w:t>
                  </w:r>
                </w:p>
              </w:tc>
              <w:tc>
                <w:tcPr>
                  <w:tcW w:w="1226" w:type="dxa"/>
                  <w:tcBorders>
                    <w:top w:val="single" w:sz="6" w:space="0" w:color="auto"/>
                    <w:left w:val="single" w:sz="6" w:space="0" w:color="auto"/>
                    <w:bottom w:val="single" w:sz="6" w:space="0" w:color="auto"/>
                    <w:right w:val="single" w:sz="6" w:space="0" w:color="auto"/>
                  </w:tcBorders>
                  <w:vAlign w:val="center"/>
                </w:tcPr>
                <w:p w:rsidR="00E5487D" w:rsidRDefault="00E7167A"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13.349</w:t>
                  </w:r>
                </w:p>
              </w:tc>
              <w:tc>
                <w:tcPr>
                  <w:tcW w:w="1056" w:type="dxa"/>
                  <w:tcBorders>
                    <w:top w:val="single" w:sz="6" w:space="0" w:color="auto"/>
                    <w:left w:val="single" w:sz="6" w:space="0" w:color="auto"/>
                    <w:bottom w:val="single" w:sz="6" w:space="0" w:color="auto"/>
                    <w:right w:val="single" w:sz="6" w:space="0" w:color="auto"/>
                  </w:tcBorders>
                </w:tcPr>
                <w:p w:rsidR="00E5487D" w:rsidRPr="00A600A3" w:rsidRDefault="005A5D90"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99,46</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A600A3" w:rsidRDefault="00E7167A"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114,11</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Primici od financijske imovine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86</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2B596F"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55</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2B596F" w:rsidP="0067773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9</w:t>
                  </w:r>
                  <w:r w:rsidR="0067773D">
                    <w:rPr>
                      <w:sz w:val="24"/>
                    </w:rPr>
                    <w:t>5</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487D" w:rsidRPr="00A600A3" w:rsidRDefault="00A7696A"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110,47</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A600A3" w:rsidRDefault="002B596F" w:rsidP="00A44D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17</w:t>
                  </w:r>
                  <w:r w:rsidR="00A44DA6">
                    <w:rPr>
                      <w:sz w:val="24"/>
                      <w:szCs w:val="24"/>
                    </w:rPr>
                    <w:t>2</w:t>
                  </w:r>
                  <w:r w:rsidRPr="00A600A3">
                    <w:rPr>
                      <w:sz w:val="24"/>
                      <w:szCs w:val="24"/>
                    </w:rPr>
                    <w:t>,</w:t>
                  </w:r>
                  <w:r w:rsidR="00A44DA6">
                    <w:rPr>
                      <w:sz w:val="24"/>
                      <w:szCs w:val="24"/>
                    </w:rPr>
                    <w:t>73</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Primici od zaduživanja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487D" w:rsidRDefault="006324A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9A20C4"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9A20C4"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487D" w:rsidRPr="00A600A3" w:rsidRDefault="009A20C4"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0</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A600A3" w:rsidRDefault="009A20C4"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0</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Višak prih.iz prethod. razdoblja</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487D" w:rsidRDefault="006324AE" w:rsidP="00063EC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28.250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C97AAE" w:rsidP="00063EC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AF4F49" w:rsidRDefault="001B42B3" w:rsidP="00C46D5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AF4F49">
                    <w:rPr>
                      <w:sz w:val="24"/>
                    </w:rPr>
                    <w:t>3.336</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487D" w:rsidRPr="00806A2E" w:rsidRDefault="00806A2E" w:rsidP="00806A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806A2E">
                    <w:rPr>
                      <w:sz w:val="24"/>
                      <w:szCs w:val="24"/>
                    </w:rPr>
                    <w:t>11,81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A600A3" w:rsidRDefault="00CA0915" w:rsidP="003149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A600A3">
                    <w:rPr>
                      <w:sz w:val="24"/>
                      <w:szCs w:val="24"/>
                    </w:rPr>
                    <w:t>0</w:t>
                  </w:r>
                </w:p>
              </w:tc>
            </w:tr>
            <w:tr w:rsidR="00E5487D" w:rsidTr="00E5487D">
              <w:trPr>
                <w:trHeight w:val="397"/>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Ukupno</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5487D" w:rsidRDefault="006324AE" w:rsidP="00D357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458.171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FF313A" w:rsidRDefault="00CA0915" w:rsidP="00D357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CA0915">
                    <w:rPr>
                      <w:sz w:val="24"/>
                    </w:rPr>
                    <w:t>448.903</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Default="00CA0915" w:rsidP="00AF4F4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447.</w:t>
                  </w:r>
                  <w:r w:rsidR="00AF4F49">
                    <w:rPr>
                      <w:sz w:val="24"/>
                    </w:rPr>
                    <w:t>64</w:t>
                  </w:r>
                  <w:r w:rsidR="00C54B96">
                    <w:rPr>
                      <w:sz w:val="24"/>
                    </w:rPr>
                    <w:t>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487D" w:rsidRPr="00806A2E" w:rsidRDefault="00A7696A" w:rsidP="009B74A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806A2E">
                    <w:rPr>
                      <w:sz w:val="24"/>
                      <w:szCs w:val="24"/>
                    </w:rPr>
                    <w:t>97,7</w:t>
                  </w:r>
                  <w:r w:rsidR="00806A2E" w:rsidRPr="00806A2E">
                    <w:rPr>
                      <w:sz w:val="24"/>
                      <w:szCs w:val="24"/>
                    </w:rPr>
                    <w:t>0</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806A2E" w:rsidRDefault="00A7696A" w:rsidP="00806A2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806A2E">
                    <w:rPr>
                      <w:sz w:val="24"/>
                      <w:szCs w:val="24"/>
                    </w:rPr>
                    <w:t>99,7</w:t>
                  </w:r>
                  <w:r w:rsidR="00806A2E" w:rsidRPr="00806A2E">
                    <w:rPr>
                      <w:sz w:val="24"/>
                      <w:szCs w:val="24"/>
                    </w:rPr>
                    <w:t>2</w:t>
                  </w:r>
                </w:p>
              </w:tc>
            </w:tr>
          </w:tbl>
          <w:p w:rsidR="004C1244" w:rsidRDefault="004C1244" w:rsidP="00D53726">
            <w:pPr>
              <w:overflowPunct/>
              <w:autoSpaceDE/>
              <w:autoSpaceDN/>
              <w:adjustRightInd/>
              <w:jc w:val="center"/>
              <w:textAlignment w:val="auto"/>
              <w:rPr>
                <w:rFonts w:ascii="Arial" w:hAnsi="Arial" w:cs="Arial"/>
                <w:b/>
                <w:bCs/>
              </w:rPr>
            </w:pPr>
          </w:p>
          <w:p w:rsidR="004C1244" w:rsidRDefault="008917F0" w:rsidP="009B3A7A">
            <w:pPr>
              <w:overflowPunct/>
              <w:autoSpaceDE/>
              <w:autoSpaceDN/>
              <w:adjustRightInd/>
              <w:textAlignment w:val="auto"/>
              <w:rPr>
                <w:rFonts w:ascii="Arial" w:hAnsi="Arial" w:cs="Arial"/>
                <w:b/>
                <w:bCs/>
              </w:rPr>
            </w:pPr>
            <w:r>
              <w:rPr>
                <w:rFonts w:ascii="Arial" w:hAnsi="Arial" w:cs="Arial"/>
                <w:b/>
                <w:bCs/>
              </w:rPr>
              <w:t xml:space="preserve"> </w:t>
            </w:r>
          </w:p>
          <w:p w:rsidR="00E04173" w:rsidRDefault="00E04173" w:rsidP="009B3A7A">
            <w:pPr>
              <w:overflowPunct/>
              <w:autoSpaceDE/>
              <w:autoSpaceDN/>
              <w:adjustRightInd/>
              <w:textAlignment w:val="auto"/>
              <w:rPr>
                <w:rFonts w:ascii="Arial" w:hAnsi="Arial" w:cs="Arial"/>
                <w:b/>
                <w:bCs/>
              </w:rPr>
            </w:pPr>
          </w:p>
          <w:p w:rsidR="00A3567D" w:rsidRDefault="00A3567D" w:rsidP="009B3A7A">
            <w:pPr>
              <w:overflowPunct/>
              <w:autoSpaceDE/>
              <w:autoSpaceDN/>
              <w:adjustRightInd/>
              <w:textAlignment w:val="auto"/>
              <w:rPr>
                <w:rFonts w:ascii="Arial" w:hAnsi="Arial" w:cs="Arial"/>
                <w:b/>
                <w:bCs/>
              </w:rPr>
            </w:pPr>
          </w:p>
          <w:p w:rsidR="00831113" w:rsidRPr="00173BF4" w:rsidRDefault="00CD56A5" w:rsidP="00476836">
            <w:pPr>
              <w:overflowPunct/>
              <w:autoSpaceDE/>
              <w:autoSpaceDN/>
              <w:adjustRightInd/>
              <w:jc w:val="both"/>
              <w:textAlignment w:val="auto"/>
              <w:rPr>
                <w:bCs/>
                <w:sz w:val="24"/>
                <w:szCs w:val="24"/>
              </w:rPr>
            </w:pPr>
            <w:r>
              <w:rPr>
                <w:bCs/>
                <w:sz w:val="24"/>
                <w:szCs w:val="24"/>
              </w:rPr>
              <w:t xml:space="preserve">        </w:t>
            </w:r>
            <w:r w:rsidR="00B86412">
              <w:rPr>
                <w:bCs/>
                <w:sz w:val="24"/>
                <w:szCs w:val="24"/>
              </w:rPr>
              <w:t>Ostvareni prihodi Grada i proračunskih korisnika u 201</w:t>
            </w:r>
            <w:r w:rsidR="004D0379">
              <w:rPr>
                <w:bCs/>
                <w:sz w:val="24"/>
                <w:szCs w:val="24"/>
              </w:rPr>
              <w:t>7</w:t>
            </w:r>
            <w:r w:rsidR="00B86412">
              <w:rPr>
                <w:bCs/>
                <w:sz w:val="24"/>
                <w:szCs w:val="24"/>
              </w:rPr>
              <w:t xml:space="preserve">. godini iznosili su ukupno </w:t>
            </w:r>
            <w:r w:rsidR="00B86412" w:rsidRPr="008238D2">
              <w:rPr>
                <w:bCs/>
                <w:sz w:val="24"/>
                <w:szCs w:val="24"/>
              </w:rPr>
              <w:t>4</w:t>
            </w:r>
            <w:r w:rsidR="008238D2" w:rsidRPr="008238D2">
              <w:rPr>
                <w:bCs/>
                <w:sz w:val="24"/>
                <w:szCs w:val="24"/>
              </w:rPr>
              <w:t>47</w:t>
            </w:r>
            <w:r w:rsidR="00B86412" w:rsidRPr="008238D2">
              <w:rPr>
                <w:bCs/>
                <w:sz w:val="24"/>
                <w:szCs w:val="24"/>
              </w:rPr>
              <w:t>.</w:t>
            </w:r>
            <w:r w:rsidR="00374F7E">
              <w:rPr>
                <w:bCs/>
                <w:sz w:val="24"/>
                <w:szCs w:val="24"/>
              </w:rPr>
              <w:t>64</w:t>
            </w:r>
            <w:r w:rsidR="008C64C9">
              <w:rPr>
                <w:bCs/>
                <w:sz w:val="24"/>
                <w:szCs w:val="24"/>
              </w:rPr>
              <w:t>4</w:t>
            </w:r>
            <w:r w:rsidR="00374F7E">
              <w:rPr>
                <w:bCs/>
                <w:sz w:val="24"/>
                <w:szCs w:val="24"/>
              </w:rPr>
              <w:t>.</w:t>
            </w:r>
            <w:r w:rsidR="00374F7E" w:rsidRPr="008C64C9">
              <w:rPr>
                <w:bCs/>
                <w:sz w:val="24"/>
                <w:szCs w:val="24"/>
              </w:rPr>
              <w:t>000</w:t>
            </w:r>
            <w:r w:rsidR="00B86412" w:rsidRPr="00FB3C88">
              <w:rPr>
                <w:bCs/>
                <w:sz w:val="24"/>
                <w:szCs w:val="24"/>
              </w:rPr>
              <w:t xml:space="preserve"> kn</w:t>
            </w:r>
            <w:r w:rsidR="00B86412" w:rsidRPr="004D0379">
              <w:rPr>
                <w:bCs/>
                <w:color w:val="FF0000"/>
                <w:sz w:val="24"/>
                <w:szCs w:val="24"/>
              </w:rPr>
              <w:t xml:space="preserve">, </w:t>
            </w:r>
            <w:r w:rsidR="00B86412" w:rsidRPr="008238D2">
              <w:rPr>
                <w:bCs/>
                <w:sz w:val="24"/>
                <w:szCs w:val="24"/>
              </w:rPr>
              <w:t xml:space="preserve">od čega su gradski prihodi bili </w:t>
            </w:r>
            <w:r w:rsidR="008238D2" w:rsidRPr="008238D2">
              <w:rPr>
                <w:bCs/>
                <w:sz w:val="24"/>
                <w:szCs w:val="24"/>
              </w:rPr>
              <w:t>401.770.154</w:t>
            </w:r>
            <w:r w:rsidR="00B86412" w:rsidRPr="008238D2">
              <w:rPr>
                <w:bCs/>
                <w:sz w:val="24"/>
                <w:szCs w:val="24"/>
              </w:rPr>
              <w:t xml:space="preserve"> kn (bez prenesenog viška iz 201</w:t>
            </w:r>
            <w:r w:rsidR="008238D2">
              <w:rPr>
                <w:bCs/>
                <w:sz w:val="24"/>
                <w:szCs w:val="24"/>
              </w:rPr>
              <w:t>6</w:t>
            </w:r>
            <w:r w:rsidR="00B86412" w:rsidRPr="008238D2">
              <w:rPr>
                <w:bCs/>
                <w:sz w:val="24"/>
                <w:szCs w:val="24"/>
              </w:rPr>
              <w:t xml:space="preserve">.), a prihodi proračunskih korisnika  </w:t>
            </w:r>
            <w:r w:rsidR="00B86412" w:rsidRPr="008C64C9">
              <w:rPr>
                <w:bCs/>
                <w:sz w:val="24"/>
                <w:szCs w:val="24"/>
              </w:rPr>
              <w:t>42.</w:t>
            </w:r>
            <w:r w:rsidR="008238D2" w:rsidRPr="008C64C9">
              <w:rPr>
                <w:bCs/>
                <w:sz w:val="24"/>
                <w:szCs w:val="24"/>
              </w:rPr>
              <w:t>537</w:t>
            </w:r>
            <w:r w:rsidR="00482E70" w:rsidRPr="008C64C9">
              <w:rPr>
                <w:bCs/>
                <w:sz w:val="24"/>
                <w:szCs w:val="24"/>
              </w:rPr>
              <w:t>.</w:t>
            </w:r>
            <w:r w:rsidR="008238D2" w:rsidRPr="008C64C9">
              <w:rPr>
                <w:bCs/>
                <w:sz w:val="24"/>
                <w:szCs w:val="24"/>
              </w:rPr>
              <w:t>619</w:t>
            </w:r>
            <w:r w:rsidR="00B86412" w:rsidRPr="008C64C9">
              <w:rPr>
                <w:bCs/>
                <w:sz w:val="24"/>
                <w:szCs w:val="24"/>
              </w:rPr>
              <w:t xml:space="preserve"> kn. </w:t>
            </w:r>
            <w:r w:rsidR="00B86412" w:rsidRPr="008238D2">
              <w:rPr>
                <w:bCs/>
                <w:sz w:val="24"/>
                <w:szCs w:val="24"/>
              </w:rPr>
              <w:t>Kad predmetnim prihodima pribrojimo još i preneseni višak iz 201</w:t>
            </w:r>
            <w:r w:rsidR="008238D2" w:rsidRPr="008238D2">
              <w:rPr>
                <w:bCs/>
                <w:sz w:val="24"/>
                <w:szCs w:val="24"/>
              </w:rPr>
              <w:t>6</w:t>
            </w:r>
            <w:r w:rsidR="00B86412" w:rsidRPr="008238D2">
              <w:rPr>
                <w:bCs/>
                <w:sz w:val="24"/>
                <w:szCs w:val="24"/>
              </w:rPr>
              <w:t xml:space="preserve">.  u ukupnom iznosu od </w:t>
            </w:r>
            <w:r w:rsidR="008238D2" w:rsidRPr="008238D2">
              <w:rPr>
                <w:bCs/>
                <w:sz w:val="24"/>
                <w:szCs w:val="24"/>
              </w:rPr>
              <w:t>3.</w:t>
            </w:r>
            <w:r w:rsidR="00374F7E">
              <w:rPr>
                <w:bCs/>
                <w:sz w:val="24"/>
                <w:szCs w:val="24"/>
              </w:rPr>
              <w:t>335.772</w:t>
            </w:r>
            <w:r w:rsidR="00B86412" w:rsidRPr="008238D2">
              <w:rPr>
                <w:bCs/>
                <w:sz w:val="24"/>
                <w:szCs w:val="24"/>
              </w:rPr>
              <w:t xml:space="preserve"> kn, dolazimo do ukupnog ostvarenja prihoda u gore naznačenom iznosu od 4</w:t>
            </w:r>
            <w:r w:rsidR="00482E70">
              <w:rPr>
                <w:bCs/>
                <w:sz w:val="24"/>
                <w:szCs w:val="24"/>
              </w:rPr>
              <w:t>47.</w:t>
            </w:r>
            <w:r w:rsidR="00374F7E">
              <w:rPr>
                <w:bCs/>
                <w:sz w:val="24"/>
                <w:szCs w:val="24"/>
              </w:rPr>
              <w:t>64</w:t>
            </w:r>
            <w:r w:rsidR="008C64C9">
              <w:rPr>
                <w:bCs/>
                <w:sz w:val="24"/>
                <w:szCs w:val="24"/>
              </w:rPr>
              <w:t>4</w:t>
            </w:r>
            <w:r w:rsidR="008238D2" w:rsidRPr="008238D2">
              <w:rPr>
                <w:bCs/>
                <w:sz w:val="24"/>
                <w:szCs w:val="24"/>
              </w:rPr>
              <w:t>.</w:t>
            </w:r>
            <w:r w:rsidR="008C64C9" w:rsidRPr="008C64C9">
              <w:rPr>
                <w:bCs/>
                <w:sz w:val="24"/>
                <w:szCs w:val="24"/>
              </w:rPr>
              <w:t>000</w:t>
            </w:r>
            <w:r w:rsidR="00B86412" w:rsidRPr="00482E70">
              <w:rPr>
                <w:bCs/>
                <w:sz w:val="24"/>
                <w:szCs w:val="24"/>
              </w:rPr>
              <w:t xml:space="preserve"> kn.</w:t>
            </w:r>
          </w:p>
          <w:p w:rsidR="00A36DE8" w:rsidRDefault="00CD56A5" w:rsidP="00476836">
            <w:pPr>
              <w:overflowPunct/>
              <w:autoSpaceDE/>
              <w:autoSpaceDN/>
              <w:adjustRightInd/>
              <w:jc w:val="both"/>
              <w:textAlignment w:val="auto"/>
              <w:rPr>
                <w:bCs/>
                <w:sz w:val="24"/>
                <w:szCs w:val="24"/>
              </w:rPr>
            </w:pPr>
            <w:r w:rsidRPr="004D0379">
              <w:rPr>
                <w:bCs/>
                <w:color w:val="FF0000"/>
                <w:sz w:val="24"/>
                <w:szCs w:val="24"/>
              </w:rPr>
              <w:t xml:space="preserve">   </w:t>
            </w:r>
            <w:r w:rsidR="004A08C1" w:rsidRPr="004D0379">
              <w:rPr>
                <w:bCs/>
                <w:color w:val="FF0000"/>
                <w:sz w:val="24"/>
                <w:szCs w:val="24"/>
              </w:rPr>
              <w:t xml:space="preserve">    </w:t>
            </w:r>
            <w:r w:rsidR="004A08C1" w:rsidRPr="00DB76E3">
              <w:rPr>
                <w:bCs/>
                <w:sz w:val="24"/>
                <w:szCs w:val="24"/>
              </w:rPr>
              <w:t xml:space="preserve"> </w:t>
            </w:r>
            <w:r w:rsidR="009B3A7A" w:rsidRPr="00DB76E3">
              <w:rPr>
                <w:bCs/>
                <w:sz w:val="24"/>
                <w:szCs w:val="24"/>
              </w:rPr>
              <w:t>Ostvareni prihodi od poreza u 201</w:t>
            </w:r>
            <w:r w:rsidR="00DB76E3" w:rsidRPr="00DB76E3">
              <w:rPr>
                <w:bCs/>
                <w:sz w:val="24"/>
                <w:szCs w:val="24"/>
              </w:rPr>
              <w:t>7</w:t>
            </w:r>
            <w:r w:rsidR="009B3A7A" w:rsidRPr="00DB76E3">
              <w:rPr>
                <w:bCs/>
                <w:sz w:val="24"/>
                <w:szCs w:val="24"/>
              </w:rPr>
              <w:t xml:space="preserve">. godini </w:t>
            </w:r>
            <w:r w:rsidR="00DB76E3" w:rsidRPr="00DB76E3">
              <w:rPr>
                <w:bCs/>
                <w:sz w:val="24"/>
                <w:szCs w:val="24"/>
              </w:rPr>
              <w:t xml:space="preserve">manji </w:t>
            </w:r>
            <w:r w:rsidR="009B3A7A" w:rsidRPr="00DB76E3">
              <w:rPr>
                <w:bCs/>
                <w:sz w:val="24"/>
                <w:szCs w:val="24"/>
              </w:rPr>
              <w:t xml:space="preserve"> su za </w:t>
            </w:r>
            <w:r w:rsidR="00DB76E3" w:rsidRPr="00DB76E3">
              <w:rPr>
                <w:bCs/>
                <w:sz w:val="24"/>
                <w:szCs w:val="24"/>
              </w:rPr>
              <w:t>2,16</w:t>
            </w:r>
            <w:r w:rsidR="009B3A7A" w:rsidRPr="00DB76E3">
              <w:rPr>
                <w:bCs/>
                <w:sz w:val="24"/>
                <w:szCs w:val="24"/>
              </w:rPr>
              <w:t xml:space="preserve"> % u odnosu na</w:t>
            </w:r>
            <w:r w:rsidR="00DB76E3" w:rsidRPr="00DB76E3">
              <w:rPr>
                <w:bCs/>
                <w:sz w:val="24"/>
                <w:szCs w:val="24"/>
              </w:rPr>
              <w:t xml:space="preserve"> ostvarenje iz 2016. godine, a nastali su kao rezultat porezne reforme koja je počela 1. sije</w:t>
            </w:r>
            <w:r w:rsidR="00DB76E3">
              <w:rPr>
                <w:bCs/>
                <w:sz w:val="24"/>
                <w:szCs w:val="24"/>
              </w:rPr>
              <w:t>čnja 2017. godine</w:t>
            </w:r>
            <w:r w:rsidR="00D928BC">
              <w:rPr>
                <w:bCs/>
                <w:sz w:val="24"/>
                <w:szCs w:val="24"/>
              </w:rPr>
              <w:t>.</w:t>
            </w:r>
            <w:r w:rsidR="00DB76E3">
              <w:rPr>
                <w:bCs/>
                <w:sz w:val="24"/>
                <w:szCs w:val="24"/>
              </w:rPr>
              <w:t xml:space="preserve"> </w:t>
            </w:r>
            <w:r w:rsidR="00D928BC">
              <w:rPr>
                <w:bCs/>
                <w:sz w:val="24"/>
                <w:szCs w:val="24"/>
              </w:rPr>
              <w:t>O</w:t>
            </w:r>
            <w:r w:rsidR="00DB76E3">
              <w:rPr>
                <w:bCs/>
                <w:sz w:val="24"/>
                <w:szCs w:val="24"/>
              </w:rPr>
              <w:t>stvarenje 2017. u odnosu na plan 2017. veće za 0,61 %.</w:t>
            </w:r>
            <w:r w:rsidR="00A36DE8">
              <w:rPr>
                <w:bCs/>
                <w:sz w:val="24"/>
                <w:szCs w:val="24"/>
              </w:rPr>
              <w:t xml:space="preserve"> </w:t>
            </w:r>
          </w:p>
          <w:p w:rsidR="00B52855" w:rsidRDefault="00A36DE8" w:rsidP="00476836">
            <w:pPr>
              <w:overflowPunct/>
              <w:autoSpaceDE/>
              <w:autoSpaceDN/>
              <w:adjustRightInd/>
              <w:jc w:val="both"/>
              <w:textAlignment w:val="auto"/>
              <w:rPr>
                <w:bCs/>
                <w:sz w:val="24"/>
                <w:szCs w:val="24"/>
              </w:rPr>
            </w:pPr>
            <w:r>
              <w:rPr>
                <w:bCs/>
                <w:sz w:val="24"/>
                <w:szCs w:val="24"/>
              </w:rPr>
              <w:t xml:space="preserve">         </w:t>
            </w:r>
            <w:r w:rsidR="0027653C">
              <w:rPr>
                <w:bCs/>
                <w:sz w:val="24"/>
                <w:szCs w:val="24"/>
              </w:rPr>
              <w:t>Prihodi od pomoći u 2017. ostvareni su sa 7,36% većem iznosu u odnosu na 2016. godinu, odnosno za 1,87 milijuna kuna.</w:t>
            </w:r>
          </w:p>
          <w:p w:rsidR="00D63CCA" w:rsidRDefault="009B3A7A" w:rsidP="00476836">
            <w:pPr>
              <w:overflowPunct/>
              <w:autoSpaceDE/>
              <w:autoSpaceDN/>
              <w:adjustRightInd/>
              <w:jc w:val="both"/>
              <w:textAlignment w:val="auto"/>
              <w:rPr>
                <w:bCs/>
                <w:sz w:val="24"/>
                <w:szCs w:val="24"/>
              </w:rPr>
            </w:pPr>
            <w:r w:rsidRPr="004D0379">
              <w:rPr>
                <w:bCs/>
                <w:color w:val="FF0000"/>
                <w:sz w:val="24"/>
                <w:szCs w:val="24"/>
              </w:rPr>
              <w:t xml:space="preserve"> </w:t>
            </w:r>
            <w:r w:rsidR="00A36DE8">
              <w:rPr>
                <w:bCs/>
                <w:color w:val="FF0000"/>
                <w:sz w:val="24"/>
                <w:szCs w:val="24"/>
              </w:rPr>
              <w:t xml:space="preserve">        </w:t>
            </w:r>
            <w:r w:rsidR="002F7B0A" w:rsidRPr="00B52855">
              <w:rPr>
                <w:bCs/>
                <w:sz w:val="24"/>
                <w:szCs w:val="24"/>
              </w:rPr>
              <w:t xml:space="preserve">Najveće ostvarenje prihoda </w:t>
            </w:r>
            <w:r w:rsidRPr="00B52855">
              <w:rPr>
                <w:bCs/>
                <w:sz w:val="24"/>
                <w:szCs w:val="24"/>
              </w:rPr>
              <w:t xml:space="preserve"> </w:t>
            </w:r>
            <w:r w:rsidR="002F7B0A" w:rsidRPr="00B52855">
              <w:rPr>
                <w:bCs/>
                <w:sz w:val="24"/>
                <w:szCs w:val="24"/>
              </w:rPr>
              <w:t xml:space="preserve">u odnosu na </w:t>
            </w:r>
            <w:r w:rsidR="00B52855" w:rsidRPr="00B52855">
              <w:rPr>
                <w:bCs/>
                <w:sz w:val="24"/>
                <w:szCs w:val="24"/>
              </w:rPr>
              <w:t>prethodnu godinu je kod prihoda od imovine koji su veći za 15,97%, odnosno za 18,68 mi</w:t>
            </w:r>
            <w:r w:rsidR="00B157B8">
              <w:rPr>
                <w:bCs/>
                <w:sz w:val="24"/>
                <w:szCs w:val="24"/>
              </w:rPr>
              <w:t>li</w:t>
            </w:r>
            <w:r w:rsidR="005F0D78">
              <w:rPr>
                <w:bCs/>
                <w:sz w:val="24"/>
                <w:szCs w:val="24"/>
              </w:rPr>
              <w:t>juna kuna, iako nisu bili ostvareni planirani prihodi od žičare u iznosu od 10.000.000 kn</w:t>
            </w:r>
            <w:r w:rsidR="00D63CCA">
              <w:rPr>
                <w:bCs/>
                <w:sz w:val="24"/>
                <w:szCs w:val="24"/>
              </w:rPr>
              <w:t>.</w:t>
            </w:r>
          </w:p>
          <w:p w:rsidR="00D63CCA" w:rsidRPr="00C341DE" w:rsidRDefault="00A36DE8" w:rsidP="00476836">
            <w:pPr>
              <w:overflowPunct/>
              <w:autoSpaceDE/>
              <w:autoSpaceDN/>
              <w:adjustRightInd/>
              <w:jc w:val="both"/>
              <w:textAlignment w:val="auto"/>
              <w:rPr>
                <w:bCs/>
                <w:sz w:val="24"/>
                <w:szCs w:val="24"/>
              </w:rPr>
            </w:pPr>
            <w:r>
              <w:rPr>
                <w:bCs/>
                <w:sz w:val="24"/>
                <w:szCs w:val="24"/>
              </w:rPr>
              <w:t xml:space="preserve">        </w:t>
            </w:r>
            <w:r w:rsidR="00B157B8">
              <w:rPr>
                <w:bCs/>
                <w:sz w:val="24"/>
                <w:szCs w:val="24"/>
              </w:rPr>
              <w:t>Prihodi od administrativnih pristojbi u 2017.veći su u odnosu na plan za 2,99 %, ali su u odnosu na ostvarenje u 2016. manji za 1,02%, odnosno za 1,05 milijuna kuna.</w:t>
            </w:r>
          </w:p>
          <w:p w:rsidR="009639CE" w:rsidRPr="00D2710E" w:rsidRDefault="00C341DE" w:rsidP="00476836">
            <w:pPr>
              <w:overflowPunct/>
              <w:autoSpaceDE/>
              <w:autoSpaceDN/>
              <w:adjustRightInd/>
              <w:jc w:val="both"/>
              <w:textAlignment w:val="auto"/>
              <w:rPr>
                <w:bCs/>
                <w:sz w:val="24"/>
                <w:szCs w:val="24"/>
              </w:rPr>
            </w:pPr>
            <w:r w:rsidRPr="00D2710E">
              <w:rPr>
                <w:bCs/>
                <w:sz w:val="24"/>
                <w:szCs w:val="24"/>
              </w:rPr>
              <w:t xml:space="preserve">        </w:t>
            </w:r>
            <w:r w:rsidR="00B03678">
              <w:rPr>
                <w:bCs/>
                <w:sz w:val="24"/>
                <w:szCs w:val="24"/>
              </w:rPr>
              <w:t xml:space="preserve">Veće </w:t>
            </w:r>
            <w:r w:rsidR="009B3A7A" w:rsidRPr="00D2710E">
              <w:rPr>
                <w:bCs/>
                <w:sz w:val="24"/>
                <w:szCs w:val="24"/>
              </w:rPr>
              <w:t xml:space="preserve">odstupanje ostvarenih prihoda u odnosu na </w:t>
            </w:r>
            <w:r w:rsidR="009639CE" w:rsidRPr="00D2710E">
              <w:rPr>
                <w:bCs/>
                <w:sz w:val="24"/>
                <w:szCs w:val="24"/>
              </w:rPr>
              <w:t xml:space="preserve">prethodnu godinu </w:t>
            </w:r>
            <w:r w:rsidR="009B3A7A" w:rsidRPr="00D2710E">
              <w:rPr>
                <w:bCs/>
                <w:sz w:val="24"/>
                <w:szCs w:val="24"/>
              </w:rPr>
              <w:t xml:space="preserve"> vidljivo je kod Prihoda od prodaje neproizvedene imovine gdje je </w:t>
            </w:r>
            <w:r w:rsidR="009639CE" w:rsidRPr="00D2710E">
              <w:rPr>
                <w:bCs/>
                <w:sz w:val="24"/>
                <w:szCs w:val="24"/>
              </w:rPr>
              <w:t>ostvarenje</w:t>
            </w:r>
            <w:r w:rsidR="00107CD0" w:rsidRPr="00D2710E">
              <w:rPr>
                <w:bCs/>
                <w:sz w:val="24"/>
                <w:szCs w:val="24"/>
              </w:rPr>
              <w:t xml:space="preserve"> u 2017.</w:t>
            </w:r>
            <w:r w:rsidR="009639CE" w:rsidRPr="00D2710E">
              <w:rPr>
                <w:bCs/>
                <w:sz w:val="24"/>
                <w:szCs w:val="24"/>
              </w:rPr>
              <w:t xml:space="preserve"> bilo 138.929 kn</w:t>
            </w:r>
            <w:r w:rsidR="00107CD0" w:rsidRPr="00D2710E">
              <w:rPr>
                <w:bCs/>
                <w:sz w:val="24"/>
                <w:szCs w:val="24"/>
              </w:rPr>
              <w:t xml:space="preserve">, a u 2016. 415.400 kn. </w:t>
            </w:r>
          </w:p>
          <w:p w:rsidR="009639CE" w:rsidRPr="00B03678" w:rsidRDefault="00C341DE" w:rsidP="00476836">
            <w:pPr>
              <w:overflowPunct/>
              <w:autoSpaceDE/>
              <w:autoSpaceDN/>
              <w:adjustRightInd/>
              <w:jc w:val="both"/>
              <w:textAlignment w:val="auto"/>
              <w:rPr>
                <w:bCs/>
                <w:sz w:val="24"/>
                <w:szCs w:val="24"/>
              </w:rPr>
            </w:pPr>
            <w:r w:rsidRPr="00B03678">
              <w:rPr>
                <w:bCs/>
                <w:sz w:val="24"/>
                <w:szCs w:val="24"/>
              </w:rPr>
              <w:t xml:space="preserve">        </w:t>
            </w:r>
            <w:r w:rsidR="009639CE" w:rsidRPr="00B03678">
              <w:rPr>
                <w:bCs/>
                <w:sz w:val="24"/>
                <w:szCs w:val="24"/>
              </w:rPr>
              <w:t>Na stavci višak prihoda iz prethodnog razdoblja vidljiva je velika razlika od 24,</w:t>
            </w:r>
            <w:r w:rsidR="0062726F" w:rsidRPr="00B03678">
              <w:rPr>
                <w:bCs/>
                <w:sz w:val="24"/>
                <w:szCs w:val="24"/>
              </w:rPr>
              <w:t>91</w:t>
            </w:r>
            <w:r w:rsidR="009639CE" w:rsidRPr="00B03678">
              <w:rPr>
                <w:bCs/>
                <w:sz w:val="24"/>
                <w:szCs w:val="24"/>
              </w:rPr>
              <w:t xml:space="preserve"> milijuna  kn, a razlog je kao što smo to već </w:t>
            </w:r>
            <w:r w:rsidR="00107CD0" w:rsidRPr="00B03678">
              <w:rPr>
                <w:bCs/>
                <w:sz w:val="24"/>
                <w:szCs w:val="24"/>
              </w:rPr>
              <w:t xml:space="preserve">prethodno naveli, </w:t>
            </w:r>
            <w:r w:rsidR="009639CE" w:rsidRPr="00B03678">
              <w:rPr>
                <w:bCs/>
                <w:sz w:val="24"/>
                <w:szCs w:val="24"/>
              </w:rPr>
              <w:t>bilo privremeno financiranje u 2016. tijekom kojeg su rashodi bili reducirani</w:t>
            </w:r>
            <w:r w:rsidR="001F51BB" w:rsidRPr="00B03678">
              <w:rPr>
                <w:bCs/>
                <w:sz w:val="24"/>
                <w:szCs w:val="24"/>
              </w:rPr>
              <w:t xml:space="preserve"> </w:t>
            </w:r>
            <w:r w:rsidR="009639CE" w:rsidRPr="00B03678">
              <w:rPr>
                <w:bCs/>
                <w:sz w:val="24"/>
                <w:szCs w:val="24"/>
              </w:rPr>
              <w:t xml:space="preserve"> samo na one </w:t>
            </w:r>
            <w:r w:rsidR="001F51BB" w:rsidRPr="00B03678">
              <w:rPr>
                <w:bCs/>
                <w:sz w:val="24"/>
                <w:szCs w:val="24"/>
              </w:rPr>
              <w:t>nužne i ugovorene, te je dio sr</w:t>
            </w:r>
            <w:r w:rsidR="009B74A9" w:rsidRPr="00B03678">
              <w:rPr>
                <w:bCs/>
                <w:sz w:val="24"/>
                <w:szCs w:val="24"/>
              </w:rPr>
              <w:t>edstava ostao neutrošen i kao takav prebačen kao višak u narednu godinu.</w:t>
            </w:r>
          </w:p>
          <w:p w:rsidR="001B063F" w:rsidRPr="00B03678" w:rsidRDefault="009639CE" w:rsidP="00F0421E">
            <w:pPr>
              <w:overflowPunct/>
              <w:autoSpaceDE/>
              <w:autoSpaceDN/>
              <w:adjustRightInd/>
              <w:jc w:val="both"/>
              <w:textAlignment w:val="auto"/>
              <w:rPr>
                <w:b/>
                <w:bCs/>
                <w:sz w:val="24"/>
                <w:szCs w:val="24"/>
              </w:rPr>
            </w:pPr>
            <w:r w:rsidRPr="00B03678">
              <w:rPr>
                <w:bCs/>
                <w:sz w:val="24"/>
                <w:szCs w:val="24"/>
              </w:rPr>
              <w:t xml:space="preserve"> </w:t>
            </w:r>
          </w:p>
          <w:p w:rsidR="001B063F" w:rsidRDefault="001B063F" w:rsidP="009C59C9">
            <w:pPr>
              <w:overflowPunct/>
              <w:autoSpaceDE/>
              <w:autoSpaceDN/>
              <w:adjustRightInd/>
              <w:textAlignment w:val="auto"/>
              <w:rPr>
                <w:rFonts w:ascii="Arial" w:hAnsi="Arial" w:cs="Arial"/>
                <w:b/>
                <w:bCs/>
              </w:rPr>
            </w:pPr>
          </w:p>
          <w:p w:rsidR="00461030" w:rsidRDefault="00E81604" w:rsidP="00165E3B">
            <w:pPr>
              <w:overflowPunct/>
              <w:autoSpaceDE/>
              <w:autoSpaceDN/>
              <w:adjustRightInd/>
              <w:jc w:val="center"/>
              <w:textAlignment w:val="auto"/>
              <w:rPr>
                <w:rFonts w:ascii="Arial" w:hAnsi="Arial" w:cs="Arial"/>
                <w:b/>
                <w:bCs/>
              </w:rPr>
            </w:pPr>
            <w:r w:rsidRPr="00E81604">
              <w:rPr>
                <w:rFonts w:ascii="Arial" w:hAnsi="Arial" w:cs="Arial"/>
                <w:b/>
                <w:bCs/>
              </w:rPr>
              <w:t>STRUKTURA PRIHODA PRORA</w:t>
            </w:r>
            <w:r w:rsidR="00D53726">
              <w:rPr>
                <w:rFonts w:ascii="Arial" w:hAnsi="Arial" w:cs="Arial"/>
                <w:b/>
                <w:bCs/>
              </w:rPr>
              <w:t>Č</w:t>
            </w:r>
            <w:r w:rsidRPr="00E81604">
              <w:rPr>
                <w:rFonts w:ascii="Arial" w:hAnsi="Arial" w:cs="Arial"/>
                <w:b/>
                <w:bCs/>
              </w:rPr>
              <w:t xml:space="preserve">UNA GRADA DUBROVNIKA                                   </w:t>
            </w:r>
          </w:p>
          <w:p w:rsidR="00E81604" w:rsidRPr="00E81604" w:rsidRDefault="00E81604" w:rsidP="004D0379">
            <w:pPr>
              <w:overflowPunct/>
              <w:autoSpaceDE/>
              <w:autoSpaceDN/>
              <w:adjustRightInd/>
              <w:jc w:val="center"/>
              <w:textAlignment w:val="auto"/>
              <w:rPr>
                <w:rFonts w:ascii="Arial" w:hAnsi="Arial" w:cs="Arial"/>
                <w:b/>
                <w:bCs/>
              </w:rPr>
            </w:pPr>
            <w:r w:rsidRPr="00E81604">
              <w:rPr>
                <w:rFonts w:ascii="Arial" w:hAnsi="Arial" w:cs="Arial"/>
                <w:b/>
                <w:bCs/>
              </w:rPr>
              <w:t>OSTVARENI</w:t>
            </w:r>
            <w:r w:rsidR="00082BB7">
              <w:rPr>
                <w:rFonts w:ascii="Arial" w:hAnsi="Arial" w:cs="Arial"/>
                <w:b/>
                <w:bCs/>
              </w:rPr>
              <w:t>H</w:t>
            </w:r>
            <w:r w:rsidRPr="00E81604">
              <w:rPr>
                <w:rFonts w:ascii="Arial" w:hAnsi="Arial" w:cs="Arial"/>
                <w:b/>
                <w:bCs/>
              </w:rPr>
              <w:t xml:space="preserve"> U 201</w:t>
            </w:r>
            <w:r w:rsidR="004D0379">
              <w:rPr>
                <w:rFonts w:ascii="Arial" w:hAnsi="Arial" w:cs="Arial"/>
                <w:b/>
                <w:bCs/>
              </w:rPr>
              <w:t>7</w:t>
            </w:r>
            <w:r w:rsidRPr="00E81604">
              <w:rPr>
                <w:rFonts w:ascii="Arial" w:hAnsi="Arial" w:cs="Arial"/>
                <w:b/>
                <w:bCs/>
              </w:rPr>
              <w:t>. GODINI</w:t>
            </w:r>
          </w:p>
        </w:tc>
      </w:tr>
      <w:tr w:rsidR="00E81604" w:rsidTr="00DE4A86">
        <w:trPr>
          <w:trHeight w:val="255"/>
        </w:trPr>
        <w:tc>
          <w:tcPr>
            <w:tcW w:w="9262" w:type="dxa"/>
            <w:gridSpan w:val="9"/>
            <w:vMerge/>
            <w:tcBorders>
              <w:top w:val="nil"/>
              <w:left w:val="nil"/>
              <w:bottom w:val="nil"/>
              <w:right w:val="nil"/>
            </w:tcBorders>
            <w:vAlign w:val="center"/>
          </w:tcPr>
          <w:p w:rsidR="00E81604" w:rsidRPr="00E81604" w:rsidRDefault="00E81604" w:rsidP="00E81604">
            <w:pPr>
              <w:overflowPunct/>
              <w:autoSpaceDE/>
              <w:autoSpaceDN/>
              <w:adjustRightInd/>
              <w:textAlignment w:val="auto"/>
              <w:rPr>
                <w:rFonts w:ascii="Arial" w:hAnsi="Arial" w:cs="Arial"/>
                <w:b/>
                <w:bCs/>
              </w:rPr>
            </w:pPr>
          </w:p>
        </w:tc>
      </w:tr>
      <w:tr w:rsidR="00E81604" w:rsidTr="00DE4A86">
        <w:trPr>
          <w:trHeight w:val="255"/>
        </w:trPr>
        <w:tc>
          <w:tcPr>
            <w:tcW w:w="9262" w:type="dxa"/>
            <w:gridSpan w:val="9"/>
            <w:vMerge/>
            <w:tcBorders>
              <w:top w:val="nil"/>
              <w:left w:val="nil"/>
              <w:bottom w:val="nil"/>
              <w:right w:val="nil"/>
            </w:tcBorders>
            <w:vAlign w:val="center"/>
          </w:tcPr>
          <w:p w:rsidR="00E81604" w:rsidRPr="00E81604" w:rsidRDefault="00E81604" w:rsidP="00E81604">
            <w:pPr>
              <w:overflowPunct/>
              <w:autoSpaceDE/>
              <w:autoSpaceDN/>
              <w:adjustRightInd/>
              <w:textAlignment w:val="auto"/>
              <w:rPr>
                <w:rFonts w:ascii="Arial" w:hAnsi="Arial" w:cs="Arial"/>
                <w:b/>
                <w:bCs/>
              </w:rPr>
            </w:pPr>
          </w:p>
        </w:tc>
      </w:tr>
      <w:tr w:rsidR="00E81604" w:rsidTr="00DE4A86">
        <w:trPr>
          <w:trHeight w:val="255"/>
        </w:trPr>
        <w:tc>
          <w:tcPr>
            <w:tcW w:w="5268" w:type="dxa"/>
            <w:gridSpan w:val="3"/>
            <w:tcBorders>
              <w:top w:val="nil"/>
              <w:left w:val="nil"/>
              <w:bottom w:val="nil"/>
              <w:right w:val="nil"/>
            </w:tcBorders>
            <w:shd w:val="clear" w:color="auto" w:fill="auto"/>
            <w:vAlign w:val="center"/>
          </w:tcPr>
          <w:p w:rsidR="00E81604" w:rsidRDefault="00FB3C88" w:rsidP="00E81604">
            <w:pPr>
              <w:overflowPunct/>
              <w:autoSpaceDE/>
              <w:autoSpaceDN/>
              <w:adjustRightInd/>
              <w:jc w:val="center"/>
              <w:textAlignment w:val="auto"/>
              <w:rPr>
                <w:rFonts w:ascii="Arial" w:hAnsi="Arial" w:cs="Arial"/>
              </w:rPr>
            </w:pPr>
            <w:r>
              <w:rPr>
                <w:rFonts w:ascii="Arial" w:hAnsi="Arial" w:cs="Arial"/>
              </w:rPr>
              <w:lastRenderedPageBreak/>
              <w:t xml:space="preserve"> </w:t>
            </w:r>
          </w:p>
          <w:p w:rsidR="00461030" w:rsidRPr="00E81604" w:rsidRDefault="003930FA" w:rsidP="00406BDC">
            <w:pPr>
              <w:overflowPunct/>
              <w:autoSpaceDE/>
              <w:autoSpaceDN/>
              <w:adjustRightInd/>
              <w:jc w:val="both"/>
              <w:textAlignment w:val="auto"/>
              <w:rPr>
                <w:rFonts w:ascii="Arial" w:hAnsi="Arial" w:cs="Arial"/>
              </w:rPr>
            </w:pPr>
            <w:r>
              <w:rPr>
                <w:rFonts w:ascii="Arial" w:hAnsi="Arial" w:cs="Arial"/>
              </w:rPr>
              <w:t>(zajedno sa proračunskim korisnicima Grada Dubrovnika)</w:t>
            </w:r>
          </w:p>
        </w:tc>
        <w:tc>
          <w:tcPr>
            <w:tcW w:w="2098" w:type="dxa"/>
            <w:gridSpan w:val="3"/>
            <w:tcBorders>
              <w:top w:val="nil"/>
              <w:left w:val="nil"/>
              <w:bottom w:val="nil"/>
              <w:right w:val="nil"/>
            </w:tcBorders>
            <w:shd w:val="clear" w:color="auto" w:fill="auto"/>
            <w:vAlign w:val="center"/>
          </w:tcPr>
          <w:p w:rsidR="00E81604" w:rsidRPr="00E81604" w:rsidRDefault="00E81604" w:rsidP="00E81604">
            <w:pPr>
              <w:overflowPunct/>
              <w:autoSpaceDE/>
              <w:autoSpaceDN/>
              <w:adjustRightInd/>
              <w:jc w:val="center"/>
              <w:textAlignment w:val="auto"/>
              <w:rPr>
                <w:rFonts w:ascii="Arial" w:hAnsi="Arial" w:cs="Arial"/>
              </w:rPr>
            </w:pPr>
          </w:p>
        </w:tc>
        <w:tc>
          <w:tcPr>
            <w:tcW w:w="1896" w:type="dxa"/>
            <w:gridSpan w:val="3"/>
            <w:tcBorders>
              <w:top w:val="nil"/>
              <w:left w:val="nil"/>
              <w:bottom w:val="nil"/>
              <w:right w:val="nil"/>
            </w:tcBorders>
            <w:shd w:val="clear" w:color="auto" w:fill="auto"/>
            <w:vAlign w:val="center"/>
          </w:tcPr>
          <w:p w:rsidR="00E81604" w:rsidRPr="00E81604" w:rsidRDefault="00E81604" w:rsidP="00E81604">
            <w:pPr>
              <w:overflowPunct/>
              <w:autoSpaceDE/>
              <w:autoSpaceDN/>
              <w:adjustRightInd/>
              <w:jc w:val="center"/>
              <w:textAlignment w:val="auto"/>
              <w:rPr>
                <w:rFonts w:ascii="Arial" w:hAnsi="Arial" w:cs="Arial"/>
              </w:rPr>
            </w:pPr>
          </w:p>
        </w:tc>
      </w:tr>
      <w:tr w:rsidR="00E81604" w:rsidTr="00DE4A86">
        <w:trPr>
          <w:trHeight w:val="398"/>
        </w:trPr>
        <w:tc>
          <w:tcPr>
            <w:tcW w:w="5268" w:type="dxa"/>
            <w:gridSpan w:val="3"/>
            <w:tcBorders>
              <w:top w:val="nil"/>
              <w:left w:val="nil"/>
              <w:bottom w:val="nil"/>
              <w:right w:val="nil"/>
            </w:tcBorders>
            <w:shd w:val="clear" w:color="auto" w:fill="auto"/>
            <w:noWrap/>
            <w:vAlign w:val="center"/>
          </w:tcPr>
          <w:p w:rsidR="00E81604" w:rsidRPr="00D53726" w:rsidRDefault="00E81604" w:rsidP="00406BDC">
            <w:pPr>
              <w:overflowPunct/>
              <w:autoSpaceDE/>
              <w:autoSpaceDN/>
              <w:adjustRightInd/>
              <w:textAlignment w:val="auto"/>
              <w:rPr>
                <w:rFonts w:ascii="Arial" w:hAnsi="Arial" w:cs="Arial"/>
                <w:b/>
              </w:rPr>
            </w:pPr>
            <w:r w:rsidRPr="00D53726">
              <w:rPr>
                <w:rFonts w:ascii="Arial" w:hAnsi="Arial" w:cs="Arial"/>
                <w:b/>
              </w:rPr>
              <w:t>Tabl</w:t>
            </w:r>
            <w:r w:rsidR="00D53726" w:rsidRPr="00D53726">
              <w:rPr>
                <w:rFonts w:ascii="Arial" w:hAnsi="Arial" w:cs="Arial"/>
                <w:b/>
              </w:rPr>
              <w:t>ica  br</w:t>
            </w:r>
            <w:r w:rsidRPr="00D53726">
              <w:rPr>
                <w:rFonts w:ascii="Arial" w:hAnsi="Arial" w:cs="Arial"/>
                <w:b/>
              </w:rPr>
              <w:t>.</w:t>
            </w:r>
            <w:r w:rsidR="00D53726" w:rsidRPr="00D53726">
              <w:rPr>
                <w:rFonts w:ascii="Arial" w:hAnsi="Arial" w:cs="Arial"/>
                <w:b/>
              </w:rPr>
              <w:t xml:space="preserve"> </w:t>
            </w:r>
            <w:r w:rsidR="0038783D">
              <w:rPr>
                <w:rFonts w:ascii="Arial" w:hAnsi="Arial" w:cs="Arial"/>
                <w:b/>
              </w:rPr>
              <w:t>3</w:t>
            </w:r>
          </w:p>
        </w:tc>
        <w:tc>
          <w:tcPr>
            <w:tcW w:w="2098" w:type="dxa"/>
            <w:gridSpan w:val="3"/>
            <w:tcBorders>
              <w:top w:val="nil"/>
              <w:left w:val="nil"/>
              <w:bottom w:val="nil"/>
              <w:right w:val="nil"/>
            </w:tcBorders>
            <w:shd w:val="clear" w:color="auto" w:fill="auto"/>
            <w:noWrap/>
            <w:vAlign w:val="center"/>
          </w:tcPr>
          <w:p w:rsidR="00E81604" w:rsidRPr="00E81604" w:rsidRDefault="00E81604" w:rsidP="00E81604">
            <w:pPr>
              <w:overflowPunct/>
              <w:autoSpaceDE/>
              <w:autoSpaceDN/>
              <w:adjustRightInd/>
              <w:jc w:val="center"/>
              <w:textAlignment w:val="auto"/>
              <w:rPr>
                <w:rFonts w:ascii="Arial" w:hAnsi="Arial" w:cs="Arial"/>
              </w:rPr>
            </w:pPr>
          </w:p>
        </w:tc>
        <w:tc>
          <w:tcPr>
            <w:tcW w:w="1896" w:type="dxa"/>
            <w:gridSpan w:val="3"/>
            <w:tcBorders>
              <w:top w:val="nil"/>
              <w:left w:val="nil"/>
              <w:bottom w:val="nil"/>
              <w:right w:val="nil"/>
            </w:tcBorders>
            <w:shd w:val="clear" w:color="auto" w:fill="auto"/>
            <w:noWrap/>
            <w:vAlign w:val="center"/>
          </w:tcPr>
          <w:p w:rsidR="00E81604" w:rsidRPr="00D53726" w:rsidRDefault="00E81604" w:rsidP="00E81604">
            <w:pPr>
              <w:overflowPunct/>
              <w:autoSpaceDE/>
              <w:autoSpaceDN/>
              <w:adjustRightInd/>
              <w:jc w:val="center"/>
              <w:textAlignment w:val="auto"/>
              <w:rPr>
                <w:rFonts w:ascii="Arial" w:hAnsi="Arial" w:cs="Arial"/>
                <w:b/>
              </w:rPr>
            </w:pPr>
            <w:r w:rsidRPr="00D53726">
              <w:rPr>
                <w:rFonts w:ascii="Arial" w:hAnsi="Arial" w:cs="Arial"/>
                <w:b/>
              </w:rPr>
              <w:t>u 000 kn</w:t>
            </w:r>
          </w:p>
        </w:tc>
      </w:tr>
      <w:tr w:rsidR="00E81604" w:rsidTr="00DE4A86">
        <w:trPr>
          <w:trHeight w:val="443"/>
        </w:trPr>
        <w:tc>
          <w:tcPr>
            <w:tcW w:w="5268"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81604" w:rsidRPr="00D53726" w:rsidRDefault="00E81604" w:rsidP="00D53726">
            <w:pPr>
              <w:overflowPunct/>
              <w:autoSpaceDE/>
              <w:autoSpaceDN/>
              <w:adjustRightInd/>
              <w:textAlignment w:val="auto"/>
              <w:rPr>
                <w:rFonts w:ascii="Arial" w:hAnsi="Arial" w:cs="Arial"/>
                <w:b/>
              </w:rPr>
            </w:pPr>
            <w:r w:rsidRPr="00D53726">
              <w:rPr>
                <w:rFonts w:ascii="Arial" w:hAnsi="Arial" w:cs="Arial"/>
                <w:b/>
              </w:rPr>
              <w:t>P R I H O D I</w:t>
            </w:r>
          </w:p>
        </w:tc>
        <w:tc>
          <w:tcPr>
            <w:tcW w:w="2098" w:type="dxa"/>
            <w:gridSpan w:val="3"/>
            <w:tcBorders>
              <w:top w:val="single" w:sz="8" w:space="0" w:color="auto"/>
              <w:left w:val="nil"/>
              <w:bottom w:val="single" w:sz="8" w:space="0" w:color="auto"/>
              <w:right w:val="single" w:sz="4" w:space="0" w:color="auto"/>
            </w:tcBorders>
            <w:shd w:val="clear" w:color="auto" w:fill="auto"/>
            <w:noWrap/>
            <w:vAlign w:val="center"/>
          </w:tcPr>
          <w:p w:rsidR="00E81604" w:rsidRPr="00D53726" w:rsidRDefault="00E81604" w:rsidP="004D0379">
            <w:pPr>
              <w:overflowPunct/>
              <w:autoSpaceDE/>
              <w:autoSpaceDN/>
              <w:adjustRightInd/>
              <w:jc w:val="center"/>
              <w:textAlignment w:val="auto"/>
              <w:rPr>
                <w:rFonts w:ascii="Arial" w:hAnsi="Arial" w:cs="Arial"/>
                <w:b/>
              </w:rPr>
            </w:pPr>
            <w:r w:rsidRPr="00D53726">
              <w:rPr>
                <w:rFonts w:ascii="Arial" w:hAnsi="Arial" w:cs="Arial"/>
                <w:b/>
              </w:rPr>
              <w:t>Ostvarenje u 201</w:t>
            </w:r>
            <w:r w:rsidR="004D0379">
              <w:rPr>
                <w:rFonts w:ascii="Arial" w:hAnsi="Arial" w:cs="Arial"/>
                <w:b/>
              </w:rPr>
              <w:t>7</w:t>
            </w:r>
            <w:r w:rsidRPr="00D53726">
              <w:rPr>
                <w:rFonts w:ascii="Arial" w:hAnsi="Arial" w:cs="Arial"/>
                <w:b/>
              </w:rPr>
              <w:t>.</w:t>
            </w:r>
          </w:p>
        </w:tc>
        <w:tc>
          <w:tcPr>
            <w:tcW w:w="1896" w:type="dxa"/>
            <w:gridSpan w:val="3"/>
            <w:tcBorders>
              <w:top w:val="single" w:sz="8" w:space="0" w:color="auto"/>
              <w:left w:val="nil"/>
              <w:bottom w:val="single" w:sz="8" w:space="0" w:color="auto"/>
              <w:right w:val="single" w:sz="8" w:space="0" w:color="auto"/>
            </w:tcBorders>
            <w:shd w:val="clear" w:color="auto" w:fill="auto"/>
            <w:noWrap/>
            <w:vAlign w:val="center"/>
          </w:tcPr>
          <w:p w:rsidR="00E81604" w:rsidRPr="00D53726" w:rsidRDefault="00E81604" w:rsidP="00E81604">
            <w:pPr>
              <w:overflowPunct/>
              <w:autoSpaceDE/>
              <w:autoSpaceDN/>
              <w:adjustRightInd/>
              <w:jc w:val="center"/>
              <w:textAlignment w:val="auto"/>
              <w:rPr>
                <w:rFonts w:ascii="Arial" w:hAnsi="Arial" w:cs="Arial"/>
                <w:b/>
              </w:rPr>
            </w:pPr>
            <w:r w:rsidRPr="00D53726">
              <w:rPr>
                <w:rFonts w:ascii="Arial" w:hAnsi="Arial" w:cs="Arial"/>
                <w:b/>
              </w:rPr>
              <w:t>Udio u ostvarenju</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Prihodi od poreza</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E7639A" w:rsidRDefault="00E7639A" w:rsidP="00E7639A">
            <w:pPr>
              <w:overflowPunct/>
              <w:autoSpaceDE/>
              <w:autoSpaceDN/>
              <w:adjustRightInd/>
              <w:jc w:val="right"/>
              <w:textAlignment w:val="auto"/>
              <w:rPr>
                <w:rFonts w:ascii="Arial" w:hAnsi="Arial" w:cs="Arial"/>
              </w:rPr>
            </w:pPr>
            <w:r w:rsidRPr="00E7639A">
              <w:rPr>
                <w:rFonts w:ascii="Arial" w:hAnsi="Arial" w:cs="Arial"/>
              </w:rPr>
              <w:t>153.584</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0379" w:rsidRDefault="00CA1E1B" w:rsidP="004D6B8E">
            <w:pPr>
              <w:overflowPunct/>
              <w:autoSpaceDE/>
              <w:autoSpaceDN/>
              <w:adjustRightInd/>
              <w:jc w:val="right"/>
              <w:textAlignment w:val="auto"/>
              <w:rPr>
                <w:rFonts w:ascii="Arial" w:hAnsi="Arial" w:cs="Arial"/>
                <w:color w:val="FF0000"/>
              </w:rPr>
            </w:pPr>
            <w:r w:rsidRPr="004D6B8E">
              <w:rPr>
                <w:rFonts w:ascii="Arial" w:hAnsi="Arial" w:cs="Arial"/>
              </w:rPr>
              <w:t>34,</w:t>
            </w:r>
            <w:r w:rsidR="004D6B8E" w:rsidRPr="004D6B8E">
              <w:rPr>
                <w:rFonts w:ascii="Arial" w:hAnsi="Arial" w:cs="Arial"/>
              </w:rPr>
              <w:t>29</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Prihodi od prodaje ne</w:t>
            </w:r>
            <w:r w:rsidR="009946A5">
              <w:rPr>
                <w:rFonts w:ascii="Arial" w:hAnsi="Arial" w:cs="Arial"/>
              </w:rPr>
              <w:t xml:space="preserve"> </w:t>
            </w:r>
            <w:r w:rsidRPr="00E81604">
              <w:rPr>
                <w:rFonts w:ascii="Arial" w:hAnsi="Arial" w:cs="Arial"/>
              </w:rPr>
              <w:t>proizvedene imovine</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E7639A" w:rsidRDefault="00E7639A" w:rsidP="00E81604">
            <w:pPr>
              <w:overflowPunct/>
              <w:autoSpaceDE/>
              <w:autoSpaceDN/>
              <w:adjustRightInd/>
              <w:jc w:val="right"/>
              <w:textAlignment w:val="auto"/>
              <w:rPr>
                <w:rFonts w:ascii="Arial" w:hAnsi="Arial" w:cs="Arial"/>
              </w:rPr>
            </w:pPr>
            <w:r w:rsidRPr="00E7639A">
              <w:rPr>
                <w:rFonts w:ascii="Arial" w:hAnsi="Arial" w:cs="Arial"/>
              </w:rPr>
              <w:t>139</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6B8E" w:rsidRDefault="00CA1E1B" w:rsidP="004D6B8E">
            <w:pPr>
              <w:overflowPunct/>
              <w:autoSpaceDE/>
              <w:autoSpaceDN/>
              <w:adjustRightInd/>
              <w:jc w:val="right"/>
              <w:textAlignment w:val="auto"/>
              <w:rPr>
                <w:rFonts w:ascii="Arial" w:hAnsi="Arial" w:cs="Arial"/>
              </w:rPr>
            </w:pPr>
            <w:r w:rsidRPr="004D6B8E">
              <w:rPr>
                <w:rFonts w:ascii="Arial" w:hAnsi="Arial" w:cs="Arial"/>
              </w:rPr>
              <w:t>0,0</w:t>
            </w:r>
            <w:r w:rsidR="004D6B8E" w:rsidRPr="004D6B8E">
              <w:rPr>
                <w:rFonts w:ascii="Arial" w:hAnsi="Arial" w:cs="Arial"/>
              </w:rPr>
              <w:t>3</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Pomoći</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E7639A" w:rsidRDefault="00E7639A" w:rsidP="00E81604">
            <w:pPr>
              <w:overflowPunct/>
              <w:autoSpaceDE/>
              <w:autoSpaceDN/>
              <w:adjustRightInd/>
              <w:jc w:val="right"/>
              <w:textAlignment w:val="auto"/>
              <w:rPr>
                <w:rFonts w:ascii="Arial" w:hAnsi="Arial" w:cs="Arial"/>
              </w:rPr>
            </w:pPr>
            <w:r w:rsidRPr="00E7639A">
              <w:rPr>
                <w:rFonts w:ascii="Arial" w:hAnsi="Arial" w:cs="Arial"/>
              </w:rPr>
              <w:t>27.347</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6B8E" w:rsidRDefault="004D6B8E" w:rsidP="007605CC">
            <w:pPr>
              <w:overflowPunct/>
              <w:autoSpaceDE/>
              <w:autoSpaceDN/>
              <w:adjustRightInd/>
              <w:jc w:val="right"/>
              <w:textAlignment w:val="auto"/>
              <w:rPr>
                <w:rFonts w:ascii="Arial" w:hAnsi="Arial" w:cs="Arial"/>
              </w:rPr>
            </w:pPr>
            <w:r w:rsidRPr="004D6B8E">
              <w:rPr>
                <w:rFonts w:ascii="Arial" w:hAnsi="Arial" w:cs="Arial"/>
              </w:rPr>
              <w:t>6,11</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Ostali prihodi</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4D0379" w:rsidRDefault="009A3ADD" w:rsidP="000D2B7E">
            <w:pPr>
              <w:overflowPunct/>
              <w:autoSpaceDE/>
              <w:autoSpaceDN/>
              <w:adjustRightInd/>
              <w:jc w:val="right"/>
              <w:textAlignment w:val="auto"/>
              <w:rPr>
                <w:rFonts w:ascii="Arial" w:hAnsi="Arial" w:cs="Arial"/>
                <w:color w:val="FF0000"/>
              </w:rPr>
            </w:pPr>
            <w:r w:rsidRPr="009A3ADD">
              <w:rPr>
                <w:rFonts w:ascii="Arial" w:hAnsi="Arial" w:cs="Arial"/>
              </w:rPr>
              <w:t>12.5</w:t>
            </w:r>
            <w:r w:rsidR="000D2B7E">
              <w:rPr>
                <w:rFonts w:ascii="Arial" w:hAnsi="Arial" w:cs="Arial"/>
              </w:rPr>
              <w:t>30</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0379" w:rsidRDefault="004D6B8E" w:rsidP="007605CC">
            <w:pPr>
              <w:overflowPunct/>
              <w:autoSpaceDE/>
              <w:autoSpaceDN/>
              <w:adjustRightInd/>
              <w:jc w:val="right"/>
              <w:textAlignment w:val="auto"/>
              <w:rPr>
                <w:rFonts w:ascii="Arial" w:hAnsi="Arial" w:cs="Arial"/>
                <w:color w:val="FF0000"/>
              </w:rPr>
            </w:pPr>
            <w:r w:rsidRPr="004D6B8E">
              <w:rPr>
                <w:rFonts w:ascii="Arial" w:hAnsi="Arial" w:cs="Arial"/>
              </w:rPr>
              <w:t>2,80</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Prihodi od imovine</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4D0379" w:rsidRDefault="000A7BB5" w:rsidP="00E81604">
            <w:pPr>
              <w:overflowPunct/>
              <w:autoSpaceDE/>
              <w:autoSpaceDN/>
              <w:adjustRightInd/>
              <w:jc w:val="right"/>
              <w:textAlignment w:val="auto"/>
              <w:rPr>
                <w:rFonts w:ascii="Arial" w:hAnsi="Arial" w:cs="Arial"/>
                <w:color w:val="FF0000"/>
              </w:rPr>
            </w:pPr>
            <w:r w:rsidRPr="000A7BB5">
              <w:rPr>
                <w:rFonts w:ascii="Arial" w:hAnsi="Arial" w:cs="Arial"/>
              </w:rPr>
              <w:t>135.674</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0379" w:rsidRDefault="004D6B8E" w:rsidP="007605CC">
            <w:pPr>
              <w:overflowPunct/>
              <w:autoSpaceDE/>
              <w:autoSpaceDN/>
              <w:adjustRightInd/>
              <w:jc w:val="right"/>
              <w:textAlignment w:val="auto"/>
              <w:rPr>
                <w:rFonts w:ascii="Arial" w:hAnsi="Arial" w:cs="Arial"/>
                <w:color w:val="FF0000"/>
              </w:rPr>
            </w:pPr>
            <w:r w:rsidRPr="004D6B8E">
              <w:rPr>
                <w:rFonts w:ascii="Arial" w:hAnsi="Arial" w:cs="Arial"/>
              </w:rPr>
              <w:t>30,30</w:t>
            </w:r>
          </w:p>
        </w:tc>
      </w:tr>
      <w:tr w:rsidR="004D6B8E" w:rsidRPr="004D6B8E"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Prihodi od prodaje dugotrajne imovine</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4D0379" w:rsidRDefault="000A7BB5" w:rsidP="00E81604">
            <w:pPr>
              <w:overflowPunct/>
              <w:autoSpaceDE/>
              <w:autoSpaceDN/>
              <w:adjustRightInd/>
              <w:jc w:val="right"/>
              <w:textAlignment w:val="auto"/>
              <w:rPr>
                <w:rFonts w:ascii="Arial" w:hAnsi="Arial" w:cs="Arial"/>
                <w:color w:val="FF0000"/>
              </w:rPr>
            </w:pPr>
            <w:r w:rsidRPr="000A7BB5">
              <w:rPr>
                <w:rFonts w:ascii="Arial" w:hAnsi="Arial" w:cs="Arial"/>
              </w:rPr>
              <w:t>13.349</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6B8E" w:rsidRDefault="004D6B8E" w:rsidP="004D6B8E">
            <w:pPr>
              <w:overflowPunct/>
              <w:autoSpaceDE/>
              <w:autoSpaceDN/>
              <w:adjustRightInd/>
              <w:jc w:val="right"/>
              <w:textAlignment w:val="auto"/>
              <w:rPr>
                <w:rFonts w:ascii="Arial" w:hAnsi="Arial" w:cs="Arial"/>
              </w:rPr>
            </w:pPr>
            <w:r w:rsidRPr="004D6B8E">
              <w:rPr>
                <w:rFonts w:ascii="Arial" w:hAnsi="Arial" w:cs="Arial"/>
              </w:rPr>
              <w:t>2,98</w:t>
            </w:r>
          </w:p>
        </w:tc>
      </w:tr>
      <w:tr w:rsidR="004D0379" w:rsidRPr="004D0379" w:rsidTr="00DE4A86">
        <w:trPr>
          <w:trHeight w:val="443"/>
        </w:trPr>
        <w:tc>
          <w:tcPr>
            <w:tcW w:w="5268" w:type="dxa"/>
            <w:gridSpan w:val="3"/>
            <w:tcBorders>
              <w:top w:val="nil"/>
              <w:left w:val="single" w:sz="8" w:space="0" w:color="auto"/>
              <w:bottom w:val="single" w:sz="4"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Prihodi od administrativnih pristojbi</w:t>
            </w:r>
          </w:p>
        </w:tc>
        <w:tc>
          <w:tcPr>
            <w:tcW w:w="2098" w:type="dxa"/>
            <w:gridSpan w:val="3"/>
            <w:tcBorders>
              <w:top w:val="nil"/>
              <w:left w:val="nil"/>
              <w:bottom w:val="single" w:sz="4" w:space="0" w:color="auto"/>
              <w:right w:val="single" w:sz="4" w:space="0" w:color="auto"/>
            </w:tcBorders>
            <w:shd w:val="clear" w:color="auto" w:fill="auto"/>
            <w:noWrap/>
            <w:vAlign w:val="center"/>
          </w:tcPr>
          <w:p w:rsidR="00E81604" w:rsidRPr="004D0379" w:rsidRDefault="009A3ADD" w:rsidP="00E81604">
            <w:pPr>
              <w:overflowPunct/>
              <w:autoSpaceDE/>
              <w:autoSpaceDN/>
              <w:adjustRightInd/>
              <w:jc w:val="right"/>
              <w:textAlignment w:val="auto"/>
              <w:rPr>
                <w:rFonts w:ascii="Arial" w:hAnsi="Arial" w:cs="Arial"/>
                <w:color w:val="FF0000"/>
              </w:rPr>
            </w:pPr>
            <w:r w:rsidRPr="009A3ADD">
              <w:rPr>
                <w:rFonts w:ascii="Arial" w:hAnsi="Arial" w:cs="Arial"/>
              </w:rPr>
              <w:t>101.590</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9E29AC" w:rsidRDefault="004D6B8E" w:rsidP="007605CC">
            <w:pPr>
              <w:overflowPunct/>
              <w:autoSpaceDE/>
              <w:autoSpaceDN/>
              <w:adjustRightInd/>
              <w:jc w:val="right"/>
              <w:textAlignment w:val="auto"/>
              <w:rPr>
                <w:rFonts w:ascii="Arial" w:hAnsi="Arial" w:cs="Arial"/>
              </w:rPr>
            </w:pPr>
            <w:r w:rsidRPr="009E29AC">
              <w:rPr>
                <w:rFonts w:ascii="Arial" w:hAnsi="Arial" w:cs="Arial"/>
              </w:rPr>
              <w:t>22,68</w:t>
            </w:r>
          </w:p>
        </w:tc>
      </w:tr>
      <w:tr w:rsidR="004D0379" w:rsidRPr="004D0379" w:rsidTr="00DE4A86">
        <w:trPr>
          <w:trHeight w:val="443"/>
        </w:trPr>
        <w:tc>
          <w:tcPr>
            <w:tcW w:w="5268" w:type="dxa"/>
            <w:gridSpan w:val="3"/>
            <w:tcBorders>
              <w:top w:val="nil"/>
              <w:left w:val="single" w:sz="8" w:space="0" w:color="auto"/>
              <w:bottom w:val="nil"/>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Primici od financijske imovine i zaduživanja</w:t>
            </w:r>
          </w:p>
        </w:tc>
        <w:tc>
          <w:tcPr>
            <w:tcW w:w="2098" w:type="dxa"/>
            <w:gridSpan w:val="3"/>
            <w:tcBorders>
              <w:top w:val="nil"/>
              <w:left w:val="nil"/>
              <w:bottom w:val="nil"/>
              <w:right w:val="single" w:sz="4" w:space="0" w:color="auto"/>
            </w:tcBorders>
            <w:shd w:val="clear" w:color="auto" w:fill="auto"/>
            <w:noWrap/>
            <w:vAlign w:val="center"/>
          </w:tcPr>
          <w:p w:rsidR="00E81604" w:rsidRPr="004D0379" w:rsidRDefault="009A3ADD" w:rsidP="000A3E64">
            <w:pPr>
              <w:overflowPunct/>
              <w:autoSpaceDE/>
              <w:autoSpaceDN/>
              <w:adjustRightInd/>
              <w:jc w:val="right"/>
              <w:textAlignment w:val="auto"/>
              <w:rPr>
                <w:rFonts w:ascii="Arial" w:hAnsi="Arial" w:cs="Arial"/>
                <w:color w:val="FF0000"/>
              </w:rPr>
            </w:pPr>
            <w:r w:rsidRPr="009A3ADD">
              <w:rPr>
                <w:rFonts w:ascii="Arial" w:hAnsi="Arial" w:cs="Arial"/>
              </w:rPr>
              <w:t>95</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9E29AC" w:rsidRDefault="00CA1E1B" w:rsidP="007605CC">
            <w:pPr>
              <w:overflowPunct/>
              <w:autoSpaceDE/>
              <w:autoSpaceDN/>
              <w:adjustRightInd/>
              <w:jc w:val="right"/>
              <w:textAlignment w:val="auto"/>
              <w:rPr>
                <w:rFonts w:ascii="Arial" w:hAnsi="Arial" w:cs="Arial"/>
              </w:rPr>
            </w:pPr>
            <w:r w:rsidRPr="009E29AC">
              <w:rPr>
                <w:rFonts w:ascii="Arial" w:hAnsi="Arial" w:cs="Arial"/>
              </w:rPr>
              <w:t>0,02</w:t>
            </w:r>
          </w:p>
        </w:tc>
      </w:tr>
      <w:tr w:rsidR="004D0379" w:rsidRPr="004D0379" w:rsidTr="00DE4A86">
        <w:trPr>
          <w:trHeight w:val="443"/>
        </w:trPr>
        <w:tc>
          <w:tcPr>
            <w:tcW w:w="5268"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E81604" w:rsidRPr="00E81604" w:rsidRDefault="00E81604" w:rsidP="007251E6">
            <w:pPr>
              <w:overflowPunct/>
              <w:autoSpaceDE/>
              <w:autoSpaceDN/>
              <w:adjustRightInd/>
              <w:textAlignment w:val="auto"/>
              <w:rPr>
                <w:rFonts w:ascii="Arial" w:hAnsi="Arial" w:cs="Arial"/>
              </w:rPr>
            </w:pPr>
            <w:r w:rsidRPr="00E81604">
              <w:rPr>
                <w:rFonts w:ascii="Arial" w:hAnsi="Arial" w:cs="Arial"/>
              </w:rPr>
              <w:t>Viškovi iz pre</w:t>
            </w:r>
            <w:r w:rsidR="007251E6">
              <w:rPr>
                <w:rFonts w:ascii="Arial" w:hAnsi="Arial" w:cs="Arial"/>
              </w:rPr>
              <w:t>t</w:t>
            </w:r>
            <w:r w:rsidR="00701481">
              <w:rPr>
                <w:rFonts w:ascii="Arial" w:hAnsi="Arial" w:cs="Arial"/>
              </w:rPr>
              <w:t xml:space="preserve">hodnog </w:t>
            </w:r>
            <w:r w:rsidRPr="00E81604">
              <w:rPr>
                <w:rFonts w:ascii="Arial" w:hAnsi="Arial" w:cs="Arial"/>
              </w:rPr>
              <w:t>razdoblja</w:t>
            </w:r>
          </w:p>
        </w:tc>
        <w:tc>
          <w:tcPr>
            <w:tcW w:w="2098" w:type="dxa"/>
            <w:gridSpan w:val="3"/>
            <w:tcBorders>
              <w:top w:val="single" w:sz="4" w:space="0" w:color="auto"/>
              <w:left w:val="nil"/>
              <w:bottom w:val="single" w:sz="4" w:space="0" w:color="auto"/>
              <w:right w:val="single" w:sz="4" w:space="0" w:color="auto"/>
            </w:tcBorders>
            <w:shd w:val="clear" w:color="auto" w:fill="auto"/>
            <w:noWrap/>
            <w:vAlign w:val="center"/>
          </w:tcPr>
          <w:p w:rsidR="00E81604" w:rsidRPr="00AB565B" w:rsidRDefault="002E591F" w:rsidP="002E591F">
            <w:pPr>
              <w:overflowPunct/>
              <w:autoSpaceDE/>
              <w:autoSpaceDN/>
              <w:adjustRightInd/>
              <w:jc w:val="right"/>
              <w:textAlignment w:val="auto"/>
              <w:rPr>
                <w:rFonts w:ascii="Arial" w:hAnsi="Arial" w:cs="Arial"/>
              </w:rPr>
            </w:pPr>
            <w:r w:rsidRPr="00AB565B">
              <w:rPr>
                <w:sz w:val="24"/>
              </w:rPr>
              <w:t>3.336</w:t>
            </w:r>
          </w:p>
        </w:tc>
        <w:tc>
          <w:tcPr>
            <w:tcW w:w="1896" w:type="dxa"/>
            <w:gridSpan w:val="3"/>
            <w:tcBorders>
              <w:top w:val="nil"/>
              <w:left w:val="nil"/>
              <w:bottom w:val="single" w:sz="4" w:space="0" w:color="auto"/>
              <w:right w:val="single" w:sz="8" w:space="0" w:color="auto"/>
            </w:tcBorders>
            <w:shd w:val="clear" w:color="auto" w:fill="auto"/>
            <w:noWrap/>
            <w:vAlign w:val="center"/>
          </w:tcPr>
          <w:p w:rsidR="00E81604" w:rsidRPr="004D0379" w:rsidRDefault="009E29AC" w:rsidP="007605CC">
            <w:pPr>
              <w:overflowPunct/>
              <w:autoSpaceDE/>
              <w:autoSpaceDN/>
              <w:adjustRightInd/>
              <w:jc w:val="right"/>
              <w:textAlignment w:val="auto"/>
              <w:rPr>
                <w:rFonts w:ascii="Arial" w:hAnsi="Arial" w:cs="Arial"/>
                <w:color w:val="FF0000"/>
              </w:rPr>
            </w:pPr>
            <w:r w:rsidRPr="009E29AC">
              <w:rPr>
                <w:rFonts w:ascii="Arial" w:hAnsi="Arial" w:cs="Arial"/>
              </w:rPr>
              <w:t>0,79</w:t>
            </w:r>
          </w:p>
        </w:tc>
      </w:tr>
      <w:tr w:rsidR="004D0379" w:rsidRPr="004D0379" w:rsidTr="00DE4A86">
        <w:trPr>
          <w:trHeight w:val="443"/>
        </w:trPr>
        <w:tc>
          <w:tcPr>
            <w:tcW w:w="5268"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Ukupno</w:t>
            </w:r>
          </w:p>
        </w:tc>
        <w:tc>
          <w:tcPr>
            <w:tcW w:w="2098" w:type="dxa"/>
            <w:gridSpan w:val="3"/>
            <w:tcBorders>
              <w:top w:val="single" w:sz="8" w:space="0" w:color="auto"/>
              <w:left w:val="nil"/>
              <w:bottom w:val="single" w:sz="8" w:space="0" w:color="auto"/>
              <w:right w:val="single" w:sz="4" w:space="0" w:color="auto"/>
            </w:tcBorders>
            <w:shd w:val="clear" w:color="auto" w:fill="auto"/>
            <w:noWrap/>
            <w:vAlign w:val="center"/>
          </w:tcPr>
          <w:p w:rsidR="00E81604" w:rsidRPr="004D0379" w:rsidRDefault="009A3ADD" w:rsidP="009E0035">
            <w:pPr>
              <w:overflowPunct/>
              <w:autoSpaceDE/>
              <w:autoSpaceDN/>
              <w:adjustRightInd/>
              <w:jc w:val="right"/>
              <w:textAlignment w:val="auto"/>
              <w:rPr>
                <w:rFonts w:ascii="Arial" w:hAnsi="Arial" w:cs="Arial"/>
                <w:color w:val="FF0000"/>
              </w:rPr>
            </w:pPr>
            <w:r w:rsidRPr="009A3ADD">
              <w:rPr>
                <w:rFonts w:ascii="Arial" w:hAnsi="Arial" w:cs="Arial"/>
              </w:rPr>
              <w:t>447.</w:t>
            </w:r>
            <w:r w:rsidR="009E0035">
              <w:rPr>
                <w:rFonts w:ascii="Arial" w:hAnsi="Arial" w:cs="Arial"/>
              </w:rPr>
              <w:t>644</w:t>
            </w:r>
          </w:p>
        </w:tc>
        <w:tc>
          <w:tcPr>
            <w:tcW w:w="1896" w:type="dxa"/>
            <w:gridSpan w:val="3"/>
            <w:tcBorders>
              <w:top w:val="single" w:sz="8" w:space="0" w:color="auto"/>
              <w:left w:val="nil"/>
              <w:bottom w:val="single" w:sz="8" w:space="0" w:color="auto"/>
              <w:right w:val="single" w:sz="8" w:space="0" w:color="auto"/>
            </w:tcBorders>
            <w:shd w:val="clear" w:color="auto" w:fill="auto"/>
            <w:noWrap/>
            <w:vAlign w:val="center"/>
          </w:tcPr>
          <w:p w:rsidR="00E81604" w:rsidRPr="004D0379" w:rsidRDefault="00CA1E1B" w:rsidP="007605CC">
            <w:pPr>
              <w:overflowPunct/>
              <w:autoSpaceDE/>
              <w:autoSpaceDN/>
              <w:adjustRightInd/>
              <w:jc w:val="right"/>
              <w:textAlignment w:val="auto"/>
              <w:rPr>
                <w:rFonts w:ascii="Arial" w:hAnsi="Arial" w:cs="Arial"/>
                <w:color w:val="FF0000"/>
              </w:rPr>
            </w:pPr>
            <w:r w:rsidRPr="00603AB2">
              <w:rPr>
                <w:rFonts w:ascii="Arial" w:hAnsi="Arial" w:cs="Arial"/>
              </w:rPr>
              <w:t>100</w:t>
            </w:r>
          </w:p>
        </w:tc>
      </w:tr>
      <w:tr w:rsidR="00B94B81" w:rsidTr="00DE4A86">
        <w:trPr>
          <w:gridAfter w:val="1"/>
          <w:wAfter w:w="14" w:type="dxa"/>
          <w:trHeight w:val="255"/>
        </w:trPr>
        <w:tc>
          <w:tcPr>
            <w:tcW w:w="9248" w:type="dxa"/>
            <w:gridSpan w:val="8"/>
            <w:tcBorders>
              <w:top w:val="nil"/>
              <w:left w:val="nil"/>
              <w:bottom w:val="nil"/>
              <w:right w:val="nil"/>
            </w:tcBorders>
            <w:shd w:val="clear" w:color="auto" w:fill="auto"/>
            <w:noWrap/>
            <w:vAlign w:val="center"/>
          </w:tcPr>
          <w:p w:rsidR="00FF313A" w:rsidRDefault="00FF313A" w:rsidP="00404147">
            <w:pPr>
              <w:overflowPunct/>
              <w:autoSpaceDE/>
              <w:autoSpaceDN/>
              <w:adjustRightInd/>
              <w:textAlignment w:val="auto"/>
              <w:rPr>
                <w:rFonts w:ascii="Arial" w:hAnsi="Arial" w:cs="Arial"/>
                <w:b/>
                <w:bCs/>
              </w:rPr>
            </w:pPr>
          </w:p>
          <w:p w:rsidR="002C67DF" w:rsidRDefault="002C67DF" w:rsidP="00B94B81">
            <w:pPr>
              <w:overflowPunct/>
              <w:autoSpaceDE/>
              <w:autoSpaceDN/>
              <w:adjustRightInd/>
              <w:jc w:val="center"/>
              <w:textAlignment w:val="auto"/>
              <w:rPr>
                <w:rFonts w:ascii="Arial" w:hAnsi="Arial" w:cs="Arial"/>
                <w:b/>
                <w:bCs/>
              </w:rPr>
            </w:pPr>
          </w:p>
          <w:p w:rsidR="002C67DF" w:rsidRDefault="002C67DF" w:rsidP="00B94B81">
            <w:pPr>
              <w:overflowPunct/>
              <w:autoSpaceDE/>
              <w:autoSpaceDN/>
              <w:adjustRightInd/>
              <w:jc w:val="center"/>
              <w:textAlignment w:val="auto"/>
              <w:rPr>
                <w:rFonts w:ascii="Arial" w:hAnsi="Arial" w:cs="Arial"/>
                <w:b/>
                <w:bCs/>
              </w:rPr>
            </w:pPr>
          </w:p>
          <w:p w:rsidR="002C67DF" w:rsidRDefault="002C67DF" w:rsidP="00B94B81">
            <w:pPr>
              <w:overflowPunct/>
              <w:autoSpaceDE/>
              <w:autoSpaceDN/>
              <w:adjustRightInd/>
              <w:jc w:val="center"/>
              <w:textAlignment w:val="auto"/>
              <w:rPr>
                <w:rFonts w:ascii="Arial" w:hAnsi="Arial" w:cs="Arial"/>
                <w:b/>
                <w:bCs/>
              </w:rPr>
            </w:pPr>
          </w:p>
          <w:p w:rsidR="002C67DF" w:rsidRDefault="002C67DF" w:rsidP="00B94B81">
            <w:pPr>
              <w:overflowPunct/>
              <w:autoSpaceDE/>
              <w:autoSpaceDN/>
              <w:adjustRightInd/>
              <w:jc w:val="center"/>
              <w:textAlignment w:val="auto"/>
              <w:rPr>
                <w:rFonts w:ascii="Arial" w:hAnsi="Arial" w:cs="Arial"/>
                <w:b/>
                <w:bCs/>
              </w:rPr>
            </w:pPr>
          </w:p>
          <w:p w:rsidR="00B94B81" w:rsidRPr="00B94B81" w:rsidRDefault="00B94B81" w:rsidP="00B94B81">
            <w:pPr>
              <w:overflowPunct/>
              <w:autoSpaceDE/>
              <w:autoSpaceDN/>
              <w:adjustRightInd/>
              <w:jc w:val="center"/>
              <w:textAlignment w:val="auto"/>
              <w:rPr>
                <w:rFonts w:ascii="Arial" w:hAnsi="Arial" w:cs="Arial"/>
                <w:b/>
                <w:bCs/>
              </w:rPr>
            </w:pPr>
            <w:r w:rsidRPr="00B94B81">
              <w:rPr>
                <w:rFonts w:ascii="Arial" w:hAnsi="Arial" w:cs="Arial"/>
                <w:b/>
                <w:bCs/>
              </w:rPr>
              <w:t>USPOREDBA OSTVARENIH PRIHODA PRORAČUNA GRADA DUBROVNIKA</w:t>
            </w:r>
          </w:p>
        </w:tc>
      </w:tr>
      <w:tr w:rsidR="00B94B81" w:rsidTr="00DE4A86">
        <w:trPr>
          <w:gridAfter w:val="1"/>
          <w:wAfter w:w="14" w:type="dxa"/>
          <w:trHeight w:val="255"/>
        </w:trPr>
        <w:tc>
          <w:tcPr>
            <w:tcW w:w="6696" w:type="dxa"/>
            <w:gridSpan w:val="5"/>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b/>
                <w:bCs/>
              </w:rPr>
            </w:pPr>
            <w:r w:rsidRPr="00B94B81">
              <w:rPr>
                <w:rFonts w:ascii="Arial" w:hAnsi="Arial" w:cs="Arial"/>
                <w:b/>
                <w:bCs/>
              </w:rPr>
              <w:t xml:space="preserve">                                              U PROTEKLIH PET GODINA</w:t>
            </w:r>
          </w:p>
        </w:tc>
        <w:tc>
          <w:tcPr>
            <w:tcW w:w="1418" w:type="dxa"/>
            <w:gridSpan w:val="2"/>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b/>
                <w:bCs/>
              </w:rPr>
            </w:pPr>
          </w:p>
        </w:tc>
        <w:tc>
          <w:tcPr>
            <w:tcW w:w="1134"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r>
      <w:tr w:rsidR="00B94B81" w:rsidTr="00DE4A86">
        <w:trPr>
          <w:gridAfter w:val="1"/>
          <w:wAfter w:w="14" w:type="dxa"/>
          <w:trHeight w:val="255"/>
        </w:trPr>
        <w:tc>
          <w:tcPr>
            <w:tcW w:w="2302" w:type="dxa"/>
            <w:tcBorders>
              <w:top w:val="nil"/>
              <w:left w:val="nil"/>
              <w:bottom w:val="nil"/>
              <w:right w:val="nil"/>
            </w:tcBorders>
            <w:shd w:val="clear" w:color="auto" w:fill="auto"/>
            <w:noWrap/>
            <w:vAlign w:val="center"/>
          </w:tcPr>
          <w:p w:rsidR="00B94B81" w:rsidRPr="00B94B81" w:rsidRDefault="00B94B81" w:rsidP="00EF2934">
            <w:pPr>
              <w:overflowPunct/>
              <w:autoSpaceDE/>
              <w:autoSpaceDN/>
              <w:adjustRightInd/>
              <w:textAlignment w:val="auto"/>
              <w:rPr>
                <w:rFonts w:ascii="Arial" w:hAnsi="Arial" w:cs="Arial"/>
                <w:b/>
                <w:bCs/>
              </w:rPr>
            </w:pPr>
          </w:p>
        </w:tc>
        <w:tc>
          <w:tcPr>
            <w:tcW w:w="1559"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417"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134"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r>
      <w:tr w:rsidR="00182645" w:rsidTr="00DE4A86">
        <w:trPr>
          <w:gridAfter w:val="1"/>
          <w:wAfter w:w="14" w:type="dxa"/>
          <w:trHeight w:val="255"/>
        </w:trPr>
        <w:tc>
          <w:tcPr>
            <w:tcW w:w="2302" w:type="dxa"/>
            <w:tcBorders>
              <w:top w:val="nil"/>
              <w:left w:val="nil"/>
              <w:bottom w:val="nil"/>
              <w:right w:val="nil"/>
            </w:tcBorders>
            <w:shd w:val="clear" w:color="auto" w:fill="auto"/>
            <w:noWrap/>
            <w:vAlign w:val="center"/>
          </w:tcPr>
          <w:p w:rsidR="00182645" w:rsidRPr="00B94B81" w:rsidRDefault="00182645" w:rsidP="00EF2934">
            <w:pPr>
              <w:overflowPunct/>
              <w:autoSpaceDE/>
              <w:autoSpaceDN/>
              <w:adjustRightInd/>
              <w:textAlignment w:val="auto"/>
              <w:rPr>
                <w:rFonts w:ascii="Arial" w:hAnsi="Arial" w:cs="Arial"/>
                <w:b/>
                <w:bCs/>
              </w:rPr>
            </w:pPr>
          </w:p>
        </w:tc>
        <w:tc>
          <w:tcPr>
            <w:tcW w:w="1559"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center"/>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417"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134"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r>
      <w:tr w:rsidR="00B94B81" w:rsidTr="00DE4A86">
        <w:trPr>
          <w:gridAfter w:val="1"/>
          <w:wAfter w:w="14" w:type="dxa"/>
          <w:trHeight w:val="255"/>
        </w:trPr>
        <w:tc>
          <w:tcPr>
            <w:tcW w:w="2302" w:type="dxa"/>
            <w:tcBorders>
              <w:top w:val="nil"/>
              <w:left w:val="nil"/>
              <w:bottom w:val="nil"/>
              <w:right w:val="nil"/>
            </w:tcBorders>
            <w:shd w:val="clear" w:color="auto" w:fill="auto"/>
            <w:noWrap/>
            <w:vAlign w:val="center"/>
          </w:tcPr>
          <w:p w:rsidR="00B94B81" w:rsidRPr="00B94B81" w:rsidRDefault="00B94B81" w:rsidP="00F03534">
            <w:pPr>
              <w:overflowPunct/>
              <w:autoSpaceDE/>
              <w:autoSpaceDN/>
              <w:adjustRightInd/>
              <w:textAlignment w:val="auto"/>
              <w:rPr>
                <w:rFonts w:ascii="Arial" w:hAnsi="Arial" w:cs="Arial"/>
                <w:b/>
                <w:bCs/>
              </w:rPr>
            </w:pPr>
            <w:r w:rsidRPr="00B94B81">
              <w:rPr>
                <w:rFonts w:ascii="Arial" w:hAnsi="Arial" w:cs="Arial"/>
                <w:b/>
                <w:bCs/>
              </w:rPr>
              <w:t>Tabl</w:t>
            </w:r>
            <w:r w:rsidR="00D62C99">
              <w:rPr>
                <w:rFonts w:ascii="Arial" w:hAnsi="Arial" w:cs="Arial"/>
                <w:b/>
                <w:bCs/>
              </w:rPr>
              <w:t>ica</w:t>
            </w:r>
            <w:r w:rsidRPr="00B94B81">
              <w:rPr>
                <w:rFonts w:ascii="Arial" w:hAnsi="Arial" w:cs="Arial"/>
                <w:b/>
                <w:bCs/>
              </w:rPr>
              <w:t xml:space="preserve"> br.</w:t>
            </w:r>
            <w:r w:rsidR="00F03534">
              <w:rPr>
                <w:rFonts w:ascii="Arial" w:hAnsi="Arial" w:cs="Arial"/>
                <w:b/>
                <w:bCs/>
              </w:rPr>
              <w:t xml:space="preserve">4 </w:t>
            </w:r>
            <w:r w:rsidR="001C19BA">
              <w:rPr>
                <w:rFonts w:ascii="Arial" w:hAnsi="Arial" w:cs="Arial"/>
                <w:b/>
                <w:bCs/>
              </w:rPr>
              <w:t xml:space="preserve"> </w:t>
            </w:r>
            <w:r w:rsidR="00182645">
              <w:rPr>
                <w:rFonts w:ascii="Arial" w:hAnsi="Arial" w:cs="Arial"/>
                <w:b/>
                <w:bCs/>
              </w:rPr>
              <w:t>(bez</w:t>
            </w:r>
            <w:r w:rsidR="00F03534">
              <w:rPr>
                <w:rFonts w:ascii="Arial" w:hAnsi="Arial" w:cs="Arial"/>
                <w:b/>
                <w:bCs/>
              </w:rPr>
              <w:t xml:space="preserve"> proračunskih  korisnika</w:t>
            </w:r>
            <w:r w:rsidR="00DE4A86">
              <w:rPr>
                <w:rFonts w:ascii="Arial" w:hAnsi="Arial" w:cs="Arial"/>
                <w:b/>
                <w:bCs/>
              </w:rPr>
              <w:t xml:space="preserve">) </w:t>
            </w:r>
            <w:r w:rsidR="00F03534">
              <w:rPr>
                <w:rFonts w:ascii="Arial" w:hAnsi="Arial" w:cs="Arial"/>
                <w:b/>
                <w:bCs/>
              </w:rPr>
              <w:t xml:space="preserve">                                                            </w:t>
            </w:r>
          </w:p>
        </w:tc>
        <w:tc>
          <w:tcPr>
            <w:tcW w:w="1559" w:type="dxa"/>
            <w:tcBorders>
              <w:top w:val="nil"/>
              <w:left w:val="nil"/>
              <w:bottom w:val="nil"/>
              <w:right w:val="nil"/>
            </w:tcBorders>
            <w:shd w:val="clear" w:color="auto" w:fill="auto"/>
            <w:noWrap/>
            <w:vAlign w:val="center"/>
          </w:tcPr>
          <w:p w:rsidR="00B94B81" w:rsidRDefault="00B94B81" w:rsidP="00182645">
            <w:pPr>
              <w:overflowPunct/>
              <w:autoSpaceDE/>
              <w:autoSpaceDN/>
              <w:adjustRightInd/>
              <w:textAlignment w:val="auto"/>
              <w:rPr>
                <w:rFonts w:ascii="Arial" w:hAnsi="Arial" w:cs="Arial"/>
              </w:rPr>
            </w:pPr>
          </w:p>
          <w:p w:rsidR="00DE4A86" w:rsidRDefault="00DE4A86" w:rsidP="00182645">
            <w:pPr>
              <w:overflowPunct/>
              <w:autoSpaceDE/>
              <w:autoSpaceDN/>
              <w:adjustRightInd/>
              <w:textAlignment w:val="auto"/>
              <w:rPr>
                <w:rFonts w:ascii="Arial" w:hAnsi="Arial" w:cs="Arial"/>
              </w:rPr>
            </w:pPr>
          </w:p>
          <w:p w:rsidR="00DE4A86" w:rsidRPr="00B94B81" w:rsidRDefault="00DE4A86" w:rsidP="00182645">
            <w:pPr>
              <w:overflowPunct/>
              <w:autoSpaceDE/>
              <w:autoSpaceDN/>
              <w:adjustRightInd/>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417"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418" w:type="dxa"/>
            <w:gridSpan w:val="2"/>
            <w:tcBorders>
              <w:top w:val="nil"/>
              <w:left w:val="nil"/>
              <w:bottom w:val="nil"/>
              <w:right w:val="nil"/>
            </w:tcBorders>
            <w:shd w:val="clear" w:color="auto" w:fill="auto"/>
            <w:noWrap/>
            <w:vAlign w:val="center"/>
          </w:tcPr>
          <w:p w:rsidR="00B94B81" w:rsidRPr="002C67DF" w:rsidRDefault="002C67DF" w:rsidP="00B94B81">
            <w:pPr>
              <w:overflowPunct/>
              <w:autoSpaceDE/>
              <w:autoSpaceDN/>
              <w:adjustRightInd/>
              <w:jc w:val="center"/>
              <w:textAlignment w:val="auto"/>
              <w:rPr>
                <w:rFonts w:ascii="Arial" w:hAnsi="Arial" w:cs="Arial"/>
                <w:b/>
              </w:rPr>
            </w:pPr>
            <w:r>
              <w:rPr>
                <w:rFonts w:ascii="Arial" w:hAnsi="Arial" w:cs="Arial"/>
              </w:rPr>
              <w:t xml:space="preserve">                      </w:t>
            </w:r>
            <w:r w:rsidR="00182645" w:rsidRPr="002C67DF">
              <w:rPr>
                <w:rFonts w:ascii="Arial" w:hAnsi="Arial" w:cs="Arial"/>
                <w:b/>
              </w:rPr>
              <w:t>000 kn</w:t>
            </w:r>
          </w:p>
        </w:tc>
        <w:tc>
          <w:tcPr>
            <w:tcW w:w="1134" w:type="dxa"/>
            <w:tcBorders>
              <w:top w:val="nil"/>
              <w:left w:val="nil"/>
              <w:bottom w:val="nil"/>
              <w:right w:val="nil"/>
            </w:tcBorders>
            <w:shd w:val="clear" w:color="auto" w:fill="auto"/>
            <w:noWrap/>
            <w:vAlign w:val="center"/>
          </w:tcPr>
          <w:p w:rsidR="00B94B81" w:rsidRPr="00D62C99" w:rsidRDefault="00B94B81" w:rsidP="00B94B81">
            <w:pPr>
              <w:overflowPunct/>
              <w:autoSpaceDE/>
              <w:autoSpaceDN/>
              <w:adjustRightInd/>
              <w:jc w:val="center"/>
              <w:textAlignment w:val="auto"/>
              <w:rPr>
                <w:rFonts w:ascii="Arial" w:hAnsi="Arial" w:cs="Arial"/>
                <w:b/>
                <w:sz w:val="18"/>
                <w:szCs w:val="18"/>
              </w:rPr>
            </w:pPr>
          </w:p>
        </w:tc>
      </w:tr>
      <w:tr w:rsidR="00B94B81" w:rsidTr="00DE4A86">
        <w:trPr>
          <w:gridAfter w:val="1"/>
          <w:wAfter w:w="14" w:type="dxa"/>
          <w:trHeight w:val="48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B81" w:rsidRPr="00D62C99" w:rsidRDefault="00B94B81" w:rsidP="00D62C99">
            <w:pPr>
              <w:overflowPunct/>
              <w:autoSpaceDE/>
              <w:autoSpaceDN/>
              <w:adjustRightInd/>
              <w:textAlignment w:val="auto"/>
              <w:rPr>
                <w:rFonts w:ascii="Arial" w:hAnsi="Arial" w:cs="Arial"/>
                <w:b/>
              </w:rPr>
            </w:pPr>
            <w:r w:rsidRPr="00D62C99">
              <w:rPr>
                <w:rFonts w:ascii="Arial" w:hAnsi="Arial" w:cs="Arial"/>
                <w:b/>
              </w:rPr>
              <w:t>P</w:t>
            </w:r>
            <w:r w:rsidR="00D62C99">
              <w:rPr>
                <w:rFonts w:ascii="Arial" w:hAnsi="Arial" w:cs="Arial"/>
                <w:b/>
              </w:rPr>
              <w:t xml:space="preserve"> </w:t>
            </w:r>
            <w:r w:rsidRPr="00D62C99">
              <w:rPr>
                <w:rFonts w:ascii="Arial" w:hAnsi="Arial" w:cs="Arial"/>
                <w:b/>
              </w:rPr>
              <w:t>R</w:t>
            </w:r>
            <w:r w:rsidR="00D62C99">
              <w:rPr>
                <w:rFonts w:ascii="Arial" w:hAnsi="Arial" w:cs="Arial"/>
                <w:b/>
              </w:rPr>
              <w:t xml:space="preserve"> </w:t>
            </w:r>
            <w:r w:rsidRPr="00D62C99">
              <w:rPr>
                <w:rFonts w:ascii="Arial" w:hAnsi="Arial" w:cs="Arial"/>
                <w:b/>
              </w:rPr>
              <w:t>I</w:t>
            </w:r>
            <w:r w:rsidR="00D62C99">
              <w:rPr>
                <w:rFonts w:ascii="Arial" w:hAnsi="Arial" w:cs="Arial"/>
                <w:b/>
              </w:rPr>
              <w:t xml:space="preserve"> </w:t>
            </w:r>
            <w:r w:rsidRPr="00D62C99">
              <w:rPr>
                <w:rFonts w:ascii="Arial" w:hAnsi="Arial" w:cs="Arial"/>
                <w:b/>
              </w:rPr>
              <w:t>H</w:t>
            </w:r>
            <w:r w:rsidR="00D62C99">
              <w:rPr>
                <w:rFonts w:ascii="Arial" w:hAnsi="Arial" w:cs="Arial"/>
                <w:b/>
              </w:rPr>
              <w:t xml:space="preserve"> </w:t>
            </w:r>
            <w:r w:rsidRPr="00D62C99">
              <w:rPr>
                <w:rFonts w:ascii="Arial" w:hAnsi="Arial" w:cs="Arial"/>
                <w:b/>
              </w:rPr>
              <w:t>O</w:t>
            </w:r>
            <w:r w:rsidR="00D62C99">
              <w:rPr>
                <w:rFonts w:ascii="Arial" w:hAnsi="Arial" w:cs="Arial"/>
                <w:b/>
              </w:rPr>
              <w:t xml:space="preserve"> </w:t>
            </w:r>
            <w:r w:rsidRPr="00D62C99">
              <w:rPr>
                <w:rFonts w:ascii="Arial" w:hAnsi="Arial" w:cs="Arial"/>
                <w:b/>
              </w:rPr>
              <w:t>D</w:t>
            </w:r>
            <w:r w:rsidR="00D62C99">
              <w:rPr>
                <w:rFonts w:ascii="Arial" w:hAnsi="Arial" w:cs="Arial"/>
                <w:b/>
              </w:rPr>
              <w:t xml:space="preserve"> </w:t>
            </w:r>
            <w:r w:rsidRPr="00D62C99">
              <w:rPr>
                <w:rFonts w:ascii="Arial" w:hAnsi="Arial" w:cs="Arial"/>
                <w:b/>
              </w:rPr>
              <w:t>I</w:t>
            </w:r>
          </w:p>
        </w:tc>
        <w:tc>
          <w:tcPr>
            <w:tcW w:w="1559" w:type="dxa"/>
            <w:tcBorders>
              <w:top w:val="single" w:sz="4" w:space="0" w:color="auto"/>
              <w:left w:val="nil"/>
              <w:bottom w:val="single" w:sz="4" w:space="0" w:color="auto"/>
              <w:right w:val="single" w:sz="4" w:space="0" w:color="auto"/>
            </w:tcBorders>
            <w:shd w:val="clear" w:color="auto" w:fill="auto"/>
            <w:vAlign w:val="center"/>
          </w:tcPr>
          <w:p w:rsidR="00B94B81" w:rsidRPr="00522B42" w:rsidRDefault="00791252" w:rsidP="004D0379">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sidR="004D0379">
              <w:rPr>
                <w:rFonts w:ascii="Arial" w:hAnsi="Arial" w:cs="Arial"/>
                <w:b/>
                <w:sz w:val="18"/>
                <w:szCs w:val="18"/>
              </w:rPr>
              <w:t>3</w:t>
            </w:r>
            <w:r w:rsidR="00B94B81" w:rsidRPr="00522B42">
              <w:rPr>
                <w:rFonts w:ascii="Arial" w:hAnsi="Arial" w:cs="Arial"/>
                <w:b/>
                <w:sz w:val="18"/>
                <w:szCs w:val="18"/>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94B81" w:rsidRPr="00522B42" w:rsidRDefault="00B94B81" w:rsidP="004D0379">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sidR="004D0379">
              <w:rPr>
                <w:rFonts w:ascii="Arial" w:hAnsi="Arial" w:cs="Arial"/>
                <w:b/>
                <w:sz w:val="18"/>
                <w:szCs w:val="18"/>
              </w:rPr>
              <w:t>4</w:t>
            </w:r>
            <w:r w:rsidRPr="00522B42">
              <w:rPr>
                <w:rFonts w:ascii="Arial" w:hAnsi="Arial" w:cs="Arial"/>
                <w:b/>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B94B81" w:rsidRPr="00522B42" w:rsidRDefault="00B94B81" w:rsidP="00D2506F">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sidR="004D0379">
              <w:rPr>
                <w:rFonts w:ascii="Arial" w:hAnsi="Arial" w:cs="Arial"/>
                <w:b/>
                <w:sz w:val="18"/>
                <w:szCs w:val="18"/>
              </w:rPr>
              <w:t>5</w:t>
            </w:r>
            <w:r w:rsidRPr="00522B42">
              <w:rPr>
                <w:rFonts w:ascii="Arial" w:hAnsi="Arial" w:cs="Arial"/>
                <w:b/>
                <w:sz w:val="18"/>
                <w:szCs w:val="18"/>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94B81" w:rsidRPr="00522B42" w:rsidRDefault="00B94B81" w:rsidP="006D2566">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sidR="006D2566">
              <w:rPr>
                <w:rFonts w:ascii="Arial" w:hAnsi="Arial" w:cs="Arial"/>
                <w:b/>
                <w:sz w:val="18"/>
                <w:szCs w:val="18"/>
              </w:rPr>
              <w:t>6</w:t>
            </w:r>
            <w:r w:rsidRPr="00522B42">
              <w:rPr>
                <w:rFonts w:ascii="Arial" w:hAnsi="Arial" w:cs="Arial"/>
                <w:b/>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B94B81" w:rsidRPr="00522B42" w:rsidRDefault="00B94B81" w:rsidP="006D2566">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w:t>
            </w:r>
            <w:r w:rsidR="00791252" w:rsidRPr="00522B42">
              <w:rPr>
                <w:rFonts w:ascii="Arial" w:hAnsi="Arial" w:cs="Arial"/>
                <w:b/>
                <w:sz w:val="18"/>
                <w:szCs w:val="18"/>
              </w:rPr>
              <w:t>varenje 201</w:t>
            </w:r>
            <w:r w:rsidR="006D2566">
              <w:rPr>
                <w:rFonts w:ascii="Arial" w:hAnsi="Arial" w:cs="Arial"/>
                <w:b/>
                <w:sz w:val="18"/>
                <w:szCs w:val="18"/>
              </w:rPr>
              <w:t>7</w:t>
            </w:r>
            <w:r w:rsidRPr="00522B42">
              <w:rPr>
                <w:rFonts w:ascii="Arial" w:hAnsi="Arial" w:cs="Arial"/>
                <w:b/>
                <w:sz w:val="18"/>
                <w:szCs w:val="18"/>
              </w:rPr>
              <w:t>.</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r w:rsidRPr="00B94B81">
              <w:rPr>
                <w:rFonts w:ascii="Arial" w:hAnsi="Arial" w:cs="Arial"/>
              </w:rPr>
              <w:t>1</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165E3B" w:rsidP="00B94B81">
            <w:pPr>
              <w:overflowPunct/>
              <w:autoSpaceDE/>
              <w:autoSpaceDN/>
              <w:adjustRightInd/>
              <w:jc w:val="center"/>
              <w:textAlignment w:val="auto"/>
              <w:rPr>
                <w:rFonts w:ascii="Arial" w:hAnsi="Arial" w:cs="Arial"/>
              </w:rPr>
            </w:pPr>
            <w:r>
              <w:rPr>
                <w:rFonts w:ascii="Arial" w:hAnsi="Arial" w:cs="Arial"/>
              </w:rPr>
              <w:t>2</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165E3B" w:rsidP="00B94B81">
            <w:pPr>
              <w:overflowPunct/>
              <w:autoSpaceDE/>
              <w:autoSpaceDN/>
              <w:adjustRightInd/>
              <w:jc w:val="center"/>
              <w:textAlignment w:val="auto"/>
              <w:rPr>
                <w:rFonts w:ascii="Arial" w:hAnsi="Arial" w:cs="Arial"/>
              </w:rPr>
            </w:pPr>
            <w:r>
              <w:rPr>
                <w:rFonts w:ascii="Arial" w:hAnsi="Arial" w:cs="Arial"/>
              </w:rPr>
              <w:t>3</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165E3B" w:rsidP="00B94B81">
            <w:pPr>
              <w:overflowPunct/>
              <w:autoSpaceDE/>
              <w:autoSpaceDN/>
              <w:adjustRightInd/>
              <w:jc w:val="center"/>
              <w:textAlignment w:val="auto"/>
              <w:rPr>
                <w:rFonts w:ascii="Arial" w:hAnsi="Arial" w:cs="Arial"/>
              </w:rPr>
            </w:pPr>
            <w:r>
              <w:rPr>
                <w:rFonts w:ascii="Arial" w:hAnsi="Arial" w:cs="Arial"/>
              </w:rPr>
              <w:t>4</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165E3B" w:rsidP="00B94B81">
            <w:pPr>
              <w:overflowPunct/>
              <w:autoSpaceDE/>
              <w:autoSpaceDN/>
              <w:adjustRightInd/>
              <w:jc w:val="center"/>
              <w:textAlignment w:val="auto"/>
              <w:rPr>
                <w:rFonts w:ascii="Arial" w:hAnsi="Arial" w:cs="Arial"/>
              </w:rPr>
            </w:pPr>
            <w:r>
              <w:rPr>
                <w:rFonts w:ascii="Arial" w:hAnsi="Arial" w:cs="Arial"/>
              </w:rPr>
              <w:t>5</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165E3B" w:rsidP="00B94B81">
            <w:pPr>
              <w:overflowPunct/>
              <w:autoSpaceDE/>
              <w:autoSpaceDN/>
              <w:adjustRightInd/>
              <w:jc w:val="center"/>
              <w:textAlignment w:val="auto"/>
              <w:rPr>
                <w:rFonts w:ascii="Arial" w:hAnsi="Arial" w:cs="Arial"/>
              </w:rPr>
            </w:pPr>
            <w:r>
              <w:rPr>
                <w:rFonts w:ascii="Arial" w:hAnsi="Arial" w:cs="Arial"/>
              </w:rPr>
              <w:t>6</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textAlignment w:val="auto"/>
              <w:rPr>
                <w:rFonts w:ascii="Arial" w:hAnsi="Arial" w:cs="Arial"/>
              </w:rPr>
            </w:pPr>
            <w:r w:rsidRPr="00B94B81">
              <w:rPr>
                <w:rFonts w:ascii="Arial" w:hAnsi="Arial" w:cs="Arial"/>
              </w:rPr>
              <w:t>Porezni</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141.762</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148.143</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144.871</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156.977</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404147" w:rsidP="00130DEA">
            <w:pPr>
              <w:overflowPunct/>
              <w:autoSpaceDE/>
              <w:autoSpaceDN/>
              <w:adjustRightInd/>
              <w:jc w:val="right"/>
              <w:textAlignment w:val="auto"/>
              <w:rPr>
                <w:rFonts w:ascii="Arial" w:hAnsi="Arial" w:cs="Arial"/>
              </w:rPr>
            </w:pPr>
            <w:r>
              <w:rPr>
                <w:rFonts w:ascii="Arial" w:hAnsi="Arial" w:cs="Arial"/>
              </w:rPr>
              <w:t>153.584</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A7779" w:rsidRDefault="00B94B81" w:rsidP="00B94B81">
            <w:pPr>
              <w:overflowPunct/>
              <w:autoSpaceDE/>
              <w:autoSpaceDN/>
              <w:adjustRightInd/>
              <w:textAlignment w:val="auto"/>
              <w:rPr>
                <w:rFonts w:ascii="Arial" w:hAnsi="Arial" w:cs="Arial"/>
                <w:color w:val="FF0000"/>
              </w:rPr>
            </w:pPr>
            <w:r w:rsidRPr="001C50F6">
              <w:rPr>
                <w:rFonts w:ascii="Arial" w:hAnsi="Arial" w:cs="Arial"/>
              </w:rPr>
              <w:t>Neporezni</w:t>
            </w:r>
          </w:p>
        </w:tc>
        <w:tc>
          <w:tcPr>
            <w:tcW w:w="1559" w:type="dxa"/>
            <w:tcBorders>
              <w:top w:val="nil"/>
              <w:left w:val="nil"/>
              <w:bottom w:val="single" w:sz="4" w:space="0" w:color="auto"/>
              <w:right w:val="single" w:sz="4" w:space="0" w:color="auto"/>
            </w:tcBorders>
            <w:shd w:val="clear" w:color="auto" w:fill="auto"/>
            <w:noWrap/>
            <w:vAlign w:val="center"/>
          </w:tcPr>
          <w:p w:rsidR="00B94B81" w:rsidRPr="00BA7779" w:rsidRDefault="004D0379" w:rsidP="00130DEA">
            <w:pPr>
              <w:overflowPunct/>
              <w:autoSpaceDE/>
              <w:autoSpaceDN/>
              <w:adjustRightInd/>
              <w:jc w:val="right"/>
              <w:textAlignment w:val="auto"/>
              <w:rPr>
                <w:rFonts w:ascii="Arial" w:hAnsi="Arial" w:cs="Arial"/>
              </w:rPr>
            </w:pPr>
            <w:r w:rsidRPr="00BA7779">
              <w:rPr>
                <w:rFonts w:ascii="Arial" w:hAnsi="Arial" w:cs="Arial"/>
              </w:rPr>
              <w:t>147.656</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A7779" w:rsidRDefault="004D0379" w:rsidP="00130DEA">
            <w:pPr>
              <w:overflowPunct/>
              <w:autoSpaceDE/>
              <w:autoSpaceDN/>
              <w:adjustRightInd/>
              <w:jc w:val="right"/>
              <w:textAlignment w:val="auto"/>
              <w:rPr>
                <w:rFonts w:ascii="Arial" w:hAnsi="Arial" w:cs="Arial"/>
              </w:rPr>
            </w:pPr>
            <w:r w:rsidRPr="00BA7779">
              <w:rPr>
                <w:rFonts w:ascii="Arial" w:hAnsi="Arial" w:cs="Arial"/>
              </w:rPr>
              <w:t>179.190</w:t>
            </w:r>
          </w:p>
        </w:tc>
        <w:tc>
          <w:tcPr>
            <w:tcW w:w="1417" w:type="dxa"/>
            <w:tcBorders>
              <w:top w:val="nil"/>
              <w:left w:val="nil"/>
              <w:bottom w:val="single" w:sz="4" w:space="0" w:color="auto"/>
              <w:right w:val="single" w:sz="4" w:space="0" w:color="auto"/>
            </w:tcBorders>
            <w:shd w:val="clear" w:color="auto" w:fill="auto"/>
            <w:noWrap/>
            <w:vAlign w:val="center"/>
          </w:tcPr>
          <w:p w:rsidR="00B94B81" w:rsidRPr="00BA7779" w:rsidRDefault="004D0379" w:rsidP="00130DEA">
            <w:pPr>
              <w:overflowPunct/>
              <w:autoSpaceDE/>
              <w:autoSpaceDN/>
              <w:adjustRightInd/>
              <w:jc w:val="right"/>
              <w:textAlignment w:val="auto"/>
              <w:rPr>
                <w:rFonts w:ascii="Arial" w:hAnsi="Arial" w:cs="Arial"/>
              </w:rPr>
            </w:pPr>
            <w:r w:rsidRPr="00BA7779">
              <w:rPr>
                <w:rFonts w:ascii="Arial" w:hAnsi="Arial" w:cs="Arial"/>
              </w:rPr>
              <w:t>204.362</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A7779" w:rsidRDefault="006D2566" w:rsidP="00130DEA">
            <w:pPr>
              <w:overflowPunct/>
              <w:autoSpaceDE/>
              <w:autoSpaceDN/>
              <w:adjustRightInd/>
              <w:jc w:val="right"/>
              <w:textAlignment w:val="auto"/>
              <w:rPr>
                <w:rFonts w:ascii="Arial" w:hAnsi="Arial" w:cs="Arial"/>
              </w:rPr>
            </w:pPr>
            <w:r w:rsidRPr="001C50F6">
              <w:rPr>
                <w:rFonts w:ascii="Arial" w:hAnsi="Arial" w:cs="Arial"/>
              </w:rPr>
              <w:t>211.847</w:t>
            </w:r>
          </w:p>
        </w:tc>
        <w:tc>
          <w:tcPr>
            <w:tcW w:w="1134" w:type="dxa"/>
            <w:tcBorders>
              <w:top w:val="nil"/>
              <w:left w:val="nil"/>
              <w:bottom w:val="single" w:sz="4" w:space="0" w:color="auto"/>
              <w:right w:val="single" w:sz="4" w:space="0" w:color="auto"/>
            </w:tcBorders>
            <w:shd w:val="clear" w:color="auto" w:fill="auto"/>
            <w:noWrap/>
            <w:vAlign w:val="center"/>
          </w:tcPr>
          <w:p w:rsidR="00B94B81" w:rsidRPr="0022427E" w:rsidRDefault="00172E47" w:rsidP="00130DEA">
            <w:pPr>
              <w:overflowPunct/>
              <w:autoSpaceDE/>
              <w:autoSpaceDN/>
              <w:adjustRightInd/>
              <w:jc w:val="right"/>
              <w:textAlignment w:val="auto"/>
              <w:rPr>
                <w:rFonts w:ascii="Arial" w:hAnsi="Arial" w:cs="Arial"/>
              </w:rPr>
            </w:pPr>
            <w:r w:rsidRPr="0022427E">
              <w:rPr>
                <w:rFonts w:ascii="Arial" w:hAnsi="Arial" w:cs="Arial"/>
              </w:rPr>
              <w:t>227.873</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textAlignment w:val="auto"/>
              <w:rPr>
                <w:rFonts w:ascii="Arial" w:hAnsi="Arial" w:cs="Arial"/>
              </w:rPr>
            </w:pPr>
            <w:r w:rsidRPr="00B94B81">
              <w:rPr>
                <w:rFonts w:ascii="Arial" w:hAnsi="Arial" w:cs="Arial"/>
              </w:rPr>
              <w:t>Kapitalni</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1.570</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8.101</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3.024</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415</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AF4E61" w:rsidP="00130DEA">
            <w:pPr>
              <w:overflowPunct/>
              <w:autoSpaceDE/>
              <w:autoSpaceDN/>
              <w:adjustRightInd/>
              <w:jc w:val="right"/>
              <w:textAlignment w:val="auto"/>
              <w:rPr>
                <w:rFonts w:ascii="Arial" w:hAnsi="Arial" w:cs="Arial"/>
              </w:rPr>
            </w:pPr>
            <w:r>
              <w:rPr>
                <w:rFonts w:ascii="Arial" w:hAnsi="Arial" w:cs="Arial"/>
              </w:rPr>
              <w:t>27</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textAlignment w:val="auto"/>
              <w:rPr>
                <w:rFonts w:ascii="Arial" w:hAnsi="Arial" w:cs="Arial"/>
              </w:rPr>
            </w:pPr>
            <w:r w:rsidRPr="00B94B81">
              <w:rPr>
                <w:rFonts w:ascii="Arial" w:hAnsi="Arial" w:cs="Arial"/>
              </w:rPr>
              <w:t>Potpore</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45.401</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39.884</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22.493</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18.146</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2D6AEB" w:rsidP="00130DEA">
            <w:pPr>
              <w:overflowPunct/>
              <w:autoSpaceDE/>
              <w:autoSpaceDN/>
              <w:adjustRightInd/>
              <w:jc w:val="right"/>
              <w:textAlignment w:val="auto"/>
              <w:rPr>
                <w:rFonts w:ascii="Arial" w:hAnsi="Arial" w:cs="Arial"/>
              </w:rPr>
            </w:pPr>
            <w:r>
              <w:rPr>
                <w:rFonts w:ascii="Arial" w:hAnsi="Arial" w:cs="Arial"/>
              </w:rPr>
              <w:t>20.191</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textAlignment w:val="auto"/>
              <w:rPr>
                <w:rFonts w:ascii="Arial" w:hAnsi="Arial" w:cs="Arial"/>
              </w:rPr>
            </w:pPr>
            <w:r w:rsidRPr="00B94B81">
              <w:rPr>
                <w:rFonts w:ascii="Arial" w:hAnsi="Arial" w:cs="Arial"/>
              </w:rPr>
              <w:t>Primici od zaduženja</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37.764</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26.378</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12.685</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86</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8B3A37" w:rsidP="00130DEA">
            <w:pPr>
              <w:overflowPunct/>
              <w:autoSpaceDE/>
              <w:autoSpaceDN/>
              <w:adjustRightInd/>
              <w:jc w:val="right"/>
              <w:textAlignment w:val="auto"/>
              <w:rPr>
                <w:rFonts w:ascii="Arial" w:hAnsi="Arial" w:cs="Arial"/>
              </w:rPr>
            </w:pPr>
            <w:r>
              <w:rPr>
                <w:rFonts w:ascii="Arial" w:hAnsi="Arial" w:cs="Arial"/>
              </w:rPr>
              <w:t>95</w:t>
            </w:r>
          </w:p>
        </w:tc>
      </w:tr>
      <w:tr w:rsidR="00B94B81"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59187D">
            <w:pPr>
              <w:overflowPunct/>
              <w:autoSpaceDE/>
              <w:autoSpaceDN/>
              <w:adjustRightInd/>
              <w:textAlignment w:val="auto"/>
              <w:rPr>
                <w:rFonts w:ascii="Arial" w:hAnsi="Arial" w:cs="Arial"/>
              </w:rPr>
            </w:pPr>
            <w:r w:rsidRPr="00B94B81">
              <w:rPr>
                <w:rFonts w:ascii="Arial" w:hAnsi="Arial" w:cs="Arial"/>
              </w:rPr>
              <w:t>Viškovi iz preth.</w:t>
            </w:r>
            <w:r w:rsidR="00701481">
              <w:rPr>
                <w:rFonts w:ascii="Arial" w:hAnsi="Arial" w:cs="Arial"/>
              </w:rPr>
              <w:t xml:space="preserve"> </w:t>
            </w:r>
            <w:r w:rsidR="0059187D">
              <w:rPr>
                <w:rFonts w:ascii="Arial" w:hAnsi="Arial" w:cs="Arial"/>
              </w:rPr>
              <w:t>r</w:t>
            </w:r>
            <w:r w:rsidRPr="00B94B81">
              <w:rPr>
                <w:rFonts w:ascii="Arial" w:hAnsi="Arial" w:cs="Arial"/>
              </w:rPr>
              <w:t>azd</w:t>
            </w:r>
            <w:r w:rsidR="00701481">
              <w:rPr>
                <w:rFonts w:ascii="Arial" w:hAnsi="Arial" w:cs="Arial"/>
              </w:rPr>
              <w:t>ob</w:t>
            </w:r>
            <w:r w:rsidR="0059187D">
              <w:rPr>
                <w:rFonts w:ascii="Arial" w:hAnsi="Arial" w:cs="Arial"/>
              </w:rPr>
              <w:t>.</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5.678</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5.558</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9.572</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25.810</w:t>
            </w:r>
          </w:p>
        </w:tc>
        <w:tc>
          <w:tcPr>
            <w:tcW w:w="1134" w:type="dxa"/>
            <w:tcBorders>
              <w:top w:val="nil"/>
              <w:left w:val="nil"/>
              <w:bottom w:val="single" w:sz="4" w:space="0" w:color="auto"/>
              <w:right w:val="single" w:sz="4" w:space="0" w:color="auto"/>
            </w:tcBorders>
            <w:shd w:val="clear" w:color="auto" w:fill="auto"/>
            <w:noWrap/>
            <w:vAlign w:val="center"/>
          </w:tcPr>
          <w:p w:rsidR="00B94B81" w:rsidRPr="00B94B81" w:rsidRDefault="00DE72D6" w:rsidP="00C95744">
            <w:pPr>
              <w:overflowPunct/>
              <w:autoSpaceDE/>
              <w:autoSpaceDN/>
              <w:adjustRightInd/>
              <w:jc w:val="right"/>
              <w:textAlignment w:val="auto"/>
              <w:rPr>
                <w:rFonts w:ascii="Arial" w:hAnsi="Arial" w:cs="Arial"/>
              </w:rPr>
            </w:pPr>
            <w:r>
              <w:rPr>
                <w:rFonts w:ascii="Arial" w:hAnsi="Arial" w:cs="Arial"/>
              </w:rPr>
              <w:t>3.123</w:t>
            </w:r>
          </w:p>
        </w:tc>
      </w:tr>
      <w:tr w:rsidR="002E1AB5" w:rsidRPr="002E1AB5" w:rsidTr="00DE4A86">
        <w:trPr>
          <w:gridAfter w:val="1"/>
          <w:wAfter w:w="14" w:type="dxa"/>
          <w:trHeight w:val="342"/>
        </w:trPr>
        <w:tc>
          <w:tcPr>
            <w:tcW w:w="2302" w:type="dxa"/>
            <w:tcBorders>
              <w:top w:val="nil"/>
              <w:left w:val="single" w:sz="4" w:space="0" w:color="auto"/>
              <w:bottom w:val="single" w:sz="4" w:space="0" w:color="auto"/>
              <w:right w:val="single" w:sz="4" w:space="0" w:color="auto"/>
            </w:tcBorders>
            <w:shd w:val="clear" w:color="auto" w:fill="auto"/>
            <w:noWrap/>
            <w:vAlign w:val="center"/>
          </w:tcPr>
          <w:p w:rsidR="00B94B81" w:rsidRPr="00B94B81" w:rsidRDefault="00B94B81" w:rsidP="00B94B81">
            <w:pPr>
              <w:overflowPunct/>
              <w:autoSpaceDE/>
              <w:autoSpaceDN/>
              <w:adjustRightInd/>
              <w:textAlignment w:val="auto"/>
              <w:rPr>
                <w:rFonts w:ascii="Arial" w:hAnsi="Arial" w:cs="Arial"/>
              </w:rPr>
            </w:pPr>
            <w:r w:rsidRPr="00B94B81">
              <w:rPr>
                <w:rFonts w:ascii="Arial" w:hAnsi="Arial" w:cs="Arial"/>
              </w:rPr>
              <w:t>U k u p n o</w:t>
            </w:r>
          </w:p>
        </w:tc>
        <w:tc>
          <w:tcPr>
            <w:tcW w:w="1559" w:type="dxa"/>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379.831</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4D0379" w:rsidP="00130DEA">
            <w:pPr>
              <w:overflowPunct/>
              <w:autoSpaceDE/>
              <w:autoSpaceDN/>
              <w:adjustRightInd/>
              <w:jc w:val="right"/>
              <w:textAlignment w:val="auto"/>
              <w:rPr>
                <w:rFonts w:ascii="Arial" w:hAnsi="Arial" w:cs="Arial"/>
              </w:rPr>
            </w:pPr>
            <w:r>
              <w:rPr>
                <w:rFonts w:ascii="Arial" w:hAnsi="Arial" w:cs="Arial"/>
              </w:rPr>
              <w:t>407.254</w:t>
            </w:r>
          </w:p>
        </w:tc>
        <w:tc>
          <w:tcPr>
            <w:tcW w:w="1417" w:type="dxa"/>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397.007</w:t>
            </w:r>
          </w:p>
        </w:tc>
        <w:tc>
          <w:tcPr>
            <w:tcW w:w="1418" w:type="dxa"/>
            <w:gridSpan w:val="2"/>
            <w:tcBorders>
              <w:top w:val="nil"/>
              <w:left w:val="nil"/>
              <w:bottom w:val="single" w:sz="4" w:space="0" w:color="auto"/>
              <w:right w:val="single" w:sz="4" w:space="0" w:color="auto"/>
            </w:tcBorders>
            <w:shd w:val="clear" w:color="auto" w:fill="auto"/>
            <w:noWrap/>
            <w:vAlign w:val="center"/>
          </w:tcPr>
          <w:p w:rsidR="00B94B81" w:rsidRPr="00B94B81" w:rsidRDefault="006D2566" w:rsidP="00130DEA">
            <w:pPr>
              <w:overflowPunct/>
              <w:autoSpaceDE/>
              <w:autoSpaceDN/>
              <w:adjustRightInd/>
              <w:jc w:val="right"/>
              <w:textAlignment w:val="auto"/>
              <w:rPr>
                <w:rFonts w:ascii="Arial" w:hAnsi="Arial" w:cs="Arial"/>
              </w:rPr>
            </w:pPr>
            <w:r>
              <w:rPr>
                <w:rFonts w:ascii="Arial" w:hAnsi="Arial" w:cs="Arial"/>
              </w:rPr>
              <w:t>413.281</w:t>
            </w:r>
          </w:p>
        </w:tc>
        <w:tc>
          <w:tcPr>
            <w:tcW w:w="1134" w:type="dxa"/>
            <w:tcBorders>
              <w:top w:val="nil"/>
              <w:left w:val="nil"/>
              <w:bottom w:val="single" w:sz="4" w:space="0" w:color="auto"/>
              <w:right w:val="single" w:sz="4" w:space="0" w:color="auto"/>
            </w:tcBorders>
            <w:shd w:val="clear" w:color="auto" w:fill="auto"/>
            <w:noWrap/>
            <w:vAlign w:val="center"/>
          </w:tcPr>
          <w:p w:rsidR="00B94B81" w:rsidRPr="002E1AB5" w:rsidRDefault="00635824" w:rsidP="002E1AB5">
            <w:pPr>
              <w:overflowPunct/>
              <w:autoSpaceDE/>
              <w:autoSpaceDN/>
              <w:adjustRightInd/>
              <w:jc w:val="right"/>
              <w:textAlignment w:val="auto"/>
              <w:rPr>
                <w:rFonts w:ascii="Arial" w:hAnsi="Arial" w:cs="Arial"/>
              </w:rPr>
            </w:pPr>
            <w:r w:rsidRPr="002E1AB5">
              <w:rPr>
                <w:rFonts w:ascii="Arial" w:hAnsi="Arial" w:cs="Arial"/>
              </w:rPr>
              <w:t>404.</w:t>
            </w:r>
            <w:r w:rsidR="002E1AB5" w:rsidRPr="002E1AB5">
              <w:rPr>
                <w:rFonts w:ascii="Arial" w:hAnsi="Arial" w:cs="Arial"/>
              </w:rPr>
              <w:t>893</w:t>
            </w:r>
          </w:p>
        </w:tc>
      </w:tr>
    </w:tbl>
    <w:p w:rsidR="00C26DAC" w:rsidRDefault="00C26DAC" w:rsidP="00654345">
      <w:pPr>
        <w:jc w:val="both"/>
        <w:rPr>
          <w:sz w:val="24"/>
          <w:szCs w:val="24"/>
        </w:rPr>
      </w:pPr>
    </w:p>
    <w:p w:rsidR="00ED5745" w:rsidRDefault="00ED5745" w:rsidP="00654345">
      <w:pPr>
        <w:jc w:val="both"/>
        <w:rPr>
          <w:sz w:val="24"/>
          <w:szCs w:val="24"/>
        </w:rPr>
      </w:pPr>
    </w:p>
    <w:p w:rsidR="00173BF4" w:rsidRDefault="00173BF4" w:rsidP="00654345">
      <w:pPr>
        <w:jc w:val="both"/>
        <w:rPr>
          <w:sz w:val="24"/>
          <w:szCs w:val="24"/>
        </w:rPr>
      </w:pPr>
    </w:p>
    <w:p w:rsidR="00173BF4" w:rsidRDefault="00173BF4" w:rsidP="00654345">
      <w:pPr>
        <w:jc w:val="both"/>
        <w:rPr>
          <w:sz w:val="24"/>
          <w:szCs w:val="24"/>
        </w:rPr>
      </w:pPr>
    </w:p>
    <w:p w:rsidR="00ED5745" w:rsidRDefault="00ED5745" w:rsidP="00654345">
      <w:pPr>
        <w:jc w:val="both"/>
        <w:rPr>
          <w:sz w:val="24"/>
          <w:szCs w:val="24"/>
        </w:rPr>
      </w:pPr>
    </w:p>
    <w:tbl>
      <w:tblPr>
        <w:tblW w:w="5535" w:type="dxa"/>
        <w:tblInd w:w="250" w:type="dxa"/>
        <w:tblLook w:val="0000"/>
      </w:tblPr>
      <w:tblGrid>
        <w:gridCol w:w="5535"/>
      </w:tblGrid>
      <w:tr w:rsidR="00246B6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B6B" w:rsidRPr="00246B6B" w:rsidRDefault="00246B6B" w:rsidP="00246B6B">
            <w:pPr>
              <w:overflowPunct/>
              <w:autoSpaceDE/>
              <w:autoSpaceDN/>
              <w:adjustRightInd/>
              <w:jc w:val="center"/>
              <w:textAlignment w:val="auto"/>
              <w:rPr>
                <w:rFonts w:ascii="Arial" w:hAnsi="Arial" w:cs="Arial"/>
                <w:b/>
                <w:bCs/>
              </w:rPr>
            </w:pPr>
            <w:r w:rsidRPr="00246B6B">
              <w:rPr>
                <w:rFonts w:ascii="Arial" w:hAnsi="Arial" w:cs="Arial"/>
                <w:b/>
                <w:bCs/>
              </w:rPr>
              <w:t>UKUPNI PRIHODI PRORAČUNA GRADA DUBROVNIKA</w:t>
            </w:r>
          </w:p>
        </w:tc>
      </w:tr>
    </w:tbl>
    <w:p w:rsidR="00246B6B" w:rsidRDefault="00246B6B" w:rsidP="00CD7138"/>
    <w:p w:rsidR="007F66CD" w:rsidRDefault="007F66CD" w:rsidP="007F66CD">
      <w:pPr>
        <w:rPr>
          <w:noProof/>
        </w:rPr>
      </w:pPr>
    </w:p>
    <w:p w:rsidR="00AC2954" w:rsidRDefault="00E04173" w:rsidP="007F66CD">
      <w:pPr>
        <w:rPr>
          <w:noProof/>
        </w:rPr>
      </w:pPr>
      <w:r w:rsidRPr="00E04173">
        <w:rPr>
          <w:noProof/>
        </w:rPr>
        <w:drawing>
          <wp:inline distT="0" distB="0" distL="0" distR="0">
            <wp:extent cx="4552951" cy="2743200"/>
            <wp:effectExtent l="19050" t="0" r="19049"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2954" w:rsidRDefault="00AC2954" w:rsidP="007F66CD">
      <w:pPr>
        <w:rPr>
          <w:noProof/>
        </w:rPr>
      </w:pPr>
    </w:p>
    <w:p w:rsidR="00AC2954" w:rsidRPr="00B94B81" w:rsidRDefault="00AC2954" w:rsidP="007F66CD"/>
    <w:p w:rsidR="00AA10AF" w:rsidRDefault="00AA10AF" w:rsidP="00CD7138"/>
    <w:p w:rsidR="000C2AA4" w:rsidRDefault="000C2AA4"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090256" w:rsidRDefault="00090256"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F03534" w:rsidRDefault="00F03534"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FB5DE1" w:rsidRPr="007160B9" w:rsidRDefault="00CB22D3"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r>
        <w:t>P</w:t>
      </w:r>
      <w:r w:rsidR="008C1567" w:rsidRPr="007160B9">
        <w:t>rihodi proračuna Grada Dubrovnik</w:t>
      </w:r>
      <w:r w:rsidR="00FB5DE1" w:rsidRPr="007160B9">
        <w:t>a u razdoblju od 201</w:t>
      </w:r>
      <w:r w:rsidR="007160B9" w:rsidRPr="007160B9">
        <w:t>3</w:t>
      </w:r>
      <w:r w:rsidR="00FB5DE1" w:rsidRPr="007160B9">
        <w:t>. do 201</w:t>
      </w:r>
      <w:r w:rsidR="007160B9" w:rsidRPr="007160B9">
        <w:t>4</w:t>
      </w:r>
      <w:r w:rsidR="00FB5DE1" w:rsidRPr="007160B9">
        <w:t>. pokazuju trend povećanja, osim u 2015. godini kada bilježimo pad prihoda za 2,5% , odnosno za 10.247.000 kn</w:t>
      </w:r>
      <w:r w:rsidR="00C20B86" w:rsidRPr="007160B9">
        <w:t xml:space="preserve"> u odnosu na 2014.</w:t>
      </w:r>
      <w:r w:rsidR="00FB5DE1" w:rsidRPr="007160B9">
        <w:t>, a prvenstveno radi toga što je Grad u 2014. godini iskoristio kreditna sredstva i to u</w:t>
      </w:r>
      <w:r w:rsidR="00915449" w:rsidRPr="007160B9">
        <w:t xml:space="preserve"> ukupnom </w:t>
      </w:r>
      <w:r w:rsidR="00FB5DE1" w:rsidRPr="007160B9">
        <w:t xml:space="preserve"> iznosu od 26.</w:t>
      </w:r>
      <w:r w:rsidR="00915449" w:rsidRPr="007160B9">
        <w:t>378</w:t>
      </w:r>
      <w:r w:rsidR="00FB5DE1" w:rsidRPr="007160B9">
        <w:t>.</w:t>
      </w:r>
      <w:r w:rsidR="00915449" w:rsidRPr="007160B9">
        <w:t>000</w:t>
      </w:r>
      <w:r w:rsidR="00FB5DE1" w:rsidRPr="007160B9">
        <w:t xml:space="preserve"> kn. </w:t>
      </w:r>
      <w:r w:rsidR="00E93DBA" w:rsidRPr="007160B9">
        <w:t>Kod neporeznih prihoda (prihoda od imovine, prihoda od administrativnih pristojbi, te ostalih prihoda),</w:t>
      </w:r>
      <w:r w:rsidR="00522B42" w:rsidRPr="007160B9">
        <w:t xml:space="preserve"> </w:t>
      </w:r>
      <w:r w:rsidR="00656760" w:rsidRPr="007160B9">
        <w:t>u 201</w:t>
      </w:r>
      <w:r w:rsidR="00C20B86" w:rsidRPr="007160B9">
        <w:t>6</w:t>
      </w:r>
      <w:r w:rsidR="00656760" w:rsidRPr="007160B9">
        <w:t>. u odnosu na 201</w:t>
      </w:r>
      <w:r w:rsidR="00C20B86" w:rsidRPr="007160B9">
        <w:t>5</w:t>
      </w:r>
      <w:r w:rsidR="00656760" w:rsidRPr="007160B9">
        <w:t xml:space="preserve">. </w:t>
      </w:r>
      <w:r w:rsidR="00E93DBA" w:rsidRPr="007160B9">
        <w:t xml:space="preserve">vidljivo je povećanje od </w:t>
      </w:r>
      <w:r w:rsidR="00C20B86" w:rsidRPr="007160B9">
        <w:t>3,7</w:t>
      </w:r>
      <w:r w:rsidR="00E93DBA" w:rsidRPr="007160B9">
        <w:t xml:space="preserve">% ili </w:t>
      </w:r>
      <w:r w:rsidR="00C20B86" w:rsidRPr="007160B9">
        <w:t>7.485.000</w:t>
      </w:r>
      <w:r w:rsidR="00E93DBA" w:rsidRPr="007160B9">
        <w:t xml:space="preserve"> kn</w:t>
      </w:r>
      <w:r w:rsidR="00AB7682" w:rsidRPr="007160B9">
        <w:t>,</w:t>
      </w:r>
      <w:r w:rsidR="00E93DBA" w:rsidRPr="007160B9">
        <w:t xml:space="preserve"> a što je uglavnom posljedica</w:t>
      </w:r>
      <w:r w:rsidR="00AB7682" w:rsidRPr="007160B9">
        <w:t xml:space="preserve"> rasta</w:t>
      </w:r>
      <w:r w:rsidR="00E93DBA" w:rsidRPr="007160B9">
        <w:t xml:space="preserve"> prihoda od imovine (posebno ulaza na zidine). </w:t>
      </w:r>
      <w:r w:rsidR="007160B9">
        <w:t>Nadalje, ostvarenje prihoda u 2017. godini pokazuje pad u odnosu na 2016. godinu i to za 2%, odnosno za 8.388.000 kuna</w:t>
      </w:r>
      <w:r>
        <w:t xml:space="preserve">, a razlozi su manji porezni  prihodi koji su nastali kao posljedica porezne reforme, te manji preneseni višak sredstava iz 2016. u 2017. u odnosu na višak prenesenih sredstava iz 2015. u 2016. (2015. bilo privremeno financiranje). </w:t>
      </w:r>
    </w:p>
    <w:p w:rsidR="00FE5C88" w:rsidRPr="009C74C0" w:rsidRDefault="00FE5C88"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FF0000"/>
        </w:rPr>
      </w:pPr>
    </w:p>
    <w:p w:rsidR="00FE5C88" w:rsidRDefault="00FE5C88" w:rsidP="002B328B">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FB5DE1" w:rsidRDefault="00FB5DE1" w:rsidP="008C1567">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8D5DE5" w:rsidRPr="008D5DE5" w:rsidRDefault="008D5DE5" w:rsidP="008D5DE5">
      <w:pPr>
        <w:pStyle w:val="BodyText24"/>
        <w:ind w:firstLine="720"/>
        <w:jc w:val="center"/>
      </w:pPr>
      <w:r w:rsidRPr="008D5DE5">
        <w:rPr>
          <w:b/>
          <w:bCs/>
        </w:rPr>
        <w:t>USPOREDBA OSTVARENIH PRIHODA PRORAČUNA GRADA</w:t>
      </w:r>
      <w:r w:rsidRPr="008D5DE5">
        <w:rPr>
          <w:b/>
          <w:bCs/>
        </w:rPr>
        <w:br/>
        <w:t>DUBROVNIKA U POSLJEDNJIH PET GODINA</w:t>
      </w:r>
    </w:p>
    <w:p w:rsidR="008D5DE5" w:rsidRDefault="008D5DE5" w:rsidP="008C1567">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rsidR="008D5DE5" w:rsidRDefault="008D5DE5" w:rsidP="008D5DE5">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8F0201" w:rsidRDefault="00E04173" w:rsidP="004B2D73">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E04173">
        <w:rPr>
          <w:noProof/>
        </w:rPr>
        <w:drawing>
          <wp:inline distT="0" distB="0" distL="0" distR="0">
            <wp:extent cx="5791200" cy="4295775"/>
            <wp:effectExtent l="19050" t="0" r="190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063F" w:rsidRDefault="00ED5745">
      <w:pPr>
        <w:pStyle w:val="Naslov2"/>
      </w:pPr>
      <w:r>
        <w:tab/>
      </w:r>
      <w:r>
        <w:tab/>
      </w:r>
    </w:p>
    <w:p w:rsidR="001B063F" w:rsidRDefault="001B063F">
      <w:pPr>
        <w:pStyle w:val="Naslov2"/>
      </w:pPr>
    </w:p>
    <w:p w:rsidR="001B063F" w:rsidRDefault="001B063F">
      <w:pPr>
        <w:pStyle w:val="Naslov2"/>
      </w:pPr>
    </w:p>
    <w:p w:rsidR="001B063F" w:rsidRPr="001B063F" w:rsidRDefault="001B063F" w:rsidP="001B063F"/>
    <w:p w:rsidR="000C2AA4" w:rsidRDefault="000C2AA4" w:rsidP="000C2AA4"/>
    <w:p w:rsidR="000C2AA4" w:rsidRPr="000C2AA4" w:rsidRDefault="000C2AA4" w:rsidP="000C2AA4"/>
    <w:p w:rsidR="009C59C9" w:rsidRPr="009C59C9" w:rsidRDefault="009C59C9" w:rsidP="009C59C9"/>
    <w:p w:rsidR="00757AEA" w:rsidRDefault="001B063F">
      <w:pPr>
        <w:pStyle w:val="Naslov2"/>
      </w:pPr>
      <w:r>
        <w:tab/>
      </w:r>
      <w:r>
        <w:tab/>
      </w:r>
      <w:r w:rsidR="00757AEA">
        <w:t>2. 1.  Prihodi od poreza</w:t>
      </w:r>
    </w:p>
    <w:p w:rsidR="003D511D" w:rsidRPr="001B1FA1" w:rsidRDefault="003D511D" w:rsidP="003D511D">
      <w:pPr>
        <w:rPr>
          <w:color w:val="FF0000"/>
        </w:rPr>
      </w:pPr>
    </w:p>
    <w:p w:rsidR="0092710C"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1B1FA1">
        <w:rPr>
          <w:color w:val="FF0000"/>
          <w:sz w:val="24"/>
        </w:rPr>
        <w:tab/>
      </w:r>
      <w:r w:rsidR="00ED5745" w:rsidRPr="001B1FA1">
        <w:rPr>
          <w:color w:val="FF0000"/>
          <w:sz w:val="24"/>
        </w:rPr>
        <w:tab/>
      </w:r>
      <w:r w:rsidRPr="00402A5C">
        <w:rPr>
          <w:sz w:val="24"/>
        </w:rPr>
        <w:t xml:space="preserve">Porezni prihodi ostvareni su u iznosu od </w:t>
      </w:r>
      <w:r w:rsidR="00D50E00" w:rsidRPr="00402A5C">
        <w:rPr>
          <w:sz w:val="24"/>
        </w:rPr>
        <w:t>153.584.312</w:t>
      </w:r>
      <w:r w:rsidR="00067B86" w:rsidRPr="00402A5C">
        <w:rPr>
          <w:sz w:val="24"/>
        </w:rPr>
        <w:t xml:space="preserve"> </w:t>
      </w:r>
      <w:r w:rsidRPr="00402A5C">
        <w:rPr>
          <w:sz w:val="24"/>
        </w:rPr>
        <w:t>kun</w:t>
      </w:r>
      <w:r w:rsidR="00067B86" w:rsidRPr="00402A5C">
        <w:rPr>
          <w:sz w:val="24"/>
        </w:rPr>
        <w:t>a</w:t>
      </w:r>
      <w:r w:rsidRPr="00402A5C">
        <w:rPr>
          <w:sz w:val="24"/>
        </w:rPr>
        <w:t xml:space="preserve"> što je</w:t>
      </w:r>
      <w:r w:rsidR="009F247A" w:rsidRPr="00402A5C">
        <w:rPr>
          <w:sz w:val="24"/>
        </w:rPr>
        <w:t xml:space="preserve"> </w:t>
      </w:r>
      <w:r w:rsidR="00206509" w:rsidRPr="00402A5C">
        <w:rPr>
          <w:sz w:val="24"/>
        </w:rPr>
        <w:t xml:space="preserve">za </w:t>
      </w:r>
      <w:r w:rsidR="00402A5C" w:rsidRPr="00402A5C">
        <w:rPr>
          <w:sz w:val="24"/>
        </w:rPr>
        <w:t>3,44</w:t>
      </w:r>
      <w:r w:rsidR="00385903" w:rsidRPr="00402A5C">
        <w:rPr>
          <w:sz w:val="24"/>
        </w:rPr>
        <w:t xml:space="preserve"> </w:t>
      </w:r>
      <w:r w:rsidR="00BB11DC" w:rsidRPr="00402A5C">
        <w:rPr>
          <w:sz w:val="24"/>
        </w:rPr>
        <w:t xml:space="preserve">% </w:t>
      </w:r>
      <w:r w:rsidR="00402A5C" w:rsidRPr="00402A5C">
        <w:rPr>
          <w:sz w:val="24"/>
        </w:rPr>
        <w:t xml:space="preserve">manje </w:t>
      </w:r>
      <w:r w:rsidR="00206509" w:rsidRPr="00402A5C">
        <w:rPr>
          <w:sz w:val="24"/>
        </w:rPr>
        <w:t xml:space="preserve"> od planiranog </w:t>
      </w:r>
      <w:r w:rsidR="00067B86" w:rsidRPr="00402A5C">
        <w:rPr>
          <w:sz w:val="24"/>
        </w:rPr>
        <w:t xml:space="preserve">i što je </w:t>
      </w:r>
      <w:r w:rsidR="00206509" w:rsidRPr="00402A5C">
        <w:rPr>
          <w:sz w:val="24"/>
        </w:rPr>
        <w:t xml:space="preserve"> za </w:t>
      </w:r>
      <w:r w:rsidR="000E0CD6">
        <w:rPr>
          <w:sz w:val="24"/>
        </w:rPr>
        <w:t>2,56</w:t>
      </w:r>
      <w:r w:rsidR="00206509" w:rsidRPr="00402A5C">
        <w:rPr>
          <w:sz w:val="24"/>
        </w:rPr>
        <w:t>%</w:t>
      </w:r>
      <w:r w:rsidR="003D511D" w:rsidRPr="00402A5C">
        <w:rPr>
          <w:sz w:val="24"/>
        </w:rPr>
        <w:t xml:space="preserve"> </w:t>
      </w:r>
      <w:r w:rsidR="000E0CD6">
        <w:rPr>
          <w:sz w:val="24"/>
        </w:rPr>
        <w:t xml:space="preserve">manje od </w:t>
      </w:r>
      <w:r w:rsidRPr="00402A5C">
        <w:rPr>
          <w:sz w:val="24"/>
        </w:rPr>
        <w:t xml:space="preserve">ostvarenog u </w:t>
      </w:r>
      <w:r w:rsidR="00206509" w:rsidRPr="00402A5C">
        <w:rPr>
          <w:sz w:val="24"/>
        </w:rPr>
        <w:t>201</w:t>
      </w:r>
      <w:r w:rsidR="00402A5C" w:rsidRPr="00402A5C">
        <w:rPr>
          <w:sz w:val="24"/>
        </w:rPr>
        <w:t>6</w:t>
      </w:r>
      <w:r w:rsidR="00206509" w:rsidRPr="00402A5C">
        <w:rPr>
          <w:sz w:val="24"/>
        </w:rPr>
        <w:t>.</w:t>
      </w:r>
      <w:r w:rsidRPr="00402A5C">
        <w:rPr>
          <w:sz w:val="24"/>
        </w:rPr>
        <w:t xml:space="preserve"> godini. </w:t>
      </w:r>
      <w:r w:rsidR="00773355" w:rsidRPr="00402A5C">
        <w:rPr>
          <w:sz w:val="24"/>
        </w:rPr>
        <w:t xml:space="preserve">Ovi prihodi </w:t>
      </w:r>
      <w:r w:rsidR="00FF4FAC" w:rsidRPr="00402A5C">
        <w:rPr>
          <w:sz w:val="24"/>
        </w:rPr>
        <w:t>predstavlja</w:t>
      </w:r>
      <w:r w:rsidR="00773355" w:rsidRPr="00402A5C">
        <w:rPr>
          <w:sz w:val="24"/>
        </w:rPr>
        <w:t xml:space="preserve">ju </w:t>
      </w:r>
      <w:r w:rsidR="00FF4FAC" w:rsidRPr="00402A5C">
        <w:rPr>
          <w:sz w:val="24"/>
        </w:rPr>
        <w:t xml:space="preserve"> </w:t>
      </w:r>
      <w:r w:rsidR="0033187C" w:rsidRPr="0092710C">
        <w:rPr>
          <w:sz w:val="24"/>
        </w:rPr>
        <w:t>3</w:t>
      </w:r>
      <w:r w:rsidR="002A0DB7" w:rsidRPr="0092710C">
        <w:rPr>
          <w:sz w:val="24"/>
        </w:rPr>
        <w:t>7</w:t>
      </w:r>
      <w:r w:rsidR="0033187C" w:rsidRPr="0092710C">
        <w:rPr>
          <w:sz w:val="24"/>
        </w:rPr>
        <w:t>,</w:t>
      </w:r>
      <w:r w:rsidR="00773355" w:rsidRPr="0092710C">
        <w:rPr>
          <w:sz w:val="24"/>
        </w:rPr>
        <w:t>9</w:t>
      </w:r>
      <w:r w:rsidR="0092710C" w:rsidRPr="0092710C">
        <w:rPr>
          <w:sz w:val="24"/>
        </w:rPr>
        <w:t>3%</w:t>
      </w:r>
      <w:r w:rsidR="00385903" w:rsidRPr="0092710C">
        <w:rPr>
          <w:sz w:val="24"/>
        </w:rPr>
        <w:t xml:space="preserve"> </w:t>
      </w:r>
      <w:r w:rsidR="00FF4FAC" w:rsidRPr="00402A5C">
        <w:rPr>
          <w:sz w:val="24"/>
        </w:rPr>
        <w:t xml:space="preserve">ukupno ostvarenih </w:t>
      </w:r>
      <w:r w:rsidR="007B79D5" w:rsidRPr="00402A5C">
        <w:rPr>
          <w:sz w:val="24"/>
        </w:rPr>
        <w:t xml:space="preserve">gradskih </w:t>
      </w:r>
      <w:r w:rsidR="00FF4FAC" w:rsidRPr="00402A5C">
        <w:rPr>
          <w:sz w:val="24"/>
        </w:rPr>
        <w:t>prihoda.</w:t>
      </w:r>
      <w:r w:rsidRPr="00402A5C">
        <w:rPr>
          <w:sz w:val="24"/>
        </w:rPr>
        <w:t xml:space="preserve"> Ostvarenje po pojedinim skupinama prihoda od poreza ukazuje na</w:t>
      </w:r>
      <w:r w:rsidR="00C75713">
        <w:rPr>
          <w:sz w:val="24"/>
        </w:rPr>
        <w:t xml:space="preserve"> </w:t>
      </w:r>
      <w:r w:rsidR="0092710C">
        <w:rPr>
          <w:sz w:val="24"/>
        </w:rPr>
        <w:t>smanjenje poreznih prihoda i u odnosu na ostvarenje 2016. ali i na plan 2017 godine, kao i prihodi od poreza na robu i usluge</w:t>
      </w:r>
      <w:r w:rsidR="00C75713">
        <w:rPr>
          <w:sz w:val="24"/>
        </w:rPr>
        <w:t xml:space="preserve"> kod kojeg  moramo napomenuti da je u ovoj skupini prihoda došlo do značajne promjene, a to je da je temeljem porezne reforme počev od 1. siječnja 2017. godine Grad Dubrovnik (kao i ostale JLS), ostao bez prihoda od porezna na tvrtku koji se više ne naplaćuje, a koji je do tad bio prihod na godišnjoj razini od 4 do 4,5 milijuna kuna.</w:t>
      </w:r>
      <w:r w:rsidR="0092710C">
        <w:rPr>
          <w:sz w:val="24"/>
        </w:rPr>
        <w:t xml:space="preserve"> Međutim, naplata poreza na imovinu bilježi značajan porast  i to 15,94% u odnosu na ostvarenje iz 2016., te 35,82% u odnosu na plan 2017..</w:t>
      </w:r>
    </w:p>
    <w:p w:rsidR="0092710C" w:rsidRDefault="0092710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B063F" w:rsidRPr="001B1FA1" w:rsidRDefault="001B063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1B063F" w:rsidRDefault="001B063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E1DBF" w:rsidRDefault="003E1DB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57AEA" w:rsidRDefault="00757AEA"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z w:val="24"/>
        </w:rPr>
        <w:t>Tabl</w:t>
      </w:r>
      <w:r w:rsidR="003E1DBF">
        <w:rPr>
          <w:b/>
          <w:sz w:val="24"/>
        </w:rPr>
        <w:t>ic</w:t>
      </w:r>
      <w:r>
        <w:rPr>
          <w:b/>
          <w:sz w:val="24"/>
        </w:rPr>
        <w:t xml:space="preserve">a br. </w:t>
      </w:r>
      <w:r w:rsidR="0021741F">
        <w:rPr>
          <w:b/>
          <w:sz w:val="24"/>
        </w:rPr>
        <w:t>5</w:t>
      </w:r>
      <w:r>
        <w:rPr>
          <w:b/>
          <w:sz w:val="24"/>
        </w:rPr>
        <w:t xml:space="preserve">    Prihodi od poreza</w:t>
      </w:r>
      <w:r w:rsidR="00EA05B8">
        <w:rPr>
          <w:b/>
          <w:sz w:val="24"/>
        </w:rPr>
        <w:t xml:space="preserve"> – planirano</w:t>
      </w:r>
      <w:r w:rsidR="007B79D5">
        <w:rPr>
          <w:b/>
          <w:sz w:val="24"/>
        </w:rPr>
        <w:t>/</w:t>
      </w:r>
      <w:r w:rsidR="00EA05B8">
        <w:rPr>
          <w:b/>
          <w:sz w:val="24"/>
        </w:rPr>
        <w:t>ostvareno</w:t>
      </w:r>
      <w:r>
        <w:rPr>
          <w:sz w:val="24"/>
        </w:rPr>
        <w:t xml:space="preserve">                </w:t>
      </w:r>
      <w:r w:rsidR="003E1DBF">
        <w:rPr>
          <w:sz w:val="24"/>
        </w:rPr>
        <w:t xml:space="preserve">       </w:t>
      </w:r>
      <w:r>
        <w:rPr>
          <w:sz w:val="24"/>
        </w:rPr>
        <w:t xml:space="preserve">    </w:t>
      </w:r>
      <w:r w:rsidRPr="003E1DBF">
        <w:rPr>
          <w:b/>
        </w:rPr>
        <w:t>u  000 kuna</w:t>
      </w:r>
    </w:p>
    <w:p w:rsidR="00046546" w:rsidRDefault="00046546"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b/>
      </w:r>
      <w:r>
        <w:rPr>
          <w:b/>
        </w:rPr>
        <w:tab/>
      </w:r>
      <w:r>
        <w:rPr>
          <w:b/>
        </w:rPr>
        <w:tab/>
        <w:t xml:space="preserve">  (</w:t>
      </w:r>
      <w:r w:rsidR="00F84445">
        <w:rPr>
          <w:b/>
        </w:rPr>
        <w:t>bez proračunskih korisnika</w:t>
      </w:r>
      <w:r>
        <w:rPr>
          <w:b/>
        </w:rPr>
        <w:t>)</w:t>
      </w:r>
    </w:p>
    <w:p w:rsidR="00A96F98" w:rsidRDefault="00A96F98"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410"/>
        <w:gridCol w:w="1015"/>
        <w:gridCol w:w="403"/>
        <w:gridCol w:w="1418"/>
        <w:gridCol w:w="1294"/>
        <w:gridCol w:w="123"/>
        <w:gridCol w:w="1134"/>
        <w:gridCol w:w="992"/>
        <w:gridCol w:w="142"/>
      </w:tblGrid>
      <w:tr w:rsidR="004C3281"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POREZNI</w:t>
            </w:r>
          </w:p>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PRIHODI</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Ostvarenje</w:t>
            </w:r>
          </w:p>
          <w:p w:rsidR="004C3281" w:rsidRDefault="004C3281" w:rsidP="00281E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201</w:t>
            </w:r>
            <w:r w:rsidR="00281E85">
              <w:rPr>
                <w:b/>
                <w:sz w:val="24"/>
              </w:rPr>
              <w:t>6</w:t>
            </w:r>
            <w:r>
              <w:rPr>
                <w:b/>
                <w:sz w:val="24"/>
              </w:rPr>
              <w:t>.</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4C328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Plan</w:t>
            </w:r>
          </w:p>
          <w:p w:rsidR="004C3281" w:rsidRDefault="00694371" w:rsidP="00281E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201</w:t>
            </w:r>
            <w:r w:rsidR="00281E85">
              <w:rPr>
                <w:b/>
                <w:sz w:val="24"/>
              </w:rPr>
              <w:t>7</w:t>
            </w:r>
            <w:r w:rsidR="004C3281">
              <w:rPr>
                <w:b/>
                <w:sz w:val="24"/>
              </w:rPr>
              <w:t>.</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694371" w:rsidP="009C74C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Ostvarenje 201</w:t>
            </w:r>
            <w:r w:rsidR="00281E85">
              <w:rPr>
                <w:b/>
                <w:sz w:val="24"/>
              </w:rPr>
              <w:t>7</w:t>
            </w:r>
            <w:r w:rsidR="004C3281">
              <w:rPr>
                <w:b/>
                <w:sz w:val="24"/>
              </w:rPr>
              <w:t>.</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4/2 index</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4931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4/3  </w:t>
            </w:r>
            <w:r w:rsidR="008B2BF0">
              <w:rPr>
                <w:b/>
                <w:sz w:val="24"/>
              </w:rPr>
              <w:t>inde</w:t>
            </w:r>
            <w:r w:rsidR="00493121">
              <w:rPr>
                <w:b/>
                <w:sz w:val="24"/>
              </w:rPr>
              <w:t>x</w:t>
            </w:r>
          </w:p>
        </w:tc>
      </w:tr>
      <w:tr w:rsidR="004C3281"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1</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4C3281" w:rsidRDefault="004C3281"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2</w:t>
            </w:r>
          </w:p>
        </w:tc>
        <w:tc>
          <w:tcPr>
            <w:tcW w:w="1418" w:type="dxa"/>
            <w:tcBorders>
              <w:top w:val="single" w:sz="12" w:space="0" w:color="auto"/>
              <w:left w:val="single" w:sz="12" w:space="0" w:color="auto"/>
              <w:bottom w:val="single" w:sz="12" w:space="0" w:color="auto"/>
              <w:right w:val="single" w:sz="12" w:space="0" w:color="auto"/>
            </w:tcBorders>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3</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4</w:t>
            </w:r>
          </w:p>
        </w:tc>
        <w:tc>
          <w:tcPr>
            <w:tcW w:w="1134" w:type="dxa"/>
            <w:tcBorders>
              <w:top w:val="single" w:sz="12" w:space="0" w:color="auto"/>
              <w:left w:val="single" w:sz="12" w:space="0" w:color="auto"/>
              <w:bottom w:val="single" w:sz="12" w:space="0" w:color="auto"/>
              <w:right w:val="single" w:sz="12" w:space="0" w:color="auto"/>
            </w:tcBorders>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5</w:t>
            </w:r>
          </w:p>
        </w:tc>
        <w:tc>
          <w:tcPr>
            <w:tcW w:w="992" w:type="dxa"/>
            <w:tcBorders>
              <w:top w:val="single" w:sz="12" w:space="0" w:color="auto"/>
              <w:left w:val="single" w:sz="12" w:space="0" w:color="auto"/>
              <w:bottom w:val="single" w:sz="12" w:space="0" w:color="auto"/>
              <w:right w:val="single" w:sz="12" w:space="0" w:color="auto"/>
            </w:tcBorders>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6</w:t>
            </w:r>
          </w:p>
        </w:tc>
      </w:tr>
      <w:tr w:rsidR="00DE7BFC" w:rsidRPr="00DE7BFC"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4C3281" w:rsidRDefault="004C3281" w:rsidP="009F247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Porez i pr. na dohodak</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4C3281" w:rsidRPr="008B5729" w:rsidRDefault="008B5729"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8B5729">
              <w:rPr>
                <w:sz w:val="24"/>
              </w:rPr>
              <w:t>121.942</w:t>
            </w:r>
          </w:p>
        </w:tc>
        <w:tc>
          <w:tcPr>
            <w:tcW w:w="1418" w:type="dxa"/>
            <w:tcBorders>
              <w:top w:val="single" w:sz="12" w:space="0" w:color="auto"/>
              <w:left w:val="single" w:sz="12" w:space="0" w:color="auto"/>
              <w:bottom w:val="single" w:sz="12" w:space="0" w:color="auto"/>
              <w:right w:val="single" w:sz="12" w:space="0" w:color="auto"/>
            </w:tcBorders>
            <w:vAlign w:val="center"/>
          </w:tcPr>
          <w:p w:rsidR="004C3281" w:rsidRPr="007F76CD" w:rsidRDefault="00DE7BFC" w:rsidP="00164D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DE7BFC">
              <w:rPr>
                <w:sz w:val="24"/>
              </w:rPr>
              <w:t>12</w:t>
            </w:r>
            <w:r>
              <w:rPr>
                <w:sz w:val="24"/>
              </w:rPr>
              <w:t>3.050</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4C3281" w:rsidRDefault="00DE7BFC" w:rsidP="00815F9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118.820</w:t>
            </w:r>
          </w:p>
        </w:tc>
        <w:tc>
          <w:tcPr>
            <w:tcW w:w="1134" w:type="dxa"/>
            <w:tcBorders>
              <w:top w:val="single" w:sz="12" w:space="0" w:color="auto"/>
              <w:left w:val="single" w:sz="12" w:space="0" w:color="auto"/>
              <w:bottom w:val="single" w:sz="12" w:space="0" w:color="auto"/>
              <w:right w:val="single" w:sz="12" w:space="0" w:color="auto"/>
            </w:tcBorders>
            <w:vAlign w:val="center"/>
          </w:tcPr>
          <w:p w:rsidR="004C3281" w:rsidRPr="001A41F7" w:rsidRDefault="00484F22" w:rsidP="00C911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97,44</w:t>
            </w:r>
          </w:p>
        </w:tc>
        <w:tc>
          <w:tcPr>
            <w:tcW w:w="992" w:type="dxa"/>
            <w:tcBorders>
              <w:top w:val="single" w:sz="12" w:space="0" w:color="auto"/>
              <w:left w:val="single" w:sz="12" w:space="0" w:color="auto"/>
              <w:bottom w:val="single" w:sz="12" w:space="0" w:color="auto"/>
              <w:right w:val="single" w:sz="12" w:space="0" w:color="auto"/>
            </w:tcBorders>
            <w:vAlign w:val="center"/>
          </w:tcPr>
          <w:p w:rsidR="004C3281" w:rsidRPr="00DE7BFC" w:rsidRDefault="00DE7BFC" w:rsidP="00575A1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DE7BFC">
              <w:rPr>
                <w:sz w:val="24"/>
              </w:rPr>
              <w:t>96,56</w:t>
            </w:r>
          </w:p>
        </w:tc>
      </w:tr>
      <w:tr w:rsidR="004C3281"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4C3281" w:rsidRDefault="004C3281" w:rsidP="009F247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Porez na imovinu</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4C3281" w:rsidRPr="008B5729" w:rsidRDefault="008B5729" w:rsidP="0052041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8B5729">
              <w:rPr>
                <w:sz w:val="24"/>
              </w:rPr>
              <w:t>19.916</w:t>
            </w:r>
          </w:p>
        </w:tc>
        <w:tc>
          <w:tcPr>
            <w:tcW w:w="1418" w:type="dxa"/>
            <w:tcBorders>
              <w:top w:val="single" w:sz="12" w:space="0" w:color="auto"/>
              <w:left w:val="single" w:sz="12" w:space="0" w:color="auto"/>
              <w:bottom w:val="single" w:sz="12" w:space="0" w:color="auto"/>
              <w:right w:val="single" w:sz="12" w:space="0" w:color="auto"/>
            </w:tcBorders>
            <w:vAlign w:val="center"/>
          </w:tcPr>
          <w:p w:rsidR="004C3281" w:rsidRPr="007F76CD" w:rsidRDefault="00DE7BFC" w:rsidP="00164D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DE7BFC">
              <w:rPr>
                <w:sz w:val="24"/>
              </w:rPr>
              <w:t>17.000</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4C3281" w:rsidRDefault="00DE7BFC" w:rsidP="00815F9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23.090</w:t>
            </w:r>
          </w:p>
        </w:tc>
        <w:tc>
          <w:tcPr>
            <w:tcW w:w="1134" w:type="dxa"/>
            <w:tcBorders>
              <w:top w:val="single" w:sz="12" w:space="0" w:color="auto"/>
              <w:left w:val="single" w:sz="12" w:space="0" w:color="auto"/>
              <w:bottom w:val="single" w:sz="12" w:space="0" w:color="auto"/>
              <w:right w:val="single" w:sz="12" w:space="0" w:color="auto"/>
            </w:tcBorders>
            <w:vAlign w:val="center"/>
          </w:tcPr>
          <w:p w:rsidR="004C3281" w:rsidRPr="001A41F7" w:rsidRDefault="00484F22" w:rsidP="00C911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115,94</w:t>
            </w:r>
          </w:p>
        </w:tc>
        <w:tc>
          <w:tcPr>
            <w:tcW w:w="992" w:type="dxa"/>
            <w:tcBorders>
              <w:top w:val="single" w:sz="12" w:space="0" w:color="auto"/>
              <w:left w:val="single" w:sz="12" w:space="0" w:color="auto"/>
              <w:bottom w:val="single" w:sz="12" w:space="0" w:color="auto"/>
              <w:right w:val="single" w:sz="12" w:space="0" w:color="auto"/>
            </w:tcBorders>
            <w:vAlign w:val="center"/>
          </w:tcPr>
          <w:p w:rsidR="004C3281" w:rsidRPr="007F76CD" w:rsidRDefault="00DE7BFC" w:rsidP="002256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DE7BFC">
              <w:rPr>
                <w:sz w:val="24"/>
              </w:rPr>
              <w:t>135,82</w:t>
            </w:r>
          </w:p>
        </w:tc>
      </w:tr>
      <w:tr w:rsidR="004C3281"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4C3281" w:rsidRDefault="004C3281" w:rsidP="009F247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Porez na robu i usluge</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4C3281" w:rsidRPr="008B5729" w:rsidRDefault="008B5729"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8B5729">
              <w:rPr>
                <w:sz w:val="24"/>
              </w:rPr>
              <w:t>15.119</w:t>
            </w:r>
          </w:p>
        </w:tc>
        <w:tc>
          <w:tcPr>
            <w:tcW w:w="1418" w:type="dxa"/>
            <w:tcBorders>
              <w:top w:val="single" w:sz="12" w:space="0" w:color="auto"/>
              <w:left w:val="single" w:sz="12" w:space="0" w:color="auto"/>
              <w:bottom w:val="single" w:sz="12" w:space="0" w:color="auto"/>
              <w:right w:val="single" w:sz="12" w:space="0" w:color="auto"/>
            </w:tcBorders>
            <w:vAlign w:val="center"/>
          </w:tcPr>
          <w:p w:rsidR="004C3281" w:rsidRPr="007F76CD" w:rsidRDefault="00585C85" w:rsidP="00164D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585C85">
              <w:rPr>
                <w:sz w:val="24"/>
              </w:rPr>
              <w:t>12.600</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4C3281" w:rsidRDefault="00585C85" w:rsidP="00227A2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11.674</w:t>
            </w:r>
          </w:p>
        </w:tc>
        <w:tc>
          <w:tcPr>
            <w:tcW w:w="1134" w:type="dxa"/>
            <w:tcBorders>
              <w:top w:val="single" w:sz="12" w:space="0" w:color="auto"/>
              <w:left w:val="single" w:sz="12" w:space="0" w:color="auto"/>
              <w:bottom w:val="single" w:sz="12" w:space="0" w:color="auto"/>
              <w:right w:val="single" w:sz="12" w:space="0" w:color="auto"/>
            </w:tcBorders>
            <w:vAlign w:val="center"/>
          </w:tcPr>
          <w:p w:rsidR="004C3281" w:rsidRPr="001A41F7" w:rsidRDefault="00484F22" w:rsidP="003A4A5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77,21</w:t>
            </w:r>
          </w:p>
        </w:tc>
        <w:tc>
          <w:tcPr>
            <w:tcW w:w="992" w:type="dxa"/>
            <w:tcBorders>
              <w:top w:val="single" w:sz="12" w:space="0" w:color="auto"/>
              <w:left w:val="single" w:sz="12" w:space="0" w:color="auto"/>
              <w:bottom w:val="single" w:sz="12" w:space="0" w:color="auto"/>
              <w:right w:val="single" w:sz="12" w:space="0" w:color="auto"/>
            </w:tcBorders>
            <w:vAlign w:val="center"/>
          </w:tcPr>
          <w:p w:rsidR="004C3281" w:rsidRPr="007F76CD" w:rsidRDefault="00585C85" w:rsidP="002256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585C85">
              <w:rPr>
                <w:sz w:val="24"/>
              </w:rPr>
              <w:t>92,65</w:t>
            </w:r>
          </w:p>
        </w:tc>
      </w:tr>
      <w:tr w:rsidR="004C3281" w:rsidTr="00642403">
        <w:trPr>
          <w:gridAfter w:val="1"/>
          <w:wAfter w:w="142" w:type="dxa"/>
          <w:trHeight w:val="340"/>
        </w:trPr>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Pr>
                <w:sz w:val="24"/>
              </w:rPr>
              <w:t>U k u p n o</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8B5729" w:rsidRDefault="008B5729"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sidRPr="008B5729">
              <w:rPr>
                <w:sz w:val="24"/>
              </w:rPr>
              <w:t>156.977</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F76CD" w:rsidRDefault="003A1608" w:rsidP="00164D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3A1608">
              <w:rPr>
                <w:sz w:val="24"/>
              </w:rPr>
              <w:t>152.650</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Default="003A1608" w:rsidP="00815F9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153.584</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1A41F7" w:rsidRDefault="00484F22" w:rsidP="003A4A5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r>
              <w:rPr>
                <w:sz w:val="24"/>
              </w:rPr>
              <w:t>97,84</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F76CD" w:rsidRDefault="003A1608" w:rsidP="002256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0000"/>
                <w:sz w:val="24"/>
              </w:rPr>
            </w:pPr>
            <w:r w:rsidRPr="003A1608">
              <w:rPr>
                <w:sz w:val="24"/>
              </w:rPr>
              <w:t>100,61</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931" w:type="dxa"/>
            <w:gridSpan w:val="9"/>
            <w:tcBorders>
              <w:top w:val="nil"/>
              <w:left w:val="nil"/>
              <w:bottom w:val="nil"/>
              <w:right w:val="nil"/>
            </w:tcBorders>
            <w:shd w:val="clear" w:color="auto" w:fill="auto"/>
            <w:noWrap/>
            <w:vAlign w:val="center"/>
          </w:tcPr>
          <w:p w:rsidR="00ED5745" w:rsidRPr="001A41F7" w:rsidRDefault="00ED5745" w:rsidP="00902A4A">
            <w:pPr>
              <w:overflowPunct/>
              <w:autoSpaceDE/>
              <w:autoSpaceDN/>
              <w:adjustRightInd/>
              <w:textAlignment w:val="auto"/>
              <w:rPr>
                <w:rFonts w:ascii="Arial" w:hAnsi="Arial" w:cs="Arial"/>
                <w:b/>
                <w:bCs/>
                <w:sz w:val="24"/>
                <w:szCs w:val="24"/>
              </w:rPr>
            </w:pPr>
          </w:p>
          <w:p w:rsidR="001B063F" w:rsidRPr="001A41F7" w:rsidRDefault="001B063F" w:rsidP="00902A4A">
            <w:pPr>
              <w:overflowPunct/>
              <w:autoSpaceDE/>
              <w:autoSpaceDN/>
              <w:adjustRightInd/>
              <w:textAlignment w:val="auto"/>
              <w:rPr>
                <w:rFonts w:ascii="Arial" w:hAnsi="Arial" w:cs="Arial"/>
                <w:b/>
                <w:bCs/>
                <w:sz w:val="24"/>
                <w:szCs w:val="24"/>
              </w:rPr>
            </w:pPr>
          </w:p>
          <w:p w:rsidR="001B063F" w:rsidRPr="001A41F7" w:rsidRDefault="001B063F" w:rsidP="00902A4A">
            <w:pPr>
              <w:overflowPunct/>
              <w:autoSpaceDE/>
              <w:autoSpaceDN/>
              <w:adjustRightInd/>
              <w:textAlignment w:val="auto"/>
              <w:rPr>
                <w:rFonts w:ascii="Arial" w:hAnsi="Arial" w:cs="Arial"/>
                <w:b/>
                <w:bCs/>
                <w:sz w:val="24"/>
                <w:szCs w:val="24"/>
              </w:rPr>
            </w:pPr>
          </w:p>
          <w:p w:rsidR="00104773" w:rsidRPr="001A41F7" w:rsidRDefault="00104773" w:rsidP="00104773">
            <w:pPr>
              <w:overflowPunct/>
              <w:autoSpaceDE/>
              <w:autoSpaceDN/>
              <w:adjustRightInd/>
              <w:jc w:val="center"/>
              <w:textAlignment w:val="auto"/>
              <w:rPr>
                <w:rFonts w:ascii="Arial" w:hAnsi="Arial" w:cs="Arial"/>
                <w:b/>
                <w:bCs/>
                <w:sz w:val="24"/>
                <w:szCs w:val="24"/>
              </w:rPr>
            </w:pPr>
            <w:r w:rsidRPr="001A41F7">
              <w:rPr>
                <w:rFonts w:ascii="Arial" w:hAnsi="Arial" w:cs="Arial"/>
                <w:b/>
                <w:bCs/>
                <w:sz w:val="24"/>
                <w:szCs w:val="24"/>
              </w:rPr>
              <w:t>STRUKTURA POREZNIH PRIHODA PRORAČUNA GRADA DUBROVNIKA</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931" w:type="dxa"/>
            <w:gridSpan w:val="9"/>
            <w:tcBorders>
              <w:top w:val="nil"/>
              <w:left w:val="nil"/>
              <w:bottom w:val="nil"/>
              <w:right w:val="nil"/>
            </w:tcBorders>
            <w:shd w:val="clear" w:color="auto" w:fill="auto"/>
            <w:noWrap/>
            <w:vAlign w:val="center"/>
          </w:tcPr>
          <w:p w:rsidR="00104773" w:rsidRPr="00104773" w:rsidRDefault="00104773" w:rsidP="007F76CD">
            <w:pPr>
              <w:overflowPunct/>
              <w:autoSpaceDE/>
              <w:autoSpaceDN/>
              <w:adjustRightInd/>
              <w:jc w:val="center"/>
              <w:textAlignment w:val="auto"/>
              <w:rPr>
                <w:rFonts w:ascii="Arial" w:hAnsi="Arial" w:cs="Arial"/>
                <w:b/>
                <w:bCs/>
                <w:sz w:val="24"/>
                <w:szCs w:val="24"/>
              </w:rPr>
            </w:pPr>
            <w:r w:rsidRPr="00104773">
              <w:rPr>
                <w:rFonts w:ascii="Arial" w:hAnsi="Arial" w:cs="Arial"/>
                <w:b/>
                <w:bCs/>
                <w:sz w:val="24"/>
                <w:szCs w:val="24"/>
              </w:rPr>
              <w:t>OSTVARENIH U 201</w:t>
            </w:r>
            <w:r w:rsidR="007F76CD">
              <w:rPr>
                <w:rFonts w:ascii="Arial" w:hAnsi="Arial" w:cs="Arial"/>
                <w:b/>
                <w:bCs/>
                <w:sz w:val="24"/>
                <w:szCs w:val="24"/>
              </w:rPr>
              <w:t>7</w:t>
            </w:r>
            <w:r w:rsidRPr="00104773">
              <w:rPr>
                <w:rFonts w:ascii="Arial" w:hAnsi="Arial" w:cs="Arial"/>
                <w:b/>
                <w:bCs/>
                <w:sz w:val="24"/>
                <w:szCs w:val="24"/>
              </w:rPr>
              <w:t>. GODINI</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3425" w:type="dxa"/>
            <w:gridSpan w:val="2"/>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b/>
                <w:bCs/>
              </w:rPr>
            </w:pPr>
          </w:p>
        </w:tc>
        <w:tc>
          <w:tcPr>
            <w:tcW w:w="3115" w:type="dxa"/>
            <w:gridSpan w:val="3"/>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b/>
                <w:bCs/>
              </w:rPr>
            </w:pPr>
          </w:p>
        </w:tc>
        <w:tc>
          <w:tcPr>
            <w:tcW w:w="2391" w:type="dxa"/>
            <w:gridSpan w:val="4"/>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b/>
                <w:bCs/>
              </w:rPr>
            </w:pP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3425" w:type="dxa"/>
            <w:gridSpan w:val="2"/>
            <w:tcBorders>
              <w:top w:val="nil"/>
              <w:left w:val="nil"/>
              <w:bottom w:val="nil"/>
              <w:right w:val="nil"/>
            </w:tcBorders>
            <w:shd w:val="clear" w:color="auto" w:fill="auto"/>
            <w:noWrap/>
            <w:vAlign w:val="center"/>
          </w:tcPr>
          <w:p w:rsidR="00104773" w:rsidRPr="003E1DBF" w:rsidRDefault="00104773" w:rsidP="00B94C5A">
            <w:pPr>
              <w:overflowPunct/>
              <w:autoSpaceDE/>
              <w:autoSpaceDN/>
              <w:adjustRightInd/>
              <w:textAlignment w:val="auto"/>
              <w:rPr>
                <w:rFonts w:ascii="Arial" w:hAnsi="Arial" w:cs="Arial"/>
                <w:b/>
              </w:rPr>
            </w:pPr>
            <w:r w:rsidRPr="003E1DBF">
              <w:rPr>
                <w:rFonts w:ascii="Arial" w:hAnsi="Arial" w:cs="Arial"/>
                <w:b/>
              </w:rPr>
              <w:t>Tabl</w:t>
            </w:r>
            <w:r w:rsidR="003E1DBF">
              <w:rPr>
                <w:rFonts w:ascii="Arial" w:hAnsi="Arial" w:cs="Arial"/>
                <w:b/>
              </w:rPr>
              <w:t>ic</w:t>
            </w:r>
            <w:r w:rsidRPr="003E1DBF">
              <w:rPr>
                <w:rFonts w:ascii="Arial" w:hAnsi="Arial" w:cs="Arial"/>
                <w:b/>
              </w:rPr>
              <w:t>a br.</w:t>
            </w:r>
            <w:r w:rsidR="0021741F">
              <w:rPr>
                <w:rFonts w:ascii="Arial" w:hAnsi="Arial" w:cs="Arial"/>
                <w:b/>
              </w:rPr>
              <w:t xml:space="preserve"> 6</w:t>
            </w:r>
            <w:r w:rsidR="002E345F">
              <w:rPr>
                <w:rFonts w:ascii="Arial" w:hAnsi="Arial" w:cs="Arial"/>
                <w:b/>
              </w:rPr>
              <w:t xml:space="preserve"> (</w:t>
            </w:r>
            <w:r w:rsidR="00B94C5A">
              <w:rPr>
                <w:rFonts w:ascii="Arial" w:hAnsi="Arial" w:cs="Arial"/>
                <w:b/>
              </w:rPr>
              <w:t>bez proračunskih korisnika)</w:t>
            </w:r>
          </w:p>
        </w:tc>
        <w:tc>
          <w:tcPr>
            <w:tcW w:w="3115" w:type="dxa"/>
            <w:gridSpan w:val="3"/>
            <w:tcBorders>
              <w:top w:val="nil"/>
              <w:left w:val="nil"/>
              <w:bottom w:val="nil"/>
              <w:right w:val="nil"/>
            </w:tcBorders>
            <w:shd w:val="clear" w:color="auto" w:fill="auto"/>
            <w:noWrap/>
            <w:vAlign w:val="center"/>
          </w:tcPr>
          <w:p w:rsidR="00104773" w:rsidRPr="003E1DBF" w:rsidRDefault="00104773" w:rsidP="00104773">
            <w:pPr>
              <w:overflowPunct/>
              <w:autoSpaceDE/>
              <w:autoSpaceDN/>
              <w:adjustRightInd/>
              <w:jc w:val="right"/>
              <w:textAlignment w:val="auto"/>
              <w:rPr>
                <w:rFonts w:ascii="Arial" w:hAnsi="Arial" w:cs="Arial"/>
                <w:b/>
              </w:rPr>
            </w:pPr>
          </w:p>
        </w:tc>
        <w:tc>
          <w:tcPr>
            <w:tcW w:w="2391" w:type="dxa"/>
            <w:gridSpan w:val="4"/>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rPr>
            </w:pP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2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104773" w:rsidRPr="003E1DBF" w:rsidRDefault="00104773" w:rsidP="00104773">
            <w:pPr>
              <w:overflowPunct/>
              <w:autoSpaceDE/>
              <w:autoSpaceDN/>
              <w:adjustRightInd/>
              <w:jc w:val="center"/>
              <w:textAlignment w:val="auto"/>
              <w:rPr>
                <w:rFonts w:ascii="Arial" w:hAnsi="Arial" w:cs="Arial"/>
                <w:b/>
                <w:sz w:val="24"/>
                <w:szCs w:val="24"/>
              </w:rPr>
            </w:pPr>
            <w:r w:rsidRPr="003E1DBF">
              <w:rPr>
                <w:rFonts w:ascii="Arial" w:hAnsi="Arial" w:cs="Arial"/>
                <w:b/>
                <w:sz w:val="24"/>
                <w:szCs w:val="24"/>
              </w:rPr>
              <w:t>POREZNI PRIHODI</w:t>
            </w:r>
          </w:p>
        </w:tc>
        <w:tc>
          <w:tcPr>
            <w:tcW w:w="3115" w:type="dxa"/>
            <w:gridSpan w:val="3"/>
            <w:tcBorders>
              <w:top w:val="single" w:sz="8" w:space="0" w:color="auto"/>
              <w:left w:val="nil"/>
              <w:bottom w:val="single" w:sz="8" w:space="0" w:color="auto"/>
              <w:right w:val="single" w:sz="4" w:space="0" w:color="auto"/>
            </w:tcBorders>
            <w:shd w:val="clear" w:color="auto" w:fill="auto"/>
            <w:noWrap/>
            <w:vAlign w:val="center"/>
          </w:tcPr>
          <w:p w:rsidR="00104773" w:rsidRPr="003E1DBF" w:rsidRDefault="00104773" w:rsidP="00B93839">
            <w:pPr>
              <w:overflowPunct/>
              <w:autoSpaceDE/>
              <w:autoSpaceDN/>
              <w:adjustRightInd/>
              <w:jc w:val="center"/>
              <w:textAlignment w:val="auto"/>
              <w:rPr>
                <w:rFonts w:ascii="Arial" w:hAnsi="Arial" w:cs="Arial"/>
                <w:b/>
                <w:sz w:val="24"/>
                <w:szCs w:val="24"/>
              </w:rPr>
            </w:pPr>
            <w:r w:rsidRPr="003E1DBF">
              <w:rPr>
                <w:rFonts w:ascii="Arial" w:hAnsi="Arial" w:cs="Arial"/>
                <w:b/>
                <w:sz w:val="24"/>
                <w:szCs w:val="24"/>
              </w:rPr>
              <w:t>Ostvarenje u 201</w:t>
            </w:r>
            <w:r w:rsidR="00B93839">
              <w:rPr>
                <w:rFonts w:ascii="Arial" w:hAnsi="Arial" w:cs="Arial"/>
                <w:b/>
                <w:sz w:val="24"/>
                <w:szCs w:val="24"/>
              </w:rPr>
              <w:t>7</w:t>
            </w:r>
            <w:r w:rsidRPr="003E1DBF">
              <w:rPr>
                <w:rFonts w:ascii="Arial" w:hAnsi="Arial" w:cs="Arial"/>
                <w:b/>
                <w:sz w:val="24"/>
                <w:szCs w:val="24"/>
              </w:rPr>
              <w:t>. godini</w:t>
            </w:r>
          </w:p>
        </w:tc>
        <w:tc>
          <w:tcPr>
            <w:tcW w:w="2391" w:type="dxa"/>
            <w:gridSpan w:val="4"/>
            <w:tcBorders>
              <w:top w:val="single" w:sz="8" w:space="0" w:color="auto"/>
              <w:left w:val="nil"/>
              <w:bottom w:val="single" w:sz="8" w:space="0" w:color="auto"/>
              <w:right w:val="single" w:sz="8" w:space="0" w:color="auto"/>
            </w:tcBorders>
            <w:shd w:val="clear" w:color="auto" w:fill="auto"/>
            <w:noWrap/>
            <w:vAlign w:val="center"/>
          </w:tcPr>
          <w:p w:rsidR="00104773" w:rsidRPr="003E1DBF" w:rsidRDefault="00104773" w:rsidP="00104773">
            <w:pPr>
              <w:overflowPunct/>
              <w:autoSpaceDE/>
              <w:autoSpaceDN/>
              <w:adjustRightInd/>
              <w:jc w:val="center"/>
              <w:textAlignment w:val="auto"/>
              <w:rPr>
                <w:rFonts w:ascii="Arial" w:hAnsi="Arial" w:cs="Arial"/>
                <w:b/>
                <w:sz w:val="24"/>
                <w:szCs w:val="24"/>
              </w:rPr>
            </w:pPr>
            <w:r w:rsidRPr="003E1DBF">
              <w:rPr>
                <w:rFonts w:ascii="Arial" w:hAnsi="Arial" w:cs="Arial"/>
                <w:b/>
                <w:sz w:val="24"/>
                <w:szCs w:val="24"/>
              </w:rPr>
              <w:t>Udio u ostvarenju</w:t>
            </w:r>
          </w:p>
        </w:tc>
      </w:tr>
      <w:tr w:rsidR="00835B72" w:rsidRPr="00835B72"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104773" w:rsidRDefault="00104773" w:rsidP="00104773">
            <w:pPr>
              <w:overflowPunct/>
              <w:autoSpaceDE/>
              <w:autoSpaceDN/>
              <w:adjustRightInd/>
              <w:textAlignment w:val="auto"/>
              <w:rPr>
                <w:rFonts w:ascii="Arial" w:hAnsi="Arial" w:cs="Arial"/>
                <w:sz w:val="24"/>
                <w:szCs w:val="24"/>
              </w:rPr>
            </w:pPr>
            <w:r w:rsidRPr="00104773">
              <w:rPr>
                <w:rFonts w:ascii="Arial" w:hAnsi="Arial" w:cs="Arial"/>
                <w:sz w:val="24"/>
                <w:szCs w:val="24"/>
              </w:rPr>
              <w:t>Porez i prirez na dohodak</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7D6CED" w:rsidRDefault="007D6CED" w:rsidP="00104773">
            <w:pPr>
              <w:overflowPunct/>
              <w:autoSpaceDE/>
              <w:autoSpaceDN/>
              <w:adjustRightInd/>
              <w:jc w:val="right"/>
              <w:textAlignment w:val="auto"/>
              <w:rPr>
                <w:rFonts w:ascii="Arial" w:hAnsi="Arial" w:cs="Arial"/>
                <w:sz w:val="24"/>
                <w:szCs w:val="24"/>
              </w:rPr>
            </w:pPr>
            <w:r w:rsidRPr="007D6CED">
              <w:rPr>
                <w:rFonts w:ascii="Arial" w:hAnsi="Arial" w:cs="Arial"/>
                <w:sz w:val="24"/>
                <w:szCs w:val="24"/>
              </w:rPr>
              <w:t>118.820.137</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835B72" w:rsidRDefault="004D5EA3" w:rsidP="00835B72">
            <w:pPr>
              <w:overflowPunct/>
              <w:autoSpaceDE/>
              <w:autoSpaceDN/>
              <w:adjustRightInd/>
              <w:jc w:val="right"/>
              <w:textAlignment w:val="auto"/>
              <w:rPr>
                <w:rFonts w:ascii="Arial" w:hAnsi="Arial" w:cs="Arial"/>
                <w:sz w:val="24"/>
                <w:szCs w:val="24"/>
              </w:rPr>
            </w:pPr>
            <w:r w:rsidRPr="00835B72">
              <w:rPr>
                <w:rFonts w:ascii="Arial" w:hAnsi="Arial" w:cs="Arial"/>
                <w:sz w:val="24"/>
                <w:szCs w:val="24"/>
              </w:rPr>
              <w:t>77,</w:t>
            </w:r>
            <w:r w:rsidR="00835B72" w:rsidRPr="00835B72">
              <w:rPr>
                <w:rFonts w:ascii="Arial" w:hAnsi="Arial" w:cs="Arial"/>
                <w:sz w:val="24"/>
                <w:szCs w:val="24"/>
              </w:rPr>
              <w:t>36</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104773" w:rsidRDefault="00104773" w:rsidP="00104773">
            <w:pPr>
              <w:overflowPunct/>
              <w:autoSpaceDE/>
              <w:autoSpaceDN/>
              <w:adjustRightInd/>
              <w:textAlignment w:val="auto"/>
              <w:rPr>
                <w:rFonts w:ascii="Arial" w:hAnsi="Arial" w:cs="Arial"/>
                <w:sz w:val="24"/>
                <w:szCs w:val="24"/>
              </w:rPr>
            </w:pPr>
            <w:r w:rsidRPr="00104773">
              <w:rPr>
                <w:rFonts w:ascii="Arial" w:hAnsi="Arial" w:cs="Arial"/>
                <w:sz w:val="24"/>
                <w:szCs w:val="24"/>
              </w:rPr>
              <w:t>Porez na imovinu</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7D6CED" w:rsidRDefault="007D6CED" w:rsidP="00104773">
            <w:pPr>
              <w:overflowPunct/>
              <w:autoSpaceDE/>
              <w:autoSpaceDN/>
              <w:adjustRightInd/>
              <w:jc w:val="right"/>
              <w:textAlignment w:val="auto"/>
              <w:rPr>
                <w:rFonts w:ascii="Arial" w:hAnsi="Arial" w:cs="Arial"/>
                <w:sz w:val="24"/>
                <w:szCs w:val="24"/>
              </w:rPr>
            </w:pPr>
            <w:r w:rsidRPr="007D6CED">
              <w:rPr>
                <w:rFonts w:ascii="Arial" w:hAnsi="Arial" w:cs="Arial"/>
                <w:sz w:val="24"/>
                <w:szCs w:val="24"/>
              </w:rPr>
              <w:t>23.090.143</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835B72" w:rsidRDefault="00835B72" w:rsidP="00835B72">
            <w:pPr>
              <w:overflowPunct/>
              <w:autoSpaceDE/>
              <w:autoSpaceDN/>
              <w:adjustRightInd/>
              <w:jc w:val="right"/>
              <w:textAlignment w:val="auto"/>
              <w:rPr>
                <w:rFonts w:ascii="Arial" w:hAnsi="Arial" w:cs="Arial"/>
                <w:sz w:val="24"/>
                <w:szCs w:val="24"/>
              </w:rPr>
            </w:pPr>
            <w:r w:rsidRPr="00835B72">
              <w:rPr>
                <w:rFonts w:ascii="Arial" w:hAnsi="Arial" w:cs="Arial"/>
                <w:sz w:val="24"/>
                <w:szCs w:val="24"/>
              </w:rPr>
              <w:t>15,0</w:t>
            </w:r>
            <w:r>
              <w:rPr>
                <w:rFonts w:ascii="Arial" w:hAnsi="Arial" w:cs="Arial"/>
                <w:sz w:val="24"/>
                <w:szCs w:val="24"/>
              </w:rPr>
              <w:t>4</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104773" w:rsidRDefault="00104773" w:rsidP="00104773">
            <w:pPr>
              <w:overflowPunct/>
              <w:autoSpaceDE/>
              <w:autoSpaceDN/>
              <w:adjustRightInd/>
              <w:textAlignment w:val="auto"/>
              <w:rPr>
                <w:rFonts w:ascii="Arial" w:hAnsi="Arial" w:cs="Arial"/>
                <w:sz w:val="24"/>
                <w:szCs w:val="24"/>
              </w:rPr>
            </w:pPr>
            <w:r w:rsidRPr="00104773">
              <w:rPr>
                <w:rFonts w:ascii="Arial" w:hAnsi="Arial" w:cs="Arial"/>
                <w:sz w:val="24"/>
                <w:szCs w:val="24"/>
              </w:rPr>
              <w:t>Porez na robu i usluge</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7D6CED" w:rsidRDefault="007D6CED" w:rsidP="00BB2195">
            <w:pPr>
              <w:overflowPunct/>
              <w:autoSpaceDE/>
              <w:autoSpaceDN/>
              <w:adjustRightInd/>
              <w:jc w:val="right"/>
              <w:textAlignment w:val="auto"/>
              <w:rPr>
                <w:rFonts w:ascii="Arial" w:hAnsi="Arial" w:cs="Arial"/>
                <w:sz w:val="24"/>
                <w:szCs w:val="24"/>
              </w:rPr>
            </w:pPr>
            <w:r w:rsidRPr="007D6CED">
              <w:rPr>
                <w:rFonts w:ascii="Arial" w:hAnsi="Arial" w:cs="Arial"/>
                <w:sz w:val="24"/>
                <w:szCs w:val="24"/>
              </w:rPr>
              <w:t>11.674.034</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835B72" w:rsidRDefault="00835B72" w:rsidP="00104773">
            <w:pPr>
              <w:overflowPunct/>
              <w:autoSpaceDE/>
              <w:autoSpaceDN/>
              <w:adjustRightInd/>
              <w:jc w:val="right"/>
              <w:textAlignment w:val="auto"/>
              <w:rPr>
                <w:rFonts w:ascii="Arial" w:hAnsi="Arial" w:cs="Arial"/>
                <w:sz w:val="24"/>
                <w:szCs w:val="24"/>
              </w:rPr>
            </w:pPr>
            <w:r w:rsidRPr="00835B72">
              <w:rPr>
                <w:rFonts w:ascii="Arial" w:hAnsi="Arial" w:cs="Arial"/>
                <w:sz w:val="24"/>
                <w:szCs w:val="24"/>
              </w:rPr>
              <w:t>7,60</w:t>
            </w:r>
          </w:p>
        </w:tc>
      </w:tr>
      <w:tr w:rsidR="00E070D7" w:rsidRPr="00E070D7"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104773" w:rsidRPr="00104773" w:rsidRDefault="00104773" w:rsidP="00104773">
            <w:pPr>
              <w:overflowPunct/>
              <w:autoSpaceDE/>
              <w:autoSpaceDN/>
              <w:adjustRightInd/>
              <w:textAlignment w:val="auto"/>
              <w:rPr>
                <w:rFonts w:ascii="Arial" w:hAnsi="Arial" w:cs="Arial"/>
                <w:sz w:val="24"/>
                <w:szCs w:val="24"/>
              </w:rPr>
            </w:pPr>
            <w:r w:rsidRPr="00104773">
              <w:rPr>
                <w:rFonts w:ascii="Arial" w:hAnsi="Arial" w:cs="Arial"/>
                <w:sz w:val="24"/>
                <w:szCs w:val="24"/>
              </w:rPr>
              <w:t>U k u p n o</w:t>
            </w:r>
          </w:p>
        </w:tc>
        <w:tc>
          <w:tcPr>
            <w:tcW w:w="3115" w:type="dxa"/>
            <w:gridSpan w:val="3"/>
            <w:tcBorders>
              <w:top w:val="single" w:sz="8" w:space="0" w:color="auto"/>
              <w:left w:val="nil"/>
              <w:bottom w:val="single" w:sz="8" w:space="0" w:color="auto"/>
              <w:right w:val="single" w:sz="4" w:space="0" w:color="auto"/>
            </w:tcBorders>
            <w:shd w:val="clear" w:color="auto" w:fill="auto"/>
            <w:noWrap/>
            <w:vAlign w:val="center"/>
          </w:tcPr>
          <w:p w:rsidR="00104773" w:rsidRPr="007D6CED" w:rsidRDefault="007D6CED" w:rsidP="00BB2195">
            <w:pPr>
              <w:overflowPunct/>
              <w:autoSpaceDE/>
              <w:autoSpaceDN/>
              <w:adjustRightInd/>
              <w:jc w:val="right"/>
              <w:textAlignment w:val="auto"/>
              <w:rPr>
                <w:rFonts w:ascii="Arial" w:hAnsi="Arial" w:cs="Arial"/>
                <w:sz w:val="24"/>
                <w:szCs w:val="24"/>
              </w:rPr>
            </w:pPr>
            <w:r w:rsidRPr="007D6CED">
              <w:rPr>
                <w:rFonts w:ascii="Arial" w:hAnsi="Arial" w:cs="Arial"/>
                <w:sz w:val="24"/>
                <w:szCs w:val="24"/>
              </w:rPr>
              <w:t>153.584.312</w:t>
            </w:r>
          </w:p>
        </w:tc>
        <w:tc>
          <w:tcPr>
            <w:tcW w:w="2391" w:type="dxa"/>
            <w:gridSpan w:val="4"/>
            <w:tcBorders>
              <w:top w:val="single" w:sz="8" w:space="0" w:color="auto"/>
              <w:left w:val="nil"/>
              <w:bottom w:val="single" w:sz="8" w:space="0" w:color="auto"/>
              <w:right w:val="single" w:sz="8" w:space="0" w:color="auto"/>
            </w:tcBorders>
            <w:shd w:val="clear" w:color="auto" w:fill="auto"/>
            <w:noWrap/>
            <w:vAlign w:val="bottom"/>
          </w:tcPr>
          <w:p w:rsidR="00104773" w:rsidRPr="00E070D7" w:rsidRDefault="004D5EA3" w:rsidP="00104773">
            <w:pPr>
              <w:overflowPunct/>
              <w:autoSpaceDE/>
              <w:autoSpaceDN/>
              <w:adjustRightInd/>
              <w:jc w:val="right"/>
              <w:textAlignment w:val="auto"/>
              <w:rPr>
                <w:rFonts w:ascii="Arial" w:hAnsi="Arial" w:cs="Arial"/>
                <w:sz w:val="24"/>
                <w:szCs w:val="24"/>
              </w:rPr>
            </w:pPr>
            <w:r w:rsidRPr="00E070D7">
              <w:rPr>
                <w:rFonts w:ascii="Arial" w:hAnsi="Arial" w:cs="Arial"/>
                <w:sz w:val="24"/>
                <w:szCs w:val="24"/>
              </w:rPr>
              <w:t>100</w:t>
            </w:r>
          </w:p>
        </w:tc>
      </w:tr>
    </w:tbl>
    <w:p w:rsidR="0033187C" w:rsidRDefault="0033187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04773" w:rsidRDefault="001047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04773" w:rsidRDefault="00E041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E04173">
        <w:rPr>
          <w:b/>
          <w:noProof/>
          <w:sz w:val="24"/>
        </w:rPr>
        <w:drawing>
          <wp:inline distT="0" distB="0" distL="0" distR="0">
            <wp:extent cx="5614035" cy="2790306"/>
            <wp:effectExtent l="19050" t="0" r="24765"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3C77" w:rsidRDefault="00523C77"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BD6CB7" w:rsidRDefault="00BD6CB7"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523C77" w:rsidRDefault="00523C77"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BA2B72" w:rsidRDefault="002B1E50"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Tab</w:t>
      </w:r>
      <w:r w:rsidR="003E1DBF">
        <w:rPr>
          <w:b/>
          <w:sz w:val="24"/>
        </w:rPr>
        <w:t>lica</w:t>
      </w:r>
      <w:r>
        <w:rPr>
          <w:b/>
          <w:sz w:val="24"/>
        </w:rPr>
        <w:t xml:space="preserve"> br. </w:t>
      </w:r>
      <w:r w:rsidR="0021741F">
        <w:rPr>
          <w:b/>
          <w:sz w:val="24"/>
        </w:rPr>
        <w:t>7</w:t>
      </w:r>
      <w:r>
        <w:rPr>
          <w:sz w:val="24"/>
        </w:rPr>
        <w:t xml:space="preserve">   </w:t>
      </w:r>
      <w:r w:rsidR="003E1DBF">
        <w:rPr>
          <w:sz w:val="24"/>
        </w:rPr>
        <w:t xml:space="preserve"> </w:t>
      </w:r>
      <w:r>
        <w:rPr>
          <w:b/>
          <w:sz w:val="24"/>
        </w:rPr>
        <w:t>Prihodi od poreza</w:t>
      </w:r>
      <w:r w:rsidR="00B2264F">
        <w:rPr>
          <w:b/>
          <w:sz w:val="24"/>
        </w:rPr>
        <w:t xml:space="preserve"> </w:t>
      </w:r>
      <w:r>
        <w:rPr>
          <w:b/>
          <w:sz w:val="24"/>
        </w:rPr>
        <w:t>u razdoblju 20</w:t>
      </w:r>
      <w:r w:rsidR="00636D2F">
        <w:rPr>
          <w:b/>
          <w:sz w:val="24"/>
        </w:rPr>
        <w:t>1</w:t>
      </w:r>
      <w:r w:rsidR="00B93839">
        <w:rPr>
          <w:b/>
          <w:sz w:val="24"/>
        </w:rPr>
        <w:t>3</w:t>
      </w:r>
      <w:r w:rsidR="00636D2F">
        <w:rPr>
          <w:b/>
          <w:sz w:val="24"/>
        </w:rPr>
        <w:t xml:space="preserve">. </w:t>
      </w:r>
      <w:r>
        <w:rPr>
          <w:b/>
          <w:sz w:val="24"/>
        </w:rPr>
        <w:t>– 20</w:t>
      </w:r>
      <w:r w:rsidR="008F7CA8">
        <w:rPr>
          <w:b/>
          <w:sz w:val="24"/>
        </w:rPr>
        <w:t>1</w:t>
      </w:r>
      <w:r w:rsidR="00B93839">
        <w:rPr>
          <w:b/>
          <w:sz w:val="24"/>
        </w:rPr>
        <w:t>7</w:t>
      </w:r>
      <w:r w:rsidR="00636D2F">
        <w:rPr>
          <w:b/>
          <w:sz w:val="24"/>
        </w:rPr>
        <w:t>.</w:t>
      </w:r>
      <w:r>
        <w:t xml:space="preserve">  </w:t>
      </w:r>
      <w:r w:rsidR="007E5B96">
        <w:t xml:space="preserve">           </w:t>
      </w:r>
      <w:r w:rsidR="002E2874">
        <w:t xml:space="preserve">     </w:t>
      </w:r>
      <w:r w:rsidR="007E5B96">
        <w:t xml:space="preserve">    </w:t>
      </w:r>
    </w:p>
    <w:p w:rsidR="00BA2B72" w:rsidRDefault="00BA2B72"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E5B96" w:rsidRDefault="00143958" w:rsidP="0014395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              </w:t>
      </w:r>
      <w:r w:rsidR="004317FF" w:rsidRPr="00523C77">
        <w:rPr>
          <w:b/>
        </w:rPr>
        <w:t>(bez proračunskih korisnika)</w:t>
      </w:r>
      <w:r>
        <w:tab/>
      </w:r>
      <w:r>
        <w:tab/>
      </w:r>
      <w:r>
        <w:tab/>
      </w:r>
      <w:r>
        <w:tab/>
      </w:r>
      <w:r w:rsidR="00BA2B72">
        <w:tab/>
      </w:r>
      <w:r w:rsidR="007E5B96" w:rsidRPr="003E1DBF">
        <w:rPr>
          <w:b/>
        </w:rPr>
        <w:t xml:space="preserve"> u 000 kuna</w:t>
      </w:r>
    </w:p>
    <w:p w:rsidR="00143958" w:rsidRPr="003E1DBF" w:rsidRDefault="00143958" w:rsidP="00523C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1"/>
        <w:gridCol w:w="1561"/>
        <w:gridCol w:w="1561"/>
        <w:gridCol w:w="1561"/>
        <w:gridCol w:w="1561"/>
      </w:tblGrid>
      <w:tr w:rsidR="00104773" w:rsidRPr="00073929" w:rsidTr="00073929">
        <w:trPr>
          <w:jc w:val="center"/>
        </w:trPr>
        <w:tc>
          <w:tcPr>
            <w:tcW w:w="1561" w:type="dxa"/>
            <w:shd w:val="clear" w:color="auto" w:fill="auto"/>
          </w:tcPr>
          <w:p w:rsidR="00104773" w:rsidRPr="00073929" w:rsidRDefault="00104773" w:rsidP="00B93839">
            <w:pPr>
              <w:tabs>
                <w:tab w:val="left" w:pos="-720"/>
                <w:tab w:val="left" w:pos="-4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073929">
              <w:rPr>
                <w:sz w:val="24"/>
                <w:szCs w:val="24"/>
              </w:rPr>
              <w:t>201</w:t>
            </w:r>
            <w:r w:rsidR="00B93839">
              <w:rPr>
                <w:sz w:val="24"/>
                <w:szCs w:val="24"/>
              </w:rPr>
              <w:t>3</w:t>
            </w:r>
            <w:r w:rsidRPr="00073929">
              <w:rPr>
                <w:sz w:val="24"/>
                <w:szCs w:val="24"/>
              </w:rPr>
              <w:t>.</w:t>
            </w:r>
          </w:p>
        </w:tc>
        <w:tc>
          <w:tcPr>
            <w:tcW w:w="1561" w:type="dxa"/>
            <w:shd w:val="clear" w:color="auto" w:fill="auto"/>
          </w:tcPr>
          <w:p w:rsidR="00104773" w:rsidRPr="00073929" w:rsidRDefault="00104773" w:rsidP="00B9383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073929">
              <w:rPr>
                <w:sz w:val="24"/>
                <w:szCs w:val="24"/>
              </w:rPr>
              <w:t>201</w:t>
            </w:r>
            <w:r w:rsidR="00B93839">
              <w:rPr>
                <w:sz w:val="24"/>
                <w:szCs w:val="24"/>
              </w:rPr>
              <w:t>4</w:t>
            </w:r>
            <w:r w:rsidRPr="00073929">
              <w:rPr>
                <w:sz w:val="24"/>
                <w:szCs w:val="24"/>
              </w:rPr>
              <w:t>.</w:t>
            </w:r>
          </w:p>
        </w:tc>
        <w:tc>
          <w:tcPr>
            <w:tcW w:w="1561" w:type="dxa"/>
            <w:shd w:val="clear" w:color="auto" w:fill="auto"/>
          </w:tcPr>
          <w:p w:rsidR="00104773" w:rsidRPr="00073929" w:rsidRDefault="00104773" w:rsidP="00B9383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073929">
              <w:rPr>
                <w:sz w:val="24"/>
                <w:szCs w:val="24"/>
              </w:rPr>
              <w:t>201</w:t>
            </w:r>
            <w:r w:rsidR="00B93839">
              <w:rPr>
                <w:sz w:val="24"/>
                <w:szCs w:val="24"/>
              </w:rPr>
              <w:t>5</w:t>
            </w:r>
            <w:r w:rsidRPr="00073929">
              <w:rPr>
                <w:sz w:val="24"/>
                <w:szCs w:val="24"/>
              </w:rPr>
              <w:t>.</w:t>
            </w:r>
          </w:p>
        </w:tc>
        <w:tc>
          <w:tcPr>
            <w:tcW w:w="1561" w:type="dxa"/>
            <w:shd w:val="clear" w:color="auto" w:fill="auto"/>
          </w:tcPr>
          <w:p w:rsidR="00104773" w:rsidRPr="00073929" w:rsidRDefault="00104773" w:rsidP="00B9383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073929">
              <w:rPr>
                <w:sz w:val="24"/>
                <w:szCs w:val="24"/>
              </w:rPr>
              <w:t>201</w:t>
            </w:r>
            <w:r w:rsidR="00B93839">
              <w:rPr>
                <w:sz w:val="24"/>
                <w:szCs w:val="24"/>
              </w:rPr>
              <w:t>6</w:t>
            </w:r>
            <w:r w:rsidRPr="00073929">
              <w:rPr>
                <w:sz w:val="24"/>
                <w:szCs w:val="24"/>
              </w:rPr>
              <w:t>.</w:t>
            </w:r>
          </w:p>
        </w:tc>
        <w:tc>
          <w:tcPr>
            <w:tcW w:w="1561" w:type="dxa"/>
            <w:shd w:val="clear" w:color="auto" w:fill="auto"/>
          </w:tcPr>
          <w:p w:rsidR="00104773" w:rsidRPr="00073929" w:rsidRDefault="00104773" w:rsidP="00B9383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073929">
              <w:rPr>
                <w:sz w:val="24"/>
                <w:szCs w:val="24"/>
              </w:rPr>
              <w:t>201</w:t>
            </w:r>
            <w:r w:rsidR="00B93839">
              <w:rPr>
                <w:sz w:val="24"/>
                <w:szCs w:val="24"/>
              </w:rPr>
              <w:t>7</w:t>
            </w:r>
            <w:r w:rsidRPr="00073929">
              <w:rPr>
                <w:sz w:val="24"/>
                <w:szCs w:val="24"/>
              </w:rPr>
              <w:t>.</w:t>
            </w:r>
          </w:p>
        </w:tc>
      </w:tr>
      <w:tr w:rsidR="00104773" w:rsidRPr="00073929" w:rsidTr="00073929">
        <w:trPr>
          <w:jc w:val="center"/>
        </w:trPr>
        <w:tc>
          <w:tcPr>
            <w:tcW w:w="1561" w:type="dxa"/>
            <w:shd w:val="clear" w:color="auto" w:fill="auto"/>
          </w:tcPr>
          <w:p w:rsidR="00104773" w:rsidRPr="00073929" w:rsidRDefault="00B93839" w:rsidP="000739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141.761</w:t>
            </w:r>
          </w:p>
        </w:tc>
        <w:tc>
          <w:tcPr>
            <w:tcW w:w="1561" w:type="dxa"/>
            <w:shd w:val="clear" w:color="auto" w:fill="auto"/>
          </w:tcPr>
          <w:p w:rsidR="00104773" w:rsidRPr="00073929" w:rsidRDefault="00B93839" w:rsidP="000739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148.143</w:t>
            </w:r>
          </w:p>
        </w:tc>
        <w:tc>
          <w:tcPr>
            <w:tcW w:w="1561" w:type="dxa"/>
            <w:shd w:val="clear" w:color="auto" w:fill="auto"/>
          </w:tcPr>
          <w:p w:rsidR="00104773" w:rsidRPr="00073929" w:rsidRDefault="00B93839" w:rsidP="000739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144.871</w:t>
            </w:r>
          </w:p>
        </w:tc>
        <w:tc>
          <w:tcPr>
            <w:tcW w:w="1561" w:type="dxa"/>
            <w:shd w:val="clear" w:color="auto" w:fill="auto"/>
          </w:tcPr>
          <w:p w:rsidR="00104773" w:rsidRPr="00073929" w:rsidRDefault="00B93839" w:rsidP="000739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156.977</w:t>
            </w:r>
          </w:p>
        </w:tc>
        <w:tc>
          <w:tcPr>
            <w:tcW w:w="1561" w:type="dxa"/>
            <w:shd w:val="clear" w:color="auto" w:fill="auto"/>
          </w:tcPr>
          <w:p w:rsidR="00104773" w:rsidRPr="00073929" w:rsidRDefault="00550423" w:rsidP="0014395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153.584</w:t>
            </w:r>
          </w:p>
        </w:tc>
      </w:tr>
    </w:tbl>
    <w:p w:rsidR="001E0DBE" w:rsidRDefault="001E0DBE"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D6CB7" w:rsidRDefault="00BD6CB7"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36D2F" w:rsidRDefault="00636D2F"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A2B72" w:rsidRDefault="00E04173"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04173">
        <w:rPr>
          <w:noProof/>
        </w:rPr>
        <w:drawing>
          <wp:inline distT="0" distB="0" distL="0" distR="0">
            <wp:extent cx="5419725" cy="3571875"/>
            <wp:effectExtent l="19050" t="0" r="9525"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4773" w:rsidRDefault="00104773"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04773" w:rsidRDefault="00104773"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A5642" w:rsidRPr="00824D20" w:rsidRDefault="003E1DBF"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sidR="00ED5745">
        <w:rPr>
          <w:sz w:val="24"/>
          <w:szCs w:val="24"/>
        </w:rPr>
        <w:tab/>
      </w:r>
      <w:r w:rsidR="006A5642" w:rsidRPr="00BD7871">
        <w:rPr>
          <w:sz w:val="24"/>
          <w:szCs w:val="24"/>
        </w:rPr>
        <w:t xml:space="preserve">Prihodi od poreza, kao </w:t>
      </w:r>
      <w:r w:rsidR="00D60A03" w:rsidRPr="00BD7871">
        <w:rPr>
          <w:sz w:val="24"/>
          <w:szCs w:val="24"/>
        </w:rPr>
        <w:t xml:space="preserve">jedan od </w:t>
      </w:r>
      <w:r w:rsidR="006A5642" w:rsidRPr="00BD7871">
        <w:rPr>
          <w:sz w:val="24"/>
          <w:szCs w:val="24"/>
        </w:rPr>
        <w:t>najznačajniji</w:t>
      </w:r>
      <w:r w:rsidR="00D60A03" w:rsidRPr="00BD7871">
        <w:rPr>
          <w:sz w:val="24"/>
          <w:szCs w:val="24"/>
        </w:rPr>
        <w:t>h</w:t>
      </w:r>
      <w:r w:rsidR="006A5642" w:rsidRPr="00BD7871">
        <w:rPr>
          <w:sz w:val="24"/>
          <w:szCs w:val="24"/>
        </w:rPr>
        <w:t xml:space="preserve"> prihod</w:t>
      </w:r>
      <w:r w:rsidR="00D60A03" w:rsidRPr="00BD7871">
        <w:rPr>
          <w:sz w:val="24"/>
          <w:szCs w:val="24"/>
        </w:rPr>
        <w:t>a</w:t>
      </w:r>
      <w:r w:rsidR="006A5642" w:rsidRPr="00BD7871">
        <w:rPr>
          <w:sz w:val="24"/>
          <w:szCs w:val="24"/>
        </w:rPr>
        <w:t xml:space="preserve"> proračuna, u 201</w:t>
      </w:r>
      <w:r w:rsidR="00BD7871" w:rsidRPr="00BD7871">
        <w:rPr>
          <w:sz w:val="24"/>
          <w:szCs w:val="24"/>
        </w:rPr>
        <w:t>7</w:t>
      </w:r>
      <w:r w:rsidR="006A5642" w:rsidRPr="00BD7871">
        <w:rPr>
          <w:sz w:val="24"/>
          <w:szCs w:val="24"/>
        </w:rPr>
        <w:t xml:space="preserve">. </w:t>
      </w:r>
      <w:r w:rsidR="00824D20">
        <w:rPr>
          <w:sz w:val="24"/>
          <w:szCs w:val="24"/>
        </w:rPr>
        <w:t xml:space="preserve">smanjen je </w:t>
      </w:r>
      <w:r w:rsidR="00D60A03" w:rsidRPr="00DC3338">
        <w:rPr>
          <w:color w:val="FF0000"/>
          <w:sz w:val="24"/>
          <w:szCs w:val="24"/>
        </w:rPr>
        <w:t xml:space="preserve"> </w:t>
      </w:r>
      <w:r w:rsidR="00D60A03" w:rsidRPr="00824D20">
        <w:rPr>
          <w:sz w:val="24"/>
          <w:szCs w:val="24"/>
        </w:rPr>
        <w:t xml:space="preserve">u </w:t>
      </w:r>
      <w:r w:rsidR="006A5642" w:rsidRPr="00824D20">
        <w:rPr>
          <w:sz w:val="24"/>
          <w:szCs w:val="24"/>
        </w:rPr>
        <w:t>odnosu na 201</w:t>
      </w:r>
      <w:r w:rsidR="00824D20" w:rsidRPr="00824D20">
        <w:rPr>
          <w:sz w:val="24"/>
          <w:szCs w:val="24"/>
        </w:rPr>
        <w:t>6</w:t>
      </w:r>
      <w:r w:rsidR="006A5642" w:rsidRPr="00824D20">
        <w:rPr>
          <w:sz w:val="24"/>
          <w:szCs w:val="24"/>
        </w:rPr>
        <w:t xml:space="preserve">. za </w:t>
      </w:r>
      <w:r w:rsidR="00824D20" w:rsidRPr="00824D20">
        <w:rPr>
          <w:sz w:val="24"/>
          <w:szCs w:val="24"/>
        </w:rPr>
        <w:t xml:space="preserve">2% </w:t>
      </w:r>
      <w:r w:rsidR="006A5642" w:rsidRPr="00824D20">
        <w:rPr>
          <w:sz w:val="24"/>
          <w:szCs w:val="24"/>
        </w:rPr>
        <w:t xml:space="preserve">ili za </w:t>
      </w:r>
      <w:r w:rsidR="00824D20" w:rsidRPr="00824D20">
        <w:rPr>
          <w:sz w:val="24"/>
          <w:szCs w:val="24"/>
        </w:rPr>
        <w:t>3.393.232 kune.</w:t>
      </w:r>
      <w:r w:rsidR="006A5642" w:rsidRPr="00DC3338">
        <w:rPr>
          <w:color w:val="FF0000"/>
          <w:sz w:val="24"/>
          <w:szCs w:val="24"/>
        </w:rPr>
        <w:t>.</w:t>
      </w:r>
      <w:r w:rsidR="00824D20">
        <w:rPr>
          <w:color w:val="FF0000"/>
          <w:sz w:val="24"/>
          <w:szCs w:val="24"/>
        </w:rPr>
        <w:t xml:space="preserve"> </w:t>
      </w:r>
      <w:r w:rsidR="00824D20" w:rsidRPr="00824D20">
        <w:rPr>
          <w:sz w:val="24"/>
          <w:szCs w:val="24"/>
        </w:rPr>
        <w:t xml:space="preserve">Trend porasta poreznih prihoda </w:t>
      </w:r>
      <w:r w:rsidR="006A5642" w:rsidRPr="00824D20">
        <w:rPr>
          <w:sz w:val="24"/>
          <w:szCs w:val="24"/>
        </w:rPr>
        <w:t xml:space="preserve">ide </w:t>
      </w:r>
      <w:r w:rsidR="00824D20" w:rsidRPr="00824D20">
        <w:rPr>
          <w:sz w:val="24"/>
          <w:szCs w:val="24"/>
        </w:rPr>
        <w:t xml:space="preserve">od </w:t>
      </w:r>
      <w:r w:rsidR="006A5642" w:rsidRPr="00824D20">
        <w:rPr>
          <w:sz w:val="24"/>
          <w:szCs w:val="24"/>
        </w:rPr>
        <w:t xml:space="preserve"> 201</w:t>
      </w:r>
      <w:r w:rsidR="00824D20" w:rsidRPr="00824D20">
        <w:rPr>
          <w:sz w:val="24"/>
          <w:szCs w:val="24"/>
        </w:rPr>
        <w:t>3</w:t>
      </w:r>
      <w:r w:rsidR="006A5642" w:rsidRPr="00824D20">
        <w:rPr>
          <w:sz w:val="24"/>
          <w:szCs w:val="24"/>
        </w:rPr>
        <w:t>. godine</w:t>
      </w:r>
      <w:r w:rsidR="00824D20" w:rsidRPr="00824D20">
        <w:rPr>
          <w:sz w:val="24"/>
          <w:szCs w:val="24"/>
        </w:rPr>
        <w:t xml:space="preserve"> do 2014.,</w:t>
      </w:r>
      <w:r w:rsidR="006A5642" w:rsidRPr="00824D20">
        <w:rPr>
          <w:sz w:val="24"/>
          <w:szCs w:val="24"/>
        </w:rPr>
        <w:t xml:space="preserve"> a zatim u 2015. godini dolazi do pada, i to zbog promjene porezne olakšice koja se sa 2.200 kuna za osobni odbitak povećava na 2.600 kuna, čega je direktna posljedica bila smanjenje poreza na dohodak, na štetu </w:t>
      </w:r>
      <w:r w:rsidR="00394132">
        <w:rPr>
          <w:sz w:val="24"/>
          <w:szCs w:val="24"/>
        </w:rPr>
        <w:t>g</w:t>
      </w:r>
      <w:r w:rsidR="006A5642" w:rsidRPr="00824D20">
        <w:rPr>
          <w:sz w:val="24"/>
          <w:szCs w:val="24"/>
        </w:rPr>
        <w:t>radskih prihoda, a u korist  poreznih obveznika.</w:t>
      </w:r>
      <w:r w:rsidR="004359ED" w:rsidRPr="00824D20">
        <w:rPr>
          <w:sz w:val="24"/>
          <w:szCs w:val="24"/>
        </w:rPr>
        <w:t xml:space="preserve"> Međutim, 2016. godina pokazuje da je došlo do ponovnog povećanja poreznih prihoda koji su se u odnosu na 2015. povećali za 8,36% odnosno za 12.106.000 kn.</w:t>
      </w:r>
    </w:p>
    <w:p w:rsidR="006A5642" w:rsidRPr="00DC3338"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r w:rsidRPr="00DC3338">
        <w:rPr>
          <w:color w:val="FF0000"/>
          <w:sz w:val="24"/>
          <w:szCs w:val="24"/>
        </w:rPr>
        <w:tab/>
      </w:r>
      <w:r w:rsidR="00ED5745" w:rsidRPr="00DC3338">
        <w:rPr>
          <w:color w:val="FF0000"/>
          <w:sz w:val="24"/>
          <w:szCs w:val="24"/>
        </w:rPr>
        <w:tab/>
      </w:r>
      <w:r w:rsidR="00547A4F" w:rsidRPr="00824D20">
        <w:rPr>
          <w:sz w:val="24"/>
          <w:szCs w:val="24"/>
        </w:rPr>
        <w:t xml:space="preserve"> </w:t>
      </w:r>
      <w:r w:rsidR="00FC1E80" w:rsidRPr="00824D20">
        <w:rPr>
          <w:sz w:val="24"/>
          <w:szCs w:val="24"/>
        </w:rPr>
        <w:t xml:space="preserve"> </w:t>
      </w:r>
      <w:r w:rsidR="000E105C" w:rsidRPr="00824D20">
        <w:rPr>
          <w:sz w:val="24"/>
          <w:szCs w:val="24"/>
        </w:rPr>
        <w:t xml:space="preserve"> </w:t>
      </w:r>
      <w:r w:rsidRPr="00824D20">
        <w:rPr>
          <w:sz w:val="24"/>
          <w:szCs w:val="24"/>
        </w:rPr>
        <w:t>Porez i prirez na dohodak u 201</w:t>
      </w:r>
      <w:r w:rsidR="00824D20" w:rsidRPr="00824D20">
        <w:rPr>
          <w:sz w:val="24"/>
          <w:szCs w:val="24"/>
        </w:rPr>
        <w:t>7</w:t>
      </w:r>
      <w:r w:rsidRPr="00824D20">
        <w:rPr>
          <w:sz w:val="24"/>
          <w:szCs w:val="24"/>
        </w:rPr>
        <w:t xml:space="preserve">. je za </w:t>
      </w:r>
      <w:r w:rsidR="00824D20" w:rsidRPr="00824D20">
        <w:rPr>
          <w:sz w:val="24"/>
          <w:szCs w:val="24"/>
        </w:rPr>
        <w:t>3,44</w:t>
      </w:r>
      <w:r w:rsidRPr="00824D20">
        <w:rPr>
          <w:sz w:val="24"/>
          <w:szCs w:val="24"/>
        </w:rPr>
        <w:t xml:space="preserve"> %  </w:t>
      </w:r>
      <w:r w:rsidR="00824D20" w:rsidRPr="00824D20">
        <w:rPr>
          <w:sz w:val="24"/>
          <w:szCs w:val="24"/>
        </w:rPr>
        <w:t>manji  od planiranog</w:t>
      </w:r>
      <w:r w:rsidR="001E4F5A" w:rsidRPr="00824D20">
        <w:rPr>
          <w:sz w:val="24"/>
          <w:szCs w:val="24"/>
        </w:rPr>
        <w:t xml:space="preserve"> </w:t>
      </w:r>
      <w:r w:rsidRPr="00824D20">
        <w:rPr>
          <w:sz w:val="24"/>
          <w:szCs w:val="24"/>
        </w:rPr>
        <w:t xml:space="preserve"> i za</w:t>
      </w:r>
      <w:r w:rsidR="00824D20" w:rsidRPr="00824D20">
        <w:rPr>
          <w:sz w:val="24"/>
          <w:szCs w:val="24"/>
        </w:rPr>
        <w:t xml:space="preserve"> 2,6</w:t>
      </w:r>
      <w:r w:rsidRPr="00824D20">
        <w:rPr>
          <w:sz w:val="24"/>
          <w:szCs w:val="24"/>
        </w:rPr>
        <w:t xml:space="preserve">% </w:t>
      </w:r>
      <w:r w:rsidR="00824D20" w:rsidRPr="00824D20">
        <w:rPr>
          <w:sz w:val="24"/>
          <w:szCs w:val="24"/>
        </w:rPr>
        <w:t xml:space="preserve">manji </w:t>
      </w:r>
      <w:r w:rsidRPr="00824D20">
        <w:rPr>
          <w:sz w:val="24"/>
          <w:szCs w:val="24"/>
        </w:rPr>
        <w:t>od ostvarenog u prethodnoj godini</w:t>
      </w:r>
      <w:r w:rsidR="00824D20" w:rsidRPr="00824D20">
        <w:rPr>
          <w:sz w:val="24"/>
          <w:szCs w:val="24"/>
        </w:rPr>
        <w:t>, odnosno za 3.121.772 kune</w:t>
      </w:r>
      <w:r w:rsidR="00824D20">
        <w:rPr>
          <w:sz w:val="24"/>
          <w:szCs w:val="24"/>
        </w:rPr>
        <w:t>.</w:t>
      </w:r>
    </w:p>
    <w:p w:rsidR="006A5642" w:rsidRPr="00DC3338"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p>
    <w:p w:rsidR="006A5642" w:rsidRPr="00DC3338"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r w:rsidRPr="00DC3338">
        <w:rPr>
          <w:color w:val="FF0000"/>
          <w:sz w:val="24"/>
          <w:szCs w:val="24"/>
        </w:rPr>
        <w:tab/>
      </w:r>
      <w:r w:rsidR="00ED5745" w:rsidRPr="00DA5CD6">
        <w:rPr>
          <w:sz w:val="24"/>
          <w:szCs w:val="24"/>
        </w:rPr>
        <w:tab/>
      </w:r>
      <w:r w:rsidRPr="00DA5CD6">
        <w:rPr>
          <w:sz w:val="24"/>
          <w:szCs w:val="24"/>
        </w:rPr>
        <w:t xml:space="preserve">Porez na imovinu sastoji se od Poreza na kuće za odmor koji je realiziran u iznosu od </w:t>
      </w:r>
      <w:r w:rsidR="00DA5CD6" w:rsidRPr="00DA5CD6">
        <w:rPr>
          <w:sz w:val="24"/>
          <w:szCs w:val="24"/>
        </w:rPr>
        <w:t>583.605</w:t>
      </w:r>
      <w:r w:rsidRPr="00DA5CD6">
        <w:rPr>
          <w:sz w:val="24"/>
          <w:szCs w:val="24"/>
        </w:rPr>
        <w:t xml:space="preserve"> tisuć</w:t>
      </w:r>
      <w:r w:rsidR="00BA1B5A" w:rsidRPr="00DA5CD6">
        <w:rPr>
          <w:sz w:val="24"/>
          <w:szCs w:val="24"/>
        </w:rPr>
        <w:t>a</w:t>
      </w:r>
      <w:r w:rsidRPr="00DA5CD6">
        <w:rPr>
          <w:sz w:val="24"/>
          <w:szCs w:val="24"/>
        </w:rPr>
        <w:t xml:space="preserve"> kuna</w:t>
      </w:r>
      <w:r w:rsidR="00BA1B5A" w:rsidRPr="00DA5CD6">
        <w:rPr>
          <w:sz w:val="24"/>
          <w:szCs w:val="24"/>
        </w:rPr>
        <w:t>,</w:t>
      </w:r>
      <w:r w:rsidRPr="00DA5CD6">
        <w:rPr>
          <w:sz w:val="24"/>
          <w:szCs w:val="24"/>
        </w:rPr>
        <w:t xml:space="preserve"> a mnogo je značajniji porez na promet nekretnina koji je realiziran u iznosu od </w:t>
      </w:r>
      <w:r w:rsidR="00DA5CD6" w:rsidRPr="00DA5CD6">
        <w:rPr>
          <w:sz w:val="24"/>
          <w:szCs w:val="24"/>
        </w:rPr>
        <w:t>22.506.539</w:t>
      </w:r>
      <w:r w:rsidRPr="00DA5CD6">
        <w:rPr>
          <w:sz w:val="24"/>
          <w:szCs w:val="24"/>
        </w:rPr>
        <w:t xml:space="preserve"> kuna što je </w:t>
      </w:r>
      <w:r w:rsidR="009D5E92" w:rsidRPr="00DA5CD6">
        <w:rPr>
          <w:sz w:val="24"/>
          <w:szCs w:val="24"/>
        </w:rPr>
        <w:t xml:space="preserve">za </w:t>
      </w:r>
      <w:r w:rsidR="00DA5CD6" w:rsidRPr="00DA5CD6">
        <w:rPr>
          <w:sz w:val="24"/>
          <w:szCs w:val="24"/>
        </w:rPr>
        <w:t>36,40</w:t>
      </w:r>
      <w:r w:rsidRPr="00DA5CD6">
        <w:rPr>
          <w:sz w:val="24"/>
          <w:szCs w:val="24"/>
        </w:rPr>
        <w:t xml:space="preserve"> % više od </w:t>
      </w:r>
      <w:r w:rsidR="009D5E92" w:rsidRPr="00DA5CD6">
        <w:rPr>
          <w:sz w:val="24"/>
          <w:szCs w:val="24"/>
        </w:rPr>
        <w:t>planiranog</w:t>
      </w:r>
      <w:r w:rsidRPr="00DA5CD6">
        <w:rPr>
          <w:sz w:val="24"/>
          <w:szCs w:val="24"/>
        </w:rPr>
        <w:t xml:space="preserve">. </w:t>
      </w:r>
    </w:p>
    <w:p w:rsidR="006A5642" w:rsidRPr="00DC3338"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p>
    <w:p w:rsidR="006C17CB" w:rsidRPr="006C17CB" w:rsidRDefault="006A5642"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C3338">
        <w:rPr>
          <w:color w:val="FF0000"/>
          <w:sz w:val="24"/>
          <w:szCs w:val="24"/>
        </w:rPr>
        <w:tab/>
      </w:r>
      <w:r w:rsidR="00ED5745" w:rsidRPr="00DC3338">
        <w:rPr>
          <w:color w:val="FF0000"/>
          <w:sz w:val="24"/>
          <w:szCs w:val="24"/>
        </w:rPr>
        <w:tab/>
      </w:r>
      <w:r w:rsidRPr="006C17CB">
        <w:rPr>
          <w:sz w:val="24"/>
          <w:szCs w:val="24"/>
        </w:rPr>
        <w:t>Porezi na  robu i usluge ostvareni su u iznosu 1</w:t>
      </w:r>
      <w:r w:rsidR="006C17CB" w:rsidRPr="006C17CB">
        <w:rPr>
          <w:sz w:val="24"/>
          <w:szCs w:val="24"/>
        </w:rPr>
        <w:t>1</w:t>
      </w:r>
      <w:r w:rsidRPr="006C17CB">
        <w:rPr>
          <w:sz w:val="24"/>
          <w:szCs w:val="24"/>
        </w:rPr>
        <w:t>,</w:t>
      </w:r>
      <w:r w:rsidR="006C17CB" w:rsidRPr="006C17CB">
        <w:rPr>
          <w:sz w:val="24"/>
          <w:szCs w:val="24"/>
        </w:rPr>
        <w:t xml:space="preserve">67 </w:t>
      </w:r>
      <w:r w:rsidRPr="006C17CB">
        <w:rPr>
          <w:sz w:val="24"/>
          <w:szCs w:val="24"/>
        </w:rPr>
        <w:t xml:space="preserve">milijun kuna i to kao porez na potrošnju </w:t>
      </w:r>
      <w:r w:rsidR="00394132">
        <w:rPr>
          <w:sz w:val="24"/>
          <w:szCs w:val="24"/>
        </w:rPr>
        <w:t xml:space="preserve">alkoholnih i bezalkoholnih pića </w:t>
      </w:r>
      <w:r w:rsidR="00AA488D" w:rsidRPr="006C17CB">
        <w:rPr>
          <w:sz w:val="24"/>
          <w:szCs w:val="24"/>
        </w:rPr>
        <w:t>1</w:t>
      </w:r>
      <w:r w:rsidR="006C17CB" w:rsidRPr="006C17CB">
        <w:rPr>
          <w:sz w:val="24"/>
          <w:szCs w:val="24"/>
        </w:rPr>
        <w:t>1</w:t>
      </w:r>
      <w:r w:rsidR="00AA488D" w:rsidRPr="006C17CB">
        <w:rPr>
          <w:sz w:val="24"/>
          <w:szCs w:val="24"/>
        </w:rPr>
        <w:t>,</w:t>
      </w:r>
      <w:r w:rsidR="006C17CB" w:rsidRPr="006C17CB">
        <w:rPr>
          <w:sz w:val="24"/>
          <w:szCs w:val="24"/>
        </w:rPr>
        <w:t xml:space="preserve">20 </w:t>
      </w:r>
      <w:r w:rsidRPr="006C17CB">
        <w:rPr>
          <w:sz w:val="24"/>
          <w:szCs w:val="24"/>
        </w:rPr>
        <w:t>milijuna kuna</w:t>
      </w:r>
      <w:r w:rsidR="00BA1B5A" w:rsidRPr="006C17CB">
        <w:rPr>
          <w:sz w:val="24"/>
          <w:szCs w:val="24"/>
        </w:rPr>
        <w:t>,</w:t>
      </w:r>
      <w:r w:rsidRPr="006C17CB">
        <w:rPr>
          <w:sz w:val="24"/>
          <w:szCs w:val="24"/>
        </w:rPr>
        <w:t xml:space="preserve"> </w:t>
      </w:r>
      <w:r w:rsidR="00BA155A" w:rsidRPr="006C17CB">
        <w:rPr>
          <w:sz w:val="24"/>
          <w:szCs w:val="24"/>
        </w:rPr>
        <w:t xml:space="preserve">koji je </w:t>
      </w:r>
      <w:r w:rsidRPr="006C17CB">
        <w:rPr>
          <w:sz w:val="24"/>
          <w:szCs w:val="24"/>
        </w:rPr>
        <w:t xml:space="preserve">za </w:t>
      </w:r>
      <w:r w:rsidR="006C17CB" w:rsidRPr="006C17CB">
        <w:rPr>
          <w:sz w:val="24"/>
          <w:szCs w:val="24"/>
        </w:rPr>
        <w:t>3</w:t>
      </w:r>
      <w:r w:rsidRPr="006C17CB">
        <w:rPr>
          <w:sz w:val="24"/>
          <w:szCs w:val="24"/>
        </w:rPr>
        <w:t>% povećan u odnosu na 201</w:t>
      </w:r>
      <w:r w:rsidR="006C17CB" w:rsidRPr="006C17CB">
        <w:rPr>
          <w:sz w:val="24"/>
          <w:szCs w:val="24"/>
        </w:rPr>
        <w:t>6</w:t>
      </w:r>
      <w:r w:rsidRPr="006C17CB">
        <w:rPr>
          <w:sz w:val="24"/>
          <w:szCs w:val="24"/>
        </w:rPr>
        <w:t xml:space="preserve">., te porez na tvrtku </w:t>
      </w:r>
      <w:r w:rsidR="00394132">
        <w:rPr>
          <w:sz w:val="24"/>
          <w:szCs w:val="24"/>
        </w:rPr>
        <w:t xml:space="preserve">ostvaren u iznosu </w:t>
      </w:r>
      <w:r w:rsidR="00AA488D" w:rsidRPr="006C17CB">
        <w:rPr>
          <w:sz w:val="24"/>
          <w:szCs w:val="24"/>
        </w:rPr>
        <w:t xml:space="preserve">od </w:t>
      </w:r>
      <w:r w:rsidR="006C17CB" w:rsidRPr="006C17CB">
        <w:rPr>
          <w:sz w:val="24"/>
          <w:szCs w:val="24"/>
        </w:rPr>
        <w:t>468.679 kuna (naplata zaostalih dužnika iz prethodnih godina, budući se ovaj porez od 1. siječanj 2017. više ne naplaćuje).</w:t>
      </w:r>
    </w:p>
    <w:p w:rsidR="001B063F" w:rsidRDefault="006C17CB"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r w:rsidRPr="00DC3338">
        <w:rPr>
          <w:color w:val="FF0000"/>
          <w:sz w:val="24"/>
          <w:szCs w:val="24"/>
        </w:rPr>
        <w:t xml:space="preserve"> </w:t>
      </w:r>
    </w:p>
    <w:p w:rsidR="00380453" w:rsidRPr="00DC3338" w:rsidRDefault="00380453"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p>
    <w:tbl>
      <w:tblPr>
        <w:tblpPr w:leftFromText="180" w:rightFromText="180" w:vertAnchor="text" w:horzAnchor="margin" w:tblpY="122"/>
        <w:tblW w:w="8816" w:type="dxa"/>
        <w:tblLook w:val="0000"/>
      </w:tblPr>
      <w:tblGrid>
        <w:gridCol w:w="2591"/>
        <w:gridCol w:w="1556"/>
        <w:gridCol w:w="1556"/>
        <w:gridCol w:w="1556"/>
        <w:gridCol w:w="1557"/>
      </w:tblGrid>
      <w:tr w:rsidR="00642403" w:rsidTr="00642403">
        <w:trPr>
          <w:trHeight w:val="300"/>
        </w:trPr>
        <w:tc>
          <w:tcPr>
            <w:tcW w:w="8816" w:type="dxa"/>
            <w:gridSpan w:val="5"/>
            <w:tcBorders>
              <w:top w:val="nil"/>
              <w:left w:val="nil"/>
              <w:bottom w:val="nil"/>
              <w:right w:val="nil"/>
            </w:tcBorders>
            <w:shd w:val="clear" w:color="auto" w:fill="auto"/>
            <w:noWrap/>
          </w:tcPr>
          <w:p w:rsidR="00642403" w:rsidRPr="007F7616" w:rsidRDefault="00642403" w:rsidP="00DC3338">
            <w:pPr>
              <w:overflowPunct/>
              <w:autoSpaceDE/>
              <w:autoSpaceDN/>
              <w:adjustRightInd/>
              <w:textAlignment w:val="auto"/>
              <w:rPr>
                <w:rFonts w:ascii="Arial" w:hAnsi="Arial" w:cs="Arial"/>
                <w:b/>
                <w:bCs/>
                <w:sz w:val="22"/>
                <w:szCs w:val="22"/>
              </w:rPr>
            </w:pPr>
            <w:r w:rsidRPr="007F7616">
              <w:rPr>
                <w:rFonts w:ascii="Arial" w:hAnsi="Arial" w:cs="Arial"/>
                <w:b/>
                <w:bCs/>
                <w:sz w:val="22"/>
                <w:szCs w:val="22"/>
              </w:rPr>
              <w:t>Tabl</w:t>
            </w:r>
            <w:r>
              <w:rPr>
                <w:rFonts w:ascii="Arial" w:hAnsi="Arial" w:cs="Arial"/>
                <w:b/>
                <w:bCs/>
                <w:sz w:val="22"/>
                <w:szCs w:val="22"/>
              </w:rPr>
              <w:t>ica</w:t>
            </w:r>
            <w:r w:rsidRPr="007F7616">
              <w:rPr>
                <w:rFonts w:ascii="Arial" w:hAnsi="Arial" w:cs="Arial"/>
                <w:b/>
                <w:bCs/>
                <w:sz w:val="22"/>
                <w:szCs w:val="22"/>
              </w:rPr>
              <w:t xml:space="preserve"> broj </w:t>
            </w:r>
            <w:r w:rsidR="0021741F">
              <w:rPr>
                <w:rFonts w:ascii="Arial" w:hAnsi="Arial" w:cs="Arial"/>
                <w:b/>
                <w:bCs/>
                <w:sz w:val="22"/>
                <w:szCs w:val="22"/>
              </w:rPr>
              <w:t xml:space="preserve">8   </w:t>
            </w:r>
            <w:r w:rsidRPr="007F7616">
              <w:rPr>
                <w:rFonts w:ascii="Arial" w:hAnsi="Arial" w:cs="Arial"/>
                <w:b/>
                <w:bCs/>
                <w:sz w:val="22"/>
                <w:szCs w:val="22"/>
              </w:rPr>
              <w:t xml:space="preserve"> Prihod od poreza i prireza na dohodak u razdoblju </w:t>
            </w:r>
            <w:r w:rsidR="002C67DF">
              <w:rPr>
                <w:rFonts w:ascii="Arial" w:hAnsi="Arial" w:cs="Arial"/>
                <w:b/>
                <w:bCs/>
                <w:sz w:val="22"/>
                <w:szCs w:val="22"/>
              </w:rPr>
              <w:t xml:space="preserve"> </w:t>
            </w:r>
            <w:r w:rsidRPr="007F7616">
              <w:rPr>
                <w:rFonts w:ascii="Arial" w:hAnsi="Arial" w:cs="Arial"/>
                <w:b/>
                <w:bCs/>
                <w:sz w:val="22"/>
                <w:szCs w:val="22"/>
              </w:rPr>
              <w:t>201</w:t>
            </w:r>
            <w:r w:rsidR="00DC3338">
              <w:rPr>
                <w:rFonts w:ascii="Arial" w:hAnsi="Arial" w:cs="Arial"/>
                <w:b/>
                <w:bCs/>
                <w:sz w:val="22"/>
                <w:szCs w:val="22"/>
              </w:rPr>
              <w:t>3</w:t>
            </w:r>
            <w:r w:rsidRPr="007F7616">
              <w:rPr>
                <w:rFonts w:ascii="Arial" w:hAnsi="Arial" w:cs="Arial"/>
                <w:b/>
                <w:bCs/>
                <w:sz w:val="22"/>
                <w:szCs w:val="22"/>
              </w:rPr>
              <w:t xml:space="preserve">. </w:t>
            </w:r>
            <w:r w:rsidR="002C67DF">
              <w:rPr>
                <w:rFonts w:ascii="Arial" w:hAnsi="Arial" w:cs="Arial"/>
                <w:b/>
                <w:bCs/>
                <w:sz w:val="22"/>
                <w:szCs w:val="22"/>
              </w:rPr>
              <w:t>–</w:t>
            </w:r>
            <w:r w:rsidRPr="007F7616">
              <w:rPr>
                <w:rFonts w:ascii="Arial" w:hAnsi="Arial" w:cs="Arial"/>
                <w:b/>
                <w:bCs/>
                <w:sz w:val="22"/>
                <w:szCs w:val="22"/>
              </w:rPr>
              <w:t xml:space="preserve"> 201</w:t>
            </w:r>
            <w:r w:rsidR="00DC3338">
              <w:rPr>
                <w:rFonts w:ascii="Arial" w:hAnsi="Arial" w:cs="Arial"/>
                <w:b/>
                <w:bCs/>
                <w:sz w:val="22"/>
                <w:szCs w:val="22"/>
              </w:rPr>
              <w:t>7</w:t>
            </w:r>
            <w:r w:rsidR="002C67DF">
              <w:rPr>
                <w:rFonts w:ascii="Arial" w:hAnsi="Arial" w:cs="Arial"/>
                <w:b/>
                <w:bCs/>
                <w:sz w:val="22"/>
                <w:szCs w:val="22"/>
              </w:rPr>
              <w:t>.</w:t>
            </w:r>
          </w:p>
        </w:tc>
      </w:tr>
      <w:tr w:rsidR="00642403" w:rsidTr="00642403">
        <w:trPr>
          <w:trHeight w:val="132"/>
        </w:trPr>
        <w:tc>
          <w:tcPr>
            <w:tcW w:w="2591" w:type="dxa"/>
            <w:tcBorders>
              <w:top w:val="nil"/>
              <w:left w:val="nil"/>
              <w:bottom w:val="nil"/>
              <w:right w:val="nil"/>
            </w:tcBorders>
            <w:shd w:val="clear" w:color="auto" w:fill="auto"/>
            <w:noWrap/>
            <w:vAlign w:val="center"/>
          </w:tcPr>
          <w:p w:rsidR="00642403" w:rsidRPr="007F7616" w:rsidRDefault="000F0653" w:rsidP="00642403">
            <w:pPr>
              <w:overflowPunct/>
              <w:autoSpaceDE/>
              <w:autoSpaceDN/>
              <w:adjustRightInd/>
              <w:jc w:val="center"/>
              <w:textAlignment w:val="auto"/>
              <w:rPr>
                <w:rFonts w:ascii="Arial" w:hAnsi="Arial" w:cs="Arial"/>
              </w:rPr>
            </w:pPr>
            <w:r>
              <w:rPr>
                <w:rFonts w:ascii="Arial" w:hAnsi="Arial" w:cs="Arial"/>
              </w:rPr>
              <w:t>(bez proračunskih korisnika)</w:t>
            </w: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1557" w:type="dxa"/>
            <w:tcBorders>
              <w:top w:val="nil"/>
              <w:left w:val="nil"/>
              <w:bottom w:val="nil"/>
              <w:right w:val="nil"/>
            </w:tcBorders>
            <w:shd w:val="clear" w:color="auto" w:fill="auto"/>
            <w:noWrap/>
            <w:vAlign w:val="center"/>
          </w:tcPr>
          <w:p w:rsidR="00642403" w:rsidRPr="003E1DBF" w:rsidRDefault="00642403" w:rsidP="00642403">
            <w:pPr>
              <w:overflowPunct/>
              <w:autoSpaceDE/>
              <w:autoSpaceDN/>
              <w:adjustRightInd/>
              <w:jc w:val="center"/>
              <w:textAlignment w:val="auto"/>
              <w:rPr>
                <w:rFonts w:ascii="Arial" w:hAnsi="Arial" w:cs="Arial"/>
                <w:b/>
              </w:rPr>
            </w:pPr>
            <w:r w:rsidRPr="003E1DBF">
              <w:rPr>
                <w:rFonts w:ascii="Arial" w:hAnsi="Arial" w:cs="Arial"/>
                <w:b/>
              </w:rPr>
              <w:t xml:space="preserve">   u 000 kuna</w:t>
            </w:r>
          </w:p>
        </w:tc>
      </w:tr>
      <w:tr w:rsidR="00642403" w:rsidTr="00642403">
        <w:trPr>
          <w:trHeight w:val="154"/>
        </w:trPr>
        <w:tc>
          <w:tcPr>
            <w:tcW w:w="2591" w:type="dxa"/>
            <w:tcBorders>
              <w:top w:val="single" w:sz="4" w:space="0" w:color="auto"/>
              <w:left w:val="single" w:sz="4" w:space="0" w:color="auto"/>
              <w:bottom w:val="single" w:sz="4" w:space="0" w:color="auto"/>
              <w:right w:val="single" w:sz="4" w:space="0" w:color="auto"/>
            </w:tcBorders>
            <w:shd w:val="clear" w:color="auto" w:fill="auto"/>
          </w:tcPr>
          <w:p w:rsidR="00642403" w:rsidRDefault="00642403" w:rsidP="00DC3338">
            <w:pPr>
              <w:overflowPunct/>
              <w:autoSpaceDE/>
              <w:autoSpaceDN/>
              <w:adjustRightInd/>
              <w:jc w:val="center"/>
              <w:textAlignment w:val="auto"/>
            </w:pPr>
            <w:r>
              <w:t>201</w:t>
            </w:r>
            <w:r w:rsidR="00DC3338">
              <w:t>3</w:t>
            </w:r>
            <w:r>
              <w:t>.</w:t>
            </w:r>
          </w:p>
        </w:tc>
        <w:tc>
          <w:tcPr>
            <w:tcW w:w="1556" w:type="dxa"/>
            <w:tcBorders>
              <w:top w:val="single" w:sz="4" w:space="0" w:color="auto"/>
              <w:left w:val="nil"/>
              <w:bottom w:val="single" w:sz="4" w:space="0" w:color="auto"/>
              <w:right w:val="single" w:sz="4" w:space="0" w:color="auto"/>
            </w:tcBorders>
            <w:shd w:val="clear" w:color="auto" w:fill="auto"/>
          </w:tcPr>
          <w:p w:rsidR="00642403" w:rsidRDefault="00642403" w:rsidP="00DC3338">
            <w:pPr>
              <w:overflowPunct/>
              <w:autoSpaceDE/>
              <w:autoSpaceDN/>
              <w:adjustRightInd/>
              <w:jc w:val="center"/>
              <w:textAlignment w:val="auto"/>
            </w:pPr>
            <w:r>
              <w:t>201</w:t>
            </w:r>
            <w:r w:rsidR="00DC3338">
              <w:t>4</w:t>
            </w:r>
            <w:r>
              <w:t>.</w:t>
            </w:r>
          </w:p>
        </w:tc>
        <w:tc>
          <w:tcPr>
            <w:tcW w:w="1556" w:type="dxa"/>
            <w:tcBorders>
              <w:top w:val="single" w:sz="4" w:space="0" w:color="auto"/>
              <w:left w:val="nil"/>
              <w:bottom w:val="single" w:sz="4" w:space="0" w:color="auto"/>
              <w:right w:val="single" w:sz="4" w:space="0" w:color="auto"/>
            </w:tcBorders>
            <w:shd w:val="clear" w:color="auto" w:fill="auto"/>
          </w:tcPr>
          <w:p w:rsidR="00642403" w:rsidRDefault="00642403" w:rsidP="00DC3338">
            <w:pPr>
              <w:overflowPunct/>
              <w:autoSpaceDE/>
              <w:autoSpaceDN/>
              <w:adjustRightInd/>
              <w:jc w:val="center"/>
              <w:textAlignment w:val="auto"/>
            </w:pPr>
            <w:r>
              <w:t>201</w:t>
            </w:r>
            <w:r w:rsidR="00DC3338">
              <w:t>5</w:t>
            </w:r>
            <w:r>
              <w:t>.</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642403" w:rsidRDefault="00642403" w:rsidP="00DC3338">
            <w:pPr>
              <w:overflowPunct/>
              <w:autoSpaceDE/>
              <w:autoSpaceDN/>
              <w:adjustRightInd/>
              <w:jc w:val="center"/>
              <w:textAlignment w:val="auto"/>
            </w:pPr>
            <w:r>
              <w:t>201</w:t>
            </w:r>
            <w:r w:rsidR="00DC3338">
              <w:t>6</w:t>
            </w:r>
          </w:p>
        </w:tc>
        <w:tc>
          <w:tcPr>
            <w:tcW w:w="1557" w:type="dxa"/>
            <w:tcBorders>
              <w:top w:val="single" w:sz="4" w:space="0" w:color="auto"/>
              <w:left w:val="nil"/>
              <w:bottom w:val="single" w:sz="4" w:space="0" w:color="auto"/>
              <w:right w:val="single" w:sz="4" w:space="0" w:color="auto"/>
            </w:tcBorders>
            <w:shd w:val="clear" w:color="auto" w:fill="auto"/>
          </w:tcPr>
          <w:p w:rsidR="00642403" w:rsidRDefault="00642403" w:rsidP="00DC3338">
            <w:pPr>
              <w:overflowPunct/>
              <w:autoSpaceDE/>
              <w:autoSpaceDN/>
              <w:adjustRightInd/>
              <w:jc w:val="center"/>
              <w:textAlignment w:val="auto"/>
            </w:pPr>
            <w:r>
              <w:t>201</w:t>
            </w:r>
            <w:r w:rsidR="00DC3338">
              <w:t>7</w:t>
            </w:r>
            <w:r>
              <w:t>.</w:t>
            </w:r>
          </w:p>
        </w:tc>
      </w:tr>
      <w:tr w:rsidR="00642403" w:rsidTr="00642403">
        <w:trPr>
          <w:trHeight w:val="200"/>
        </w:trPr>
        <w:tc>
          <w:tcPr>
            <w:tcW w:w="2591" w:type="dxa"/>
            <w:tcBorders>
              <w:top w:val="nil"/>
              <w:left w:val="single" w:sz="4" w:space="0" w:color="auto"/>
              <w:bottom w:val="single" w:sz="4" w:space="0" w:color="auto"/>
              <w:right w:val="single" w:sz="4" w:space="0" w:color="auto"/>
            </w:tcBorders>
            <w:shd w:val="clear" w:color="auto" w:fill="auto"/>
          </w:tcPr>
          <w:p w:rsidR="00642403" w:rsidRPr="007F7616" w:rsidRDefault="00DC3338" w:rsidP="00642403">
            <w:pPr>
              <w:overflowPunct/>
              <w:autoSpaceDE/>
              <w:autoSpaceDN/>
              <w:adjustRightInd/>
              <w:jc w:val="center"/>
              <w:textAlignment w:val="auto"/>
              <w:rPr>
                <w:sz w:val="22"/>
                <w:szCs w:val="22"/>
              </w:rPr>
            </w:pPr>
            <w:r>
              <w:rPr>
                <w:sz w:val="22"/>
                <w:szCs w:val="22"/>
              </w:rPr>
              <w:t>116.287</w:t>
            </w:r>
          </w:p>
        </w:tc>
        <w:tc>
          <w:tcPr>
            <w:tcW w:w="1556" w:type="dxa"/>
            <w:tcBorders>
              <w:top w:val="nil"/>
              <w:left w:val="nil"/>
              <w:bottom w:val="single" w:sz="4" w:space="0" w:color="auto"/>
              <w:right w:val="single" w:sz="4" w:space="0" w:color="auto"/>
            </w:tcBorders>
            <w:shd w:val="clear" w:color="auto" w:fill="auto"/>
          </w:tcPr>
          <w:p w:rsidR="00642403" w:rsidRPr="007F7616" w:rsidRDefault="00DC3338" w:rsidP="00642403">
            <w:pPr>
              <w:overflowPunct/>
              <w:autoSpaceDE/>
              <w:autoSpaceDN/>
              <w:adjustRightInd/>
              <w:jc w:val="center"/>
              <w:textAlignment w:val="auto"/>
              <w:rPr>
                <w:sz w:val="22"/>
                <w:szCs w:val="22"/>
              </w:rPr>
            </w:pPr>
            <w:r>
              <w:rPr>
                <w:sz w:val="22"/>
                <w:szCs w:val="22"/>
              </w:rPr>
              <w:t>119.306</w:t>
            </w:r>
          </w:p>
        </w:tc>
        <w:tc>
          <w:tcPr>
            <w:tcW w:w="1556" w:type="dxa"/>
            <w:tcBorders>
              <w:top w:val="nil"/>
              <w:left w:val="nil"/>
              <w:bottom w:val="single" w:sz="4" w:space="0" w:color="auto"/>
              <w:right w:val="single" w:sz="4" w:space="0" w:color="auto"/>
            </w:tcBorders>
            <w:shd w:val="clear" w:color="auto" w:fill="auto"/>
            <w:noWrap/>
            <w:vAlign w:val="center"/>
          </w:tcPr>
          <w:p w:rsidR="00642403" w:rsidRPr="007F7616" w:rsidRDefault="00DC3338" w:rsidP="00642403">
            <w:pPr>
              <w:overflowPunct/>
              <w:autoSpaceDE/>
              <w:autoSpaceDN/>
              <w:adjustRightInd/>
              <w:jc w:val="center"/>
              <w:textAlignment w:val="auto"/>
              <w:rPr>
                <w:sz w:val="22"/>
                <w:szCs w:val="22"/>
              </w:rPr>
            </w:pPr>
            <w:r>
              <w:rPr>
                <w:sz w:val="22"/>
                <w:szCs w:val="22"/>
              </w:rPr>
              <w:t>109.437</w:t>
            </w:r>
          </w:p>
        </w:tc>
        <w:tc>
          <w:tcPr>
            <w:tcW w:w="1556" w:type="dxa"/>
            <w:tcBorders>
              <w:top w:val="nil"/>
              <w:left w:val="nil"/>
              <w:bottom w:val="single" w:sz="4" w:space="0" w:color="auto"/>
              <w:right w:val="single" w:sz="4" w:space="0" w:color="auto"/>
            </w:tcBorders>
            <w:shd w:val="clear" w:color="auto" w:fill="auto"/>
          </w:tcPr>
          <w:p w:rsidR="00642403" w:rsidRPr="007F7616" w:rsidRDefault="00DC3338" w:rsidP="00642403">
            <w:pPr>
              <w:overflowPunct/>
              <w:autoSpaceDE/>
              <w:autoSpaceDN/>
              <w:adjustRightInd/>
              <w:jc w:val="center"/>
              <w:textAlignment w:val="auto"/>
              <w:rPr>
                <w:sz w:val="22"/>
                <w:szCs w:val="22"/>
              </w:rPr>
            </w:pPr>
            <w:r>
              <w:rPr>
                <w:sz w:val="22"/>
                <w:szCs w:val="22"/>
              </w:rPr>
              <w:t>121.942</w:t>
            </w:r>
          </w:p>
        </w:tc>
        <w:tc>
          <w:tcPr>
            <w:tcW w:w="1557" w:type="dxa"/>
            <w:tcBorders>
              <w:top w:val="nil"/>
              <w:left w:val="nil"/>
              <w:bottom w:val="single" w:sz="4" w:space="0" w:color="auto"/>
              <w:right w:val="single" w:sz="4" w:space="0" w:color="auto"/>
            </w:tcBorders>
            <w:shd w:val="clear" w:color="auto" w:fill="auto"/>
          </w:tcPr>
          <w:p w:rsidR="00642403" w:rsidRPr="007F7616" w:rsidRDefault="00BD7871" w:rsidP="00642403">
            <w:pPr>
              <w:overflowPunct/>
              <w:autoSpaceDE/>
              <w:autoSpaceDN/>
              <w:adjustRightInd/>
              <w:jc w:val="center"/>
              <w:textAlignment w:val="auto"/>
              <w:rPr>
                <w:sz w:val="22"/>
                <w:szCs w:val="22"/>
              </w:rPr>
            </w:pPr>
            <w:r>
              <w:rPr>
                <w:sz w:val="22"/>
                <w:szCs w:val="22"/>
              </w:rPr>
              <w:t>118.820</w:t>
            </w:r>
          </w:p>
        </w:tc>
      </w:tr>
    </w:tbl>
    <w:p w:rsidR="00642403" w:rsidRDefault="00642403" w:rsidP="00636D2F">
      <w:pPr>
        <w:pStyle w:val="Naslov2"/>
        <w:tabs>
          <w:tab w:val="clear" w:pos="-720"/>
          <w:tab w:val="clear" w:pos="1"/>
          <w:tab w:val="left" w:pos="1080"/>
        </w:tabs>
      </w:pPr>
    </w:p>
    <w:p w:rsidR="00642403" w:rsidRDefault="00642403" w:rsidP="00636D2F">
      <w:pPr>
        <w:pStyle w:val="Naslov2"/>
        <w:tabs>
          <w:tab w:val="clear" w:pos="-720"/>
          <w:tab w:val="clear" w:pos="1"/>
          <w:tab w:val="left" w:pos="1080"/>
        </w:tabs>
      </w:pPr>
    </w:p>
    <w:p w:rsidR="00173BF4" w:rsidRDefault="00173BF4" w:rsidP="00173BF4"/>
    <w:p w:rsidR="00173BF4" w:rsidRPr="00173BF4" w:rsidRDefault="00173BF4" w:rsidP="00173BF4"/>
    <w:p w:rsidR="00642403" w:rsidRDefault="00E04173" w:rsidP="00F4405E">
      <w:pPr>
        <w:pStyle w:val="Naslov2"/>
        <w:tabs>
          <w:tab w:val="clear" w:pos="-720"/>
          <w:tab w:val="clear" w:pos="1"/>
          <w:tab w:val="left" w:pos="1080"/>
        </w:tabs>
      </w:pPr>
      <w:r w:rsidRPr="00E04173">
        <w:rPr>
          <w:noProof/>
        </w:rPr>
        <w:drawing>
          <wp:inline distT="0" distB="0" distL="0" distR="0">
            <wp:extent cx="5614035" cy="2939520"/>
            <wp:effectExtent l="19050" t="0" r="24765"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063F" w:rsidRDefault="001B063F" w:rsidP="001B063F"/>
    <w:p w:rsidR="00523C77" w:rsidRDefault="00523C77" w:rsidP="001B063F"/>
    <w:p w:rsidR="00523C77" w:rsidRDefault="00523C77" w:rsidP="001B063F"/>
    <w:p w:rsidR="00A24DDC" w:rsidRDefault="00A24DDC" w:rsidP="001B063F"/>
    <w:p w:rsidR="00BD6CB7" w:rsidRDefault="00BD6CB7" w:rsidP="001B063F"/>
    <w:p w:rsidR="00C012BD" w:rsidRDefault="00757AEA" w:rsidP="001B063F">
      <w:pPr>
        <w:pStyle w:val="Naslov2"/>
        <w:numPr>
          <w:ilvl w:val="0"/>
          <w:numId w:val="43"/>
        </w:numPr>
        <w:tabs>
          <w:tab w:val="clear" w:pos="-720"/>
          <w:tab w:val="clear" w:pos="1"/>
          <w:tab w:val="left" w:pos="1080"/>
        </w:tabs>
      </w:pPr>
      <w:r>
        <w:t xml:space="preserve">2. </w:t>
      </w:r>
      <w:r w:rsidR="003E1DBF">
        <w:t xml:space="preserve"> </w:t>
      </w:r>
      <w:r>
        <w:t xml:space="preserve">Neporezni prihodi </w:t>
      </w:r>
    </w:p>
    <w:p w:rsidR="004C6471" w:rsidRPr="00651C83" w:rsidRDefault="004C6471" w:rsidP="004C6471">
      <w:pPr>
        <w:rPr>
          <w:color w:val="FF0000"/>
        </w:rPr>
      </w:pPr>
    </w:p>
    <w:p w:rsidR="00617186" w:rsidRDefault="00757AEA" w:rsidP="00FE724C">
      <w:pPr>
        <w:pStyle w:val="Naslov2"/>
        <w:tabs>
          <w:tab w:val="clear" w:pos="-720"/>
          <w:tab w:val="clear" w:pos="1"/>
          <w:tab w:val="left" w:pos="1080"/>
        </w:tabs>
        <w:rPr>
          <w:rFonts w:ascii="Times" w:hAnsi="Times"/>
          <w:b w:val="0"/>
          <w:szCs w:val="24"/>
        </w:rPr>
      </w:pPr>
      <w:r w:rsidRPr="00651C83">
        <w:rPr>
          <w:b w:val="0"/>
          <w:color w:val="FF0000"/>
        </w:rPr>
        <w:tab/>
      </w:r>
      <w:r w:rsidRPr="001E4EA9">
        <w:rPr>
          <w:rFonts w:ascii="Times" w:hAnsi="Times"/>
          <w:b w:val="0"/>
          <w:szCs w:val="24"/>
        </w:rPr>
        <w:t>Neporezni prihodi</w:t>
      </w:r>
      <w:r w:rsidR="00B14E01" w:rsidRPr="001E4EA9">
        <w:rPr>
          <w:rFonts w:ascii="Times" w:hAnsi="Times"/>
          <w:b w:val="0"/>
          <w:szCs w:val="24"/>
        </w:rPr>
        <w:t xml:space="preserve">, koji zajedno sa poreznim prihodima čine </w:t>
      </w:r>
      <w:r w:rsidR="000E5EB9" w:rsidRPr="001E4EA9">
        <w:rPr>
          <w:rFonts w:ascii="Times" w:hAnsi="Times"/>
          <w:b w:val="0"/>
          <w:szCs w:val="24"/>
        </w:rPr>
        <w:t xml:space="preserve">prihode poslovanja, </w:t>
      </w:r>
      <w:r w:rsidRPr="001E4EA9">
        <w:rPr>
          <w:rFonts w:ascii="Times" w:hAnsi="Times"/>
          <w:b w:val="0"/>
          <w:szCs w:val="24"/>
        </w:rPr>
        <w:t xml:space="preserve"> ostvareni su svotom od </w:t>
      </w:r>
      <w:r w:rsidR="001E4EA9" w:rsidRPr="001E4EA9">
        <w:rPr>
          <w:rFonts w:ascii="Times" w:hAnsi="Times"/>
          <w:b w:val="0"/>
          <w:szCs w:val="24"/>
        </w:rPr>
        <w:t>245.535</w:t>
      </w:r>
      <w:r w:rsidR="00A439AA" w:rsidRPr="001E4EA9">
        <w:rPr>
          <w:rFonts w:ascii="Times" w:hAnsi="Times"/>
          <w:b w:val="0"/>
          <w:szCs w:val="24"/>
        </w:rPr>
        <w:t xml:space="preserve"> </w:t>
      </w:r>
      <w:r w:rsidR="0050048E" w:rsidRPr="001E4EA9">
        <w:rPr>
          <w:rFonts w:ascii="Times" w:hAnsi="Times"/>
          <w:b w:val="0"/>
          <w:szCs w:val="24"/>
        </w:rPr>
        <w:t xml:space="preserve"> tisuć</w:t>
      </w:r>
      <w:r w:rsidR="006A2BBE" w:rsidRPr="001E4EA9">
        <w:rPr>
          <w:rFonts w:ascii="Times" w:hAnsi="Times"/>
          <w:b w:val="0"/>
          <w:szCs w:val="24"/>
        </w:rPr>
        <w:t>a</w:t>
      </w:r>
      <w:r w:rsidR="0050048E" w:rsidRPr="001E4EA9">
        <w:rPr>
          <w:rFonts w:ascii="Times" w:hAnsi="Times"/>
          <w:b w:val="0"/>
          <w:szCs w:val="24"/>
        </w:rPr>
        <w:t xml:space="preserve"> kuna</w:t>
      </w:r>
      <w:r w:rsidR="001E4EA9">
        <w:rPr>
          <w:rFonts w:ascii="Times" w:hAnsi="Times"/>
          <w:b w:val="0"/>
          <w:szCs w:val="24"/>
        </w:rPr>
        <w:t xml:space="preserve">, a </w:t>
      </w:r>
      <w:r w:rsidR="001E4EA9" w:rsidRPr="001E4EA9">
        <w:rPr>
          <w:rFonts w:ascii="Times" w:hAnsi="Times"/>
          <w:b w:val="0"/>
          <w:szCs w:val="24"/>
        </w:rPr>
        <w:t>o</w:t>
      </w:r>
      <w:r w:rsidRPr="001E4EA9">
        <w:rPr>
          <w:rFonts w:ascii="Times" w:hAnsi="Times"/>
          <w:b w:val="0"/>
          <w:szCs w:val="24"/>
        </w:rPr>
        <w:t>stvaren</w:t>
      </w:r>
      <w:r w:rsidR="001E4EA9" w:rsidRPr="001E4EA9">
        <w:rPr>
          <w:rFonts w:ascii="Times" w:hAnsi="Times"/>
          <w:b w:val="0"/>
          <w:szCs w:val="24"/>
        </w:rPr>
        <w:t>i su za 7,41</w:t>
      </w:r>
      <w:r w:rsidRPr="001E4EA9">
        <w:rPr>
          <w:rFonts w:ascii="Times" w:hAnsi="Times"/>
          <w:b w:val="0"/>
          <w:szCs w:val="24"/>
        </w:rPr>
        <w:t xml:space="preserve">% </w:t>
      </w:r>
      <w:r w:rsidR="0050048E" w:rsidRPr="001E4EA9">
        <w:rPr>
          <w:rFonts w:ascii="Times" w:hAnsi="Times"/>
          <w:b w:val="0"/>
          <w:szCs w:val="24"/>
        </w:rPr>
        <w:t>v</w:t>
      </w:r>
      <w:r w:rsidR="00BB3379">
        <w:rPr>
          <w:rFonts w:ascii="Times" w:hAnsi="Times"/>
          <w:b w:val="0"/>
          <w:szCs w:val="24"/>
        </w:rPr>
        <w:t>iše</w:t>
      </w:r>
      <w:r w:rsidR="001E4EA9" w:rsidRPr="001E4EA9">
        <w:rPr>
          <w:rFonts w:ascii="Times" w:hAnsi="Times"/>
          <w:b w:val="0"/>
          <w:szCs w:val="24"/>
        </w:rPr>
        <w:t xml:space="preserve"> u odnosu na </w:t>
      </w:r>
      <w:r w:rsidRPr="001E4EA9">
        <w:rPr>
          <w:rFonts w:ascii="Times" w:hAnsi="Times"/>
          <w:b w:val="0"/>
          <w:szCs w:val="24"/>
        </w:rPr>
        <w:t xml:space="preserve"> prošlogodišnje ostvarenj</w:t>
      </w:r>
      <w:r w:rsidR="001E4EA9" w:rsidRPr="001E4EA9">
        <w:rPr>
          <w:rFonts w:ascii="Times" w:hAnsi="Times"/>
          <w:b w:val="0"/>
          <w:szCs w:val="24"/>
        </w:rPr>
        <w:t>e.</w:t>
      </w:r>
      <w:r w:rsidR="001E4EA9">
        <w:rPr>
          <w:rFonts w:ascii="Times" w:hAnsi="Times"/>
          <w:b w:val="0"/>
          <w:color w:val="FF0000"/>
          <w:szCs w:val="24"/>
        </w:rPr>
        <w:t xml:space="preserve"> </w:t>
      </w:r>
      <w:r w:rsidR="001E4EA9" w:rsidRPr="001E4EA9">
        <w:rPr>
          <w:rFonts w:ascii="Times" w:hAnsi="Times"/>
          <w:b w:val="0"/>
          <w:szCs w:val="24"/>
        </w:rPr>
        <w:t>I</w:t>
      </w:r>
      <w:r w:rsidR="0021688B" w:rsidRPr="001E4EA9">
        <w:rPr>
          <w:rFonts w:ascii="Times" w:hAnsi="Times"/>
          <w:b w:val="0"/>
          <w:szCs w:val="24"/>
        </w:rPr>
        <w:t xml:space="preserve">sti čine </w:t>
      </w:r>
      <w:r w:rsidR="001E4EA9" w:rsidRPr="001E4EA9">
        <w:rPr>
          <w:rFonts w:ascii="Times" w:hAnsi="Times"/>
          <w:b w:val="0"/>
          <w:szCs w:val="24"/>
        </w:rPr>
        <w:t>60,64</w:t>
      </w:r>
      <w:r w:rsidR="00174105" w:rsidRPr="001E4EA9">
        <w:rPr>
          <w:rFonts w:ascii="Times" w:hAnsi="Times"/>
          <w:b w:val="0"/>
          <w:szCs w:val="24"/>
        </w:rPr>
        <w:t xml:space="preserve"> </w:t>
      </w:r>
      <w:r w:rsidR="00926733" w:rsidRPr="001E4EA9">
        <w:rPr>
          <w:rFonts w:ascii="Times" w:hAnsi="Times"/>
          <w:b w:val="0"/>
          <w:szCs w:val="24"/>
        </w:rPr>
        <w:t xml:space="preserve">% </w:t>
      </w:r>
      <w:r w:rsidR="005B3951" w:rsidRPr="001E4EA9">
        <w:rPr>
          <w:rFonts w:ascii="Times" w:hAnsi="Times"/>
          <w:b w:val="0"/>
          <w:szCs w:val="24"/>
        </w:rPr>
        <w:t>gradskih</w:t>
      </w:r>
      <w:r w:rsidR="00926733" w:rsidRPr="001E4EA9">
        <w:rPr>
          <w:rFonts w:ascii="Times" w:hAnsi="Times"/>
          <w:b w:val="0"/>
          <w:szCs w:val="24"/>
        </w:rPr>
        <w:t xml:space="preserve"> prihoda</w:t>
      </w:r>
      <w:r w:rsidR="00E96CCD" w:rsidRPr="001E4EA9">
        <w:rPr>
          <w:rFonts w:ascii="Times" w:hAnsi="Times"/>
          <w:b w:val="0"/>
          <w:szCs w:val="24"/>
        </w:rPr>
        <w:t xml:space="preserve">. </w:t>
      </w:r>
    </w:p>
    <w:p w:rsidR="00617186" w:rsidRPr="00617186" w:rsidRDefault="00617186" w:rsidP="00617186"/>
    <w:p w:rsidR="00DF389F" w:rsidRPr="00C86A4B" w:rsidRDefault="00757AEA" w:rsidP="005D7B8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343FE9">
        <w:rPr>
          <w:b/>
          <w:sz w:val="24"/>
          <w:szCs w:val="24"/>
        </w:rPr>
        <w:t>Tabl</w:t>
      </w:r>
      <w:r w:rsidR="001A44A2">
        <w:rPr>
          <w:b/>
          <w:sz w:val="24"/>
          <w:szCs w:val="24"/>
        </w:rPr>
        <w:t>ic</w:t>
      </w:r>
      <w:r w:rsidRPr="00343FE9">
        <w:rPr>
          <w:b/>
          <w:sz w:val="24"/>
          <w:szCs w:val="24"/>
        </w:rPr>
        <w:t>a br</w:t>
      </w:r>
      <w:r w:rsidR="00343FE9" w:rsidRPr="00343FE9">
        <w:rPr>
          <w:b/>
          <w:sz w:val="24"/>
          <w:szCs w:val="24"/>
        </w:rPr>
        <w:t xml:space="preserve">oj </w:t>
      </w:r>
      <w:r w:rsidR="00D817E7">
        <w:rPr>
          <w:b/>
          <w:sz w:val="24"/>
          <w:szCs w:val="24"/>
        </w:rPr>
        <w:t>9</w:t>
      </w:r>
      <w:r w:rsidRPr="00343FE9">
        <w:rPr>
          <w:b/>
          <w:sz w:val="24"/>
          <w:szCs w:val="24"/>
        </w:rPr>
        <w:t xml:space="preserve">     Neporezni prihodi</w:t>
      </w:r>
      <w:r w:rsidRPr="00343FE9">
        <w:rPr>
          <w:sz w:val="24"/>
          <w:szCs w:val="24"/>
        </w:rPr>
        <w:t xml:space="preserve">  </w:t>
      </w:r>
    </w:p>
    <w:p w:rsidR="00ED5745" w:rsidRPr="00BD6CB7" w:rsidRDefault="00757AEA" w:rsidP="00BD6CB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343FE9">
        <w:rPr>
          <w:sz w:val="24"/>
          <w:szCs w:val="24"/>
        </w:rPr>
        <w:t xml:space="preserve">                      </w:t>
      </w:r>
      <w:r w:rsidR="00343FE9" w:rsidRPr="00343FE9">
        <w:rPr>
          <w:sz w:val="24"/>
          <w:szCs w:val="24"/>
        </w:rPr>
        <w:t xml:space="preserve">    </w:t>
      </w:r>
      <w:r w:rsidR="003B4734">
        <w:rPr>
          <w:sz w:val="24"/>
          <w:szCs w:val="24"/>
        </w:rPr>
        <w:t>(b</w:t>
      </w:r>
      <w:r w:rsidR="00EC296C">
        <w:rPr>
          <w:sz w:val="24"/>
          <w:szCs w:val="24"/>
        </w:rPr>
        <w:t>ez proračunskih korisnika</w:t>
      </w:r>
      <w:r w:rsidR="003B4734">
        <w:rPr>
          <w:sz w:val="24"/>
          <w:szCs w:val="24"/>
        </w:rPr>
        <w:t>)</w:t>
      </w:r>
      <w:r w:rsidR="00223F2D">
        <w:rPr>
          <w:sz w:val="24"/>
          <w:szCs w:val="24"/>
        </w:rPr>
        <w:t xml:space="preserve">  </w:t>
      </w:r>
      <w:r w:rsidR="00EA2CFB">
        <w:rPr>
          <w:sz w:val="24"/>
          <w:szCs w:val="24"/>
        </w:rPr>
        <w:t xml:space="preserve">  </w:t>
      </w:r>
      <w:r w:rsidR="00223F2D">
        <w:rPr>
          <w:sz w:val="24"/>
          <w:szCs w:val="24"/>
        </w:rPr>
        <w:t xml:space="preserve">          </w:t>
      </w:r>
      <w:r w:rsidR="00DF389F">
        <w:rPr>
          <w:sz w:val="24"/>
          <w:szCs w:val="24"/>
        </w:rPr>
        <w:tab/>
      </w:r>
      <w:r w:rsidR="00575BDD">
        <w:rPr>
          <w:sz w:val="24"/>
          <w:szCs w:val="24"/>
        </w:rPr>
        <w:t>000 kn</w:t>
      </w:r>
      <w:r w:rsidR="00575BDD">
        <w:rPr>
          <w:sz w:val="24"/>
          <w:szCs w:val="24"/>
        </w:rPr>
        <w:tab/>
      </w:r>
      <w:r w:rsidR="00DF389F">
        <w:rPr>
          <w:sz w:val="24"/>
          <w:szCs w:val="24"/>
        </w:rPr>
        <w:tab/>
      </w:r>
      <w:r w:rsidR="00223F2D" w:rsidRPr="001A44A2">
        <w:rPr>
          <w:b/>
          <w:sz w:val="24"/>
          <w:szCs w:val="24"/>
        </w:rPr>
        <w:t xml:space="preserve"> </w:t>
      </w:r>
    </w:p>
    <w:tbl>
      <w:tblPr>
        <w:tblW w:w="666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996"/>
        <w:gridCol w:w="1399"/>
        <w:gridCol w:w="1275"/>
        <w:gridCol w:w="993"/>
      </w:tblGrid>
      <w:tr w:rsidR="0096216C" w:rsidRPr="00BC0DAC" w:rsidTr="007F4363">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Neporezni  prihodi</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C86A4B"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Ostvarenje</w:t>
            </w:r>
          </w:p>
          <w:p w:rsidR="0096216C" w:rsidRPr="00C86A4B" w:rsidRDefault="0096216C" w:rsidP="00651C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 xml:space="preserve"> 2016.</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Ostvarenje</w:t>
            </w:r>
          </w:p>
          <w:p w:rsidR="0096216C" w:rsidRPr="00C86A4B" w:rsidRDefault="0096216C" w:rsidP="00651C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 xml:space="preserve"> 2017.</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C86A4B">
              <w:rPr>
                <w:rFonts w:ascii="Arial" w:hAnsi="Arial" w:cs="Arial"/>
                <w:b/>
                <w:sz w:val="16"/>
                <w:szCs w:val="16"/>
              </w:rPr>
              <w:t xml:space="preserve">4/2  </w:t>
            </w:r>
          </w:p>
        </w:tc>
      </w:tr>
      <w:tr w:rsidR="0096216C" w:rsidRPr="00BC0DAC" w:rsidTr="007F4363">
        <w:trPr>
          <w:trHeight w:val="243"/>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C86A4B">
              <w:rPr>
                <w:rFonts w:ascii="Arial" w:hAnsi="Arial" w:cs="Arial"/>
                <w:sz w:val="16"/>
                <w:szCs w:val="16"/>
              </w:rPr>
              <w:t>1</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C86A4B"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C86A4B">
              <w:rPr>
                <w:rFonts w:ascii="Arial" w:hAnsi="Arial" w:cs="Arial"/>
                <w:sz w:val="16"/>
                <w:szCs w:val="16"/>
              </w:rPr>
              <w:t>2</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C86A4B">
              <w:rPr>
                <w:rFonts w:ascii="Arial" w:hAnsi="Arial" w:cs="Arial"/>
                <w:sz w:val="16"/>
                <w:szCs w:val="16"/>
              </w:rPr>
              <w:t>3</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C86A4B"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C86A4B">
              <w:rPr>
                <w:rFonts w:ascii="Arial" w:hAnsi="Arial" w:cs="Arial"/>
                <w:sz w:val="16"/>
                <w:szCs w:val="16"/>
              </w:rPr>
              <w:t>4</w:t>
            </w:r>
          </w:p>
        </w:tc>
      </w:tr>
      <w:tr w:rsidR="0096216C" w:rsidRPr="00BC0DAC" w:rsidTr="007F4363">
        <w:trPr>
          <w:trHeight w:val="243"/>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9F657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4363">
              <w:rPr>
                <w:sz w:val="22"/>
                <w:szCs w:val="22"/>
              </w:rPr>
              <w:t>Pomoći od međunarodnih org.</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5.239</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3.124</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58,62</w:t>
            </w:r>
          </w:p>
        </w:tc>
      </w:tr>
      <w:tr w:rsidR="0096216C" w:rsidRPr="00BC0DAC" w:rsidTr="007F4363">
        <w:trPr>
          <w:trHeight w:val="287"/>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Pomoći iz proračuna</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355</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2.416</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680,56</w:t>
            </w:r>
          </w:p>
        </w:tc>
      </w:tr>
      <w:tr w:rsidR="0096216C"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4363">
              <w:rPr>
                <w:sz w:val="22"/>
                <w:szCs w:val="22"/>
              </w:rPr>
              <w:t>Pomoći unutar opće države</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2.265</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3.324</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146,75</w:t>
            </w:r>
          </w:p>
        </w:tc>
      </w:tr>
      <w:tr w:rsidR="0096216C"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4363">
              <w:rPr>
                <w:sz w:val="22"/>
                <w:szCs w:val="22"/>
              </w:rPr>
              <w:t>Pomoći izravnanja dec.funkc.</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10.287</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10.358</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100,69</w:t>
            </w:r>
          </w:p>
        </w:tc>
      </w:tr>
      <w:tr w:rsidR="0096216C"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4363">
              <w:rPr>
                <w:sz w:val="22"/>
                <w:szCs w:val="22"/>
              </w:rPr>
              <w:t>Pomoći temeljem prijenosa EU sredstava</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0</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969</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0</w:t>
            </w:r>
          </w:p>
        </w:tc>
      </w:tr>
      <w:tr w:rsidR="0096216C" w:rsidRPr="00BC0DAC" w:rsidTr="007F4363">
        <w:trPr>
          <w:trHeight w:val="285"/>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Prihodi od financijske imovine</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3.728</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2.723</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73,04</w:t>
            </w:r>
          </w:p>
        </w:tc>
      </w:tr>
      <w:tr w:rsidR="0096216C" w:rsidRPr="00BC0DAC" w:rsidTr="007F4363">
        <w:trPr>
          <w:trHeight w:val="261"/>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4363">
              <w:rPr>
                <w:sz w:val="22"/>
                <w:szCs w:val="22"/>
              </w:rPr>
              <w:t>Prihodi od nefinancijske imovine</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112.072</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131.507</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117,34</w:t>
            </w:r>
          </w:p>
        </w:tc>
      </w:tr>
      <w:tr w:rsidR="0096216C" w:rsidRPr="00BC0DAC" w:rsidTr="007F4363">
        <w:trPr>
          <w:trHeight w:val="267"/>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Adminis. upravne pristojbe</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24.316</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31.190</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128,27</w:t>
            </w:r>
          </w:p>
        </w:tc>
      </w:tr>
      <w:tr w:rsidR="0096216C" w:rsidRPr="00BC0DAC" w:rsidTr="007F4363">
        <w:trPr>
          <w:trHeight w:val="259"/>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Komunalni doprinos</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24.044</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15.287</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AE09B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63,58</w:t>
            </w:r>
          </w:p>
        </w:tc>
      </w:tr>
      <w:tr w:rsidR="0096216C" w:rsidRPr="00BC0DAC" w:rsidTr="007F4363">
        <w:trPr>
          <w:trHeight w:val="264"/>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Komunalna naknada</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39.862</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40.458</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101,49</w:t>
            </w:r>
          </w:p>
        </w:tc>
      </w:tr>
      <w:tr w:rsidR="0096216C" w:rsidRPr="00BC0DAC" w:rsidTr="007F4363">
        <w:trPr>
          <w:trHeight w:val="271"/>
        </w:trPr>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Ostali prihodi</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6.432</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4.179</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64,97</w:t>
            </w:r>
          </w:p>
        </w:tc>
      </w:tr>
      <w:tr w:rsidR="0096216C" w:rsidRPr="00BC0DAC" w:rsidTr="007F4363">
        <w:trPr>
          <w:trHeight w:val="285"/>
        </w:trPr>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7F4363">
              <w:rPr>
                <w:sz w:val="22"/>
                <w:szCs w:val="22"/>
              </w:rPr>
              <w:t>U k u p n o</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228.600</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96216C" w:rsidP="006D35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7F4363">
              <w:rPr>
                <w:sz w:val="22"/>
                <w:szCs w:val="22"/>
              </w:rPr>
              <w:t>245.535</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7F4363" w:rsidRDefault="006D3556" w:rsidP="00D079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F4363">
              <w:rPr>
                <w:sz w:val="22"/>
                <w:szCs w:val="22"/>
              </w:rPr>
              <w:t>107,41</w:t>
            </w:r>
          </w:p>
        </w:tc>
      </w:tr>
    </w:tbl>
    <w:p w:rsidR="00617186" w:rsidRDefault="00617186"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BD6CB7" w:rsidRDefault="00BD6CB7"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D27CEC" w:rsidRDefault="003D42AE"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3D42AE">
        <w:rPr>
          <w:b/>
          <w:sz w:val="24"/>
        </w:rPr>
        <w:t>Tabl</w:t>
      </w:r>
      <w:r w:rsidR="001A44A2">
        <w:rPr>
          <w:b/>
          <w:sz w:val="24"/>
        </w:rPr>
        <w:t>ic</w:t>
      </w:r>
      <w:r w:rsidRPr="003D42AE">
        <w:rPr>
          <w:b/>
          <w:sz w:val="24"/>
        </w:rPr>
        <w:t xml:space="preserve">a broj </w:t>
      </w:r>
      <w:r w:rsidR="00D817E7">
        <w:rPr>
          <w:b/>
          <w:sz w:val="24"/>
        </w:rPr>
        <w:t>10</w:t>
      </w:r>
      <w:r w:rsidR="001A44A2">
        <w:rPr>
          <w:b/>
          <w:sz w:val="24"/>
        </w:rPr>
        <w:t xml:space="preserve"> </w:t>
      </w:r>
      <w:r w:rsidR="001C19BA">
        <w:rPr>
          <w:b/>
          <w:sz w:val="24"/>
        </w:rPr>
        <w:t xml:space="preserve">          </w:t>
      </w:r>
      <w:r w:rsidRPr="003D42AE">
        <w:rPr>
          <w:b/>
          <w:sz w:val="24"/>
        </w:rPr>
        <w:t xml:space="preserve"> Ukupni neporezni prihodi u razdoblju </w:t>
      </w:r>
      <w:r w:rsidR="004C6471">
        <w:rPr>
          <w:b/>
          <w:sz w:val="24"/>
        </w:rPr>
        <w:t>201</w:t>
      </w:r>
      <w:r w:rsidR="00996050">
        <w:rPr>
          <w:b/>
          <w:sz w:val="24"/>
        </w:rPr>
        <w:t>3</w:t>
      </w:r>
      <w:r w:rsidR="004C6471">
        <w:rPr>
          <w:b/>
          <w:sz w:val="24"/>
        </w:rPr>
        <w:t>.</w:t>
      </w:r>
      <w:r w:rsidR="000064D0">
        <w:rPr>
          <w:b/>
          <w:sz w:val="24"/>
        </w:rPr>
        <w:t xml:space="preserve"> </w:t>
      </w:r>
      <w:r w:rsidRPr="003D42AE">
        <w:rPr>
          <w:b/>
          <w:sz w:val="24"/>
        </w:rPr>
        <w:t>– 20</w:t>
      </w:r>
      <w:r w:rsidR="000A1D9C">
        <w:rPr>
          <w:b/>
          <w:sz w:val="24"/>
        </w:rPr>
        <w:t>1</w:t>
      </w:r>
      <w:r w:rsidR="00996050">
        <w:rPr>
          <w:b/>
          <w:sz w:val="24"/>
        </w:rPr>
        <w:t>7</w:t>
      </w:r>
      <w:r w:rsidRPr="003D42AE">
        <w:rPr>
          <w:b/>
          <w:sz w:val="24"/>
        </w:rPr>
        <w:t>.</w:t>
      </w:r>
      <w:r w:rsidR="00D27CEC">
        <w:rPr>
          <w:sz w:val="24"/>
        </w:rPr>
        <w:t xml:space="preserve">            </w:t>
      </w:r>
      <w:r w:rsidR="000B09CE">
        <w:rPr>
          <w:sz w:val="24"/>
        </w:rPr>
        <w:tab/>
      </w:r>
    </w:p>
    <w:p w:rsidR="001B063F" w:rsidRDefault="003B4734"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 xml:space="preserve"> </w:t>
      </w:r>
      <w:r w:rsidR="001C19BA">
        <w:rPr>
          <w:b/>
          <w:sz w:val="24"/>
        </w:rPr>
        <w:t xml:space="preserve">                                    </w:t>
      </w:r>
      <w:r>
        <w:rPr>
          <w:b/>
          <w:sz w:val="24"/>
        </w:rPr>
        <w:t xml:space="preserve"> (bez proračunskih korisnika)</w:t>
      </w:r>
      <w:r w:rsidR="00D27CEC">
        <w:rPr>
          <w:b/>
          <w:sz w:val="24"/>
        </w:rPr>
        <w:tab/>
      </w:r>
      <w:r w:rsidR="00D27CEC">
        <w:rPr>
          <w:b/>
          <w:sz w:val="24"/>
        </w:rPr>
        <w:tab/>
      </w:r>
      <w:r w:rsidR="00D27CEC">
        <w:rPr>
          <w:b/>
          <w:sz w:val="24"/>
        </w:rPr>
        <w:tab/>
      </w:r>
      <w:r w:rsidR="00D27CEC" w:rsidRPr="001A44A2">
        <w:rPr>
          <w:b/>
          <w:sz w:val="24"/>
        </w:rPr>
        <w:t>u 000 kn</w:t>
      </w:r>
    </w:p>
    <w:p w:rsidR="00617186" w:rsidRPr="00D27CEC" w:rsidRDefault="00617186"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8799" w:type="dxa"/>
        <w:tblInd w:w="98" w:type="dxa"/>
        <w:tblLook w:val="0000"/>
      </w:tblPr>
      <w:tblGrid>
        <w:gridCol w:w="1976"/>
        <w:gridCol w:w="1720"/>
        <w:gridCol w:w="1559"/>
        <w:gridCol w:w="1843"/>
        <w:gridCol w:w="1701"/>
      </w:tblGrid>
      <w:tr w:rsidR="00BD31F4">
        <w:trPr>
          <w:trHeight w:val="255"/>
        </w:trPr>
        <w:tc>
          <w:tcPr>
            <w:tcW w:w="8799" w:type="dxa"/>
            <w:gridSpan w:val="5"/>
            <w:tcBorders>
              <w:top w:val="single" w:sz="8" w:space="0" w:color="auto"/>
              <w:left w:val="single" w:sz="8" w:space="0" w:color="auto"/>
              <w:bottom w:val="nil"/>
              <w:right w:val="single" w:sz="8" w:space="0" w:color="000000"/>
            </w:tcBorders>
            <w:shd w:val="clear" w:color="auto" w:fill="auto"/>
            <w:noWrap/>
            <w:vAlign w:val="bottom"/>
          </w:tcPr>
          <w:p w:rsidR="00BD31F4" w:rsidRPr="00BD31F4" w:rsidRDefault="00BD31F4" w:rsidP="007B5A55">
            <w:pPr>
              <w:overflowPunct/>
              <w:autoSpaceDE/>
              <w:autoSpaceDN/>
              <w:adjustRightInd/>
              <w:jc w:val="center"/>
              <w:textAlignment w:val="auto"/>
              <w:rPr>
                <w:rFonts w:ascii="Arial" w:hAnsi="Arial" w:cs="Arial"/>
                <w:b/>
                <w:bCs/>
              </w:rPr>
            </w:pPr>
            <w:r w:rsidRPr="00BD31F4">
              <w:rPr>
                <w:rFonts w:ascii="Arial" w:hAnsi="Arial" w:cs="Arial"/>
                <w:b/>
                <w:bCs/>
              </w:rPr>
              <w:t>NEPOREZNI PRIHODI OSTVARENI U RAZDOBLJU 20</w:t>
            </w:r>
            <w:r w:rsidR="00701481">
              <w:rPr>
                <w:rFonts w:ascii="Arial" w:hAnsi="Arial" w:cs="Arial"/>
                <w:b/>
                <w:bCs/>
              </w:rPr>
              <w:t>1</w:t>
            </w:r>
            <w:r w:rsidR="00344590">
              <w:rPr>
                <w:rFonts w:ascii="Arial" w:hAnsi="Arial" w:cs="Arial"/>
                <w:b/>
                <w:bCs/>
              </w:rPr>
              <w:t>3</w:t>
            </w:r>
            <w:r w:rsidRPr="00BD31F4">
              <w:rPr>
                <w:rFonts w:ascii="Arial" w:hAnsi="Arial" w:cs="Arial"/>
                <w:b/>
                <w:bCs/>
              </w:rPr>
              <w:t>. - 20</w:t>
            </w:r>
            <w:r>
              <w:rPr>
                <w:rFonts w:ascii="Arial" w:hAnsi="Arial" w:cs="Arial"/>
                <w:b/>
                <w:bCs/>
              </w:rPr>
              <w:t>1</w:t>
            </w:r>
            <w:r w:rsidR="007B5A55">
              <w:rPr>
                <w:rFonts w:ascii="Arial" w:hAnsi="Arial" w:cs="Arial"/>
                <w:b/>
                <w:bCs/>
              </w:rPr>
              <w:t>7</w:t>
            </w:r>
            <w:r w:rsidRPr="00BD31F4">
              <w:rPr>
                <w:rFonts w:ascii="Arial" w:hAnsi="Arial" w:cs="Arial"/>
                <w:b/>
                <w:bCs/>
              </w:rPr>
              <w:t>.</w:t>
            </w:r>
          </w:p>
        </w:tc>
      </w:tr>
      <w:tr w:rsidR="004C6471">
        <w:trPr>
          <w:trHeight w:val="255"/>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6471" w:rsidRPr="00BD31F4" w:rsidRDefault="004C6471" w:rsidP="00996050">
            <w:pPr>
              <w:overflowPunct/>
              <w:autoSpaceDE/>
              <w:autoSpaceDN/>
              <w:adjustRightInd/>
              <w:jc w:val="center"/>
              <w:textAlignment w:val="auto"/>
              <w:rPr>
                <w:rFonts w:ascii="Arial" w:hAnsi="Arial" w:cs="Arial"/>
              </w:rPr>
            </w:pPr>
            <w:r w:rsidRPr="00BD31F4">
              <w:rPr>
                <w:rFonts w:ascii="Arial" w:hAnsi="Arial" w:cs="Arial"/>
              </w:rPr>
              <w:t>20</w:t>
            </w:r>
            <w:r>
              <w:rPr>
                <w:rFonts w:ascii="Arial" w:hAnsi="Arial" w:cs="Arial"/>
              </w:rPr>
              <w:t>1</w:t>
            </w:r>
            <w:r w:rsidR="00996050">
              <w:rPr>
                <w:rFonts w:ascii="Arial" w:hAnsi="Arial" w:cs="Arial"/>
              </w:rPr>
              <w:t>3</w:t>
            </w:r>
            <w:r w:rsidRPr="00BD31F4">
              <w:rPr>
                <w:rFonts w:ascii="Arial" w:hAnsi="Arial" w:cs="Arial"/>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4C6471" w:rsidRPr="00BD31F4" w:rsidRDefault="004C6471" w:rsidP="00996050">
            <w:pPr>
              <w:overflowPunct/>
              <w:autoSpaceDE/>
              <w:autoSpaceDN/>
              <w:adjustRightInd/>
              <w:jc w:val="center"/>
              <w:textAlignment w:val="auto"/>
              <w:rPr>
                <w:rFonts w:ascii="Arial" w:hAnsi="Arial" w:cs="Arial"/>
              </w:rPr>
            </w:pPr>
            <w:r w:rsidRPr="00BD31F4">
              <w:rPr>
                <w:rFonts w:ascii="Arial" w:hAnsi="Arial" w:cs="Arial"/>
              </w:rPr>
              <w:t>20</w:t>
            </w:r>
            <w:r>
              <w:rPr>
                <w:rFonts w:ascii="Arial" w:hAnsi="Arial" w:cs="Arial"/>
              </w:rPr>
              <w:t>1</w:t>
            </w:r>
            <w:r w:rsidR="00996050">
              <w:rPr>
                <w:rFonts w:ascii="Arial" w:hAnsi="Arial" w:cs="Arial"/>
              </w:rPr>
              <w:t>4</w:t>
            </w:r>
            <w:r w:rsidRPr="00BD31F4">
              <w:rPr>
                <w:rFonts w:ascii="Arial" w:hAnsi="Arial" w:cs="Arial"/>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C6471" w:rsidRPr="00BD31F4" w:rsidRDefault="004C6471" w:rsidP="00996050">
            <w:pPr>
              <w:overflowPunct/>
              <w:autoSpaceDE/>
              <w:autoSpaceDN/>
              <w:adjustRightInd/>
              <w:jc w:val="center"/>
              <w:textAlignment w:val="auto"/>
              <w:rPr>
                <w:rFonts w:ascii="Arial" w:hAnsi="Arial" w:cs="Arial"/>
              </w:rPr>
            </w:pPr>
            <w:r w:rsidRPr="00BD31F4">
              <w:rPr>
                <w:rFonts w:ascii="Arial" w:hAnsi="Arial" w:cs="Arial"/>
              </w:rPr>
              <w:t>201</w:t>
            </w:r>
            <w:r w:rsidR="00996050">
              <w:rPr>
                <w:rFonts w:ascii="Arial" w:hAnsi="Arial" w:cs="Arial"/>
              </w:rPr>
              <w:t>5</w:t>
            </w:r>
            <w:r w:rsidRPr="00BD31F4">
              <w:rPr>
                <w:rFonts w:ascii="Arial" w:hAnsi="Arial" w:cs="Arial"/>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C6471" w:rsidRPr="00BD31F4" w:rsidRDefault="004C6471" w:rsidP="00996050">
            <w:pPr>
              <w:overflowPunct/>
              <w:autoSpaceDE/>
              <w:autoSpaceDN/>
              <w:adjustRightInd/>
              <w:jc w:val="center"/>
              <w:textAlignment w:val="auto"/>
              <w:rPr>
                <w:rFonts w:ascii="Arial" w:hAnsi="Arial" w:cs="Arial"/>
              </w:rPr>
            </w:pPr>
            <w:r>
              <w:rPr>
                <w:rFonts w:ascii="Arial" w:hAnsi="Arial" w:cs="Arial"/>
              </w:rPr>
              <w:t>201</w:t>
            </w:r>
            <w:r w:rsidR="00996050">
              <w:rPr>
                <w:rFonts w:ascii="Arial" w:hAnsi="Arial" w:cs="Arial"/>
              </w:rPr>
              <w:t>6</w:t>
            </w:r>
            <w:r>
              <w:rPr>
                <w:rFonts w:ascii="Arial" w:hAnsi="Arial" w:cs="Arial"/>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C6471" w:rsidRPr="00BD31F4" w:rsidRDefault="004C6471" w:rsidP="00996050">
            <w:pPr>
              <w:overflowPunct/>
              <w:autoSpaceDE/>
              <w:autoSpaceDN/>
              <w:adjustRightInd/>
              <w:jc w:val="center"/>
              <w:textAlignment w:val="auto"/>
              <w:rPr>
                <w:rFonts w:ascii="Arial" w:hAnsi="Arial" w:cs="Arial"/>
              </w:rPr>
            </w:pPr>
            <w:r>
              <w:rPr>
                <w:rFonts w:ascii="Arial" w:hAnsi="Arial" w:cs="Arial"/>
              </w:rPr>
              <w:t>201</w:t>
            </w:r>
            <w:r w:rsidR="00996050">
              <w:rPr>
                <w:rFonts w:ascii="Arial" w:hAnsi="Arial" w:cs="Arial"/>
              </w:rPr>
              <w:t>7</w:t>
            </w:r>
            <w:r>
              <w:rPr>
                <w:rFonts w:ascii="Arial" w:hAnsi="Arial" w:cs="Arial"/>
              </w:rPr>
              <w:t>.</w:t>
            </w:r>
          </w:p>
        </w:tc>
      </w:tr>
      <w:tr w:rsidR="004C6471">
        <w:trPr>
          <w:trHeight w:val="255"/>
        </w:trPr>
        <w:tc>
          <w:tcPr>
            <w:tcW w:w="1976" w:type="dxa"/>
            <w:tcBorders>
              <w:top w:val="nil"/>
              <w:left w:val="single" w:sz="4" w:space="0" w:color="auto"/>
              <w:bottom w:val="single" w:sz="4" w:space="0" w:color="auto"/>
              <w:right w:val="single" w:sz="4" w:space="0" w:color="auto"/>
            </w:tcBorders>
            <w:shd w:val="clear" w:color="auto" w:fill="auto"/>
            <w:noWrap/>
            <w:vAlign w:val="center"/>
          </w:tcPr>
          <w:p w:rsidR="004C6471" w:rsidRPr="00BD31F4" w:rsidRDefault="00996050" w:rsidP="00C84D03">
            <w:pPr>
              <w:overflowPunct/>
              <w:autoSpaceDE/>
              <w:autoSpaceDN/>
              <w:adjustRightInd/>
              <w:jc w:val="center"/>
              <w:textAlignment w:val="auto"/>
              <w:rPr>
                <w:rFonts w:ascii="Arial" w:hAnsi="Arial" w:cs="Arial"/>
              </w:rPr>
            </w:pPr>
            <w:r>
              <w:rPr>
                <w:rFonts w:ascii="Arial" w:hAnsi="Arial" w:cs="Arial"/>
              </w:rPr>
              <w:t>192.277</w:t>
            </w:r>
          </w:p>
        </w:tc>
        <w:tc>
          <w:tcPr>
            <w:tcW w:w="1720" w:type="dxa"/>
            <w:tcBorders>
              <w:top w:val="nil"/>
              <w:left w:val="nil"/>
              <w:bottom w:val="single" w:sz="4" w:space="0" w:color="auto"/>
              <w:right w:val="single" w:sz="4" w:space="0" w:color="auto"/>
            </w:tcBorders>
            <w:shd w:val="clear" w:color="auto" w:fill="auto"/>
            <w:noWrap/>
            <w:vAlign w:val="center"/>
          </w:tcPr>
          <w:p w:rsidR="004C6471" w:rsidRPr="00BD31F4" w:rsidRDefault="00996050" w:rsidP="00C84D03">
            <w:pPr>
              <w:overflowPunct/>
              <w:autoSpaceDE/>
              <w:autoSpaceDN/>
              <w:adjustRightInd/>
              <w:jc w:val="center"/>
              <w:textAlignment w:val="auto"/>
              <w:rPr>
                <w:rFonts w:ascii="Arial" w:hAnsi="Arial" w:cs="Arial"/>
              </w:rPr>
            </w:pPr>
            <w:r>
              <w:rPr>
                <w:rFonts w:ascii="Arial" w:hAnsi="Arial" w:cs="Arial"/>
              </w:rPr>
              <w:t>214.716</w:t>
            </w:r>
          </w:p>
        </w:tc>
        <w:tc>
          <w:tcPr>
            <w:tcW w:w="1559" w:type="dxa"/>
            <w:tcBorders>
              <w:top w:val="nil"/>
              <w:left w:val="nil"/>
              <w:bottom w:val="single" w:sz="4" w:space="0" w:color="auto"/>
              <w:right w:val="single" w:sz="4" w:space="0" w:color="auto"/>
            </w:tcBorders>
            <w:shd w:val="clear" w:color="auto" w:fill="auto"/>
            <w:noWrap/>
            <w:vAlign w:val="center"/>
          </w:tcPr>
          <w:p w:rsidR="004C6471" w:rsidRPr="00BD31F4" w:rsidRDefault="00996050" w:rsidP="00C84D03">
            <w:pPr>
              <w:overflowPunct/>
              <w:autoSpaceDE/>
              <w:autoSpaceDN/>
              <w:adjustRightInd/>
              <w:jc w:val="center"/>
              <w:textAlignment w:val="auto"/>
              <w:rPr>
                <w:rFonts w:ascii="Arial" w:hAnsi="Arial" w:cs="Arial"/>
              </w:rPr>
            </w:pPr>
            <w:r>
              <w:rPr>
                <w:rFonts w:ascii="Arial" w:hAnsi="Arial" w:cs="Arial"/>
              </w:rPr>
              <w:t>225.950</w:t>
            </w:r>
          </w:p>
        </w:tc>
        <w:tc>
          <w:tcPr>
            <w:tcW w:w="1843" w:type="dxa"/>
            <w:tcBorders>
              <w:top w:val="nil"/>
              <w:left w:val="nil"/>
              <w:bottom w:val="single" w:sz="4" w:space="0" w:color="auto"/>
              <w:right w:val="single" w:sz="4" w:space="0" w:color="auto"/>
            </w:tcBorders>
            <w:shd w:val="clear" w:color="auto" w:fill="auto"/>
            <w:noWrap/>
            <w:vAlign w:val="center"/>
          </w:tcPr>
          <w:p w:rsidR="004C6471" w:rsidRPr="00BD31F4" w:rsidRDefault="00996050" w:rsidP="00C84D03">
            <w:pPr>
              <w:overflowPunct/>
              <w:autoSpaceDE/>
              <w:autoSpaceDN/>
              <w:adjustRightInd/>
              <w:jc w:val="center"/>
              <w:textAlignment w:val="auto"/>
              <w:rPr>
                <w:rFonts w:ascii="Arial" w:hAnsi="Arial" w:cs="Arial"/>
              </w:rPr>
            </w:pPr>
            <w:r>
              <w:rPr>
                <w:rFonts w:ascii="Arial" w:hAnsi="Arial" w:cs="Arial"/>
              </w:rPr>
              <w:t>228.600</w:t>
            </w:r>
          </w:p>
        </w:tc>
        <w:tc>
          <w:tcPr>
            <w:tcW w:w="1701" w:type="dxa"/>
            <w:tcBorders>
              <w:top w:val="nil"/>
              <w:left w:val="nil"/>
              <w:bottom w:val="single" w:sz="4" w:space="0" w:color="auto"/>
              <w:right w:val="single" w:sz="4" w:space="0" w:color="auto"/>
            </w:tcBorders>
            <w:shd w:val="clear" w:color="auto" w:fill="auto"/>
            <w:noWrap/>
            <w:vAlign w:val="center"/>
          </w:tcPr>
          <w:p w:rsidR="004C6471" w:rsidRPr="00BD31F4" w:rsidRDefault="00DB3B59" w:rsidP="00BD31F4">
            <w:pPr>
              <w:overflowPunct/>
              <w:autoSpaceDE/>
              <w:autoSpaceDN/>
              <w:adjustRightInd/>
              <w:jc w:val="center"/>
              <w:textAlignment w:val="auto"/>
              <w:rPr>
                <w:rFonts w:ascii="Arial" w:hAnsi="Arial" w:cs="Arial"/>
              </w:rPr>
            </w:pPr>
            <w:r>
              <w:rPr>
                <w:rFonts w:ascii="Arial" w:hAnsi="Arial" w:cs="Arial"/>
              </w:rPr>
              <w:t>245.535</w:t>
            </w:r>
          </w:p>
        </w:tc>
      </w:tr>
    </w:tbl>
    <w:p w:rsidR="00EA2CFB" w:rsidRDefault="00EA2CFB"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617186" w:rsidRDefault="00617186"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617186" w:rsidRPr="002D2AE1" w:rsidRDefault="00D17ED0" w:rsidP="002D2A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D17ED0">
        <w:rPr>
          <w:noProof/>
          <w:sz w:val="24"/>
        </w:rPr>
        <w:lastRenderedPageBreak/>
        <w:drawing>
          <wp:inline distT="0" distB="0" distL="0" distR="0">
            <wp:extent cx="5614035" cy="2469793"/>
            <wp:effectExtent l="19050" t="0" r="24765" b="6707"/>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1334A">
        <w:rPr>
          <w:rFonts w:ascii="Times" w:hAnsi="Times"/>
          <w:szCs w:val="24"/>
        </w:rPr>
        <w:t xml:space="preserve"> </w:t>
      </w:r>
    </w:p>
    <w:p w:rsidR="00733BC1" w:rsidRDefault="00617186"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r>
        <w:rPr>
          <w:color w:val="FF0000"/>
          <w:sz w:val="24"/>
        </w:rPr>
        <w:t xml:space="preserve">        </w:t>
      </w:r>
      <w:r w:rsidR="00523C77" w:rsidRPr="00B02933">
        <w:rPr>
          <w:color w:val="FF0000"/>
          <w:sz w:val="24"/>
        </w:rPr>
        <w:t xml:space="preserve">    </w:t>
      </w:r>
    </w:p>
    <w:p w:rsidR="007B5E25" w:rsidRPr="00420EA9" w:rsidRDefault="00733BC1"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color w:val="FF0000"/>
          <w:sz w:val="24"/>
        </w:rPr>
        <w:tab/>
      </w:r>
      <w:r w:rsidR="00BB664E" w:rsidRPr="00420EA9">
        <w:rPr>
          <w:sz w:val="24"/>
        </w:rPr>
        <w:t xml:space="preserve">Prihodi od financijske imovine ostvareni su u iznosu od </w:t>
      </w:r>
      <w:r w:rsidR="00420EA9" w:rsidRPr="00420EA9">
        <w:rPr>
          <w:sz w:val="24"/>
        </w:rPr>
        <w:t>2.722.700</w:t>
      </w:r>
      <w:r w:rsidR="007B5E25" w:rsidRPr="00420EA9">
        <w:rPr>
          <w:sz w:val="24"/>
        </w:rPr>
        <w:t xml:space="preserve"> </w:t>
      </w:r>
      <w:r w:rsidR="00BB664E" w:rsidRPr="00420EA9">
        <w:rPr>
          <w:sz w:val="24"/>
        </w:rPr>
        <w:t>kun</w:t>
      </w:r>
      <w:r w:rsidR="00420EA9" w:rsidRPr="00420EA9">
        <w:rPr>
          <w:sz w:val="24"/>
        </w:rPr>
        <w:t>a</w:t>
      </w:r>
      <w:r w:rsidR="00BB664E" w:rsidRPr="00420EA9">
        <w:rPr>
          <w:sz w:val="24"/>
        </w:rPr>
        <w:t xml:space="preserve"> što je </w:t>
      </w:r>
      <w:r w:rsidR="007B5E25" w:rsidRPr="00420EA9">
        <w:rPr>
          <w:sz w:val="24"/>
        </w:rPr>
        <w:t>za</w:t>
      </w:r>
    </w:p>
    <w:p w:rsidR="00BB664E" w:rsidRPr="00F179D8" w:rsidRDefault="00420EA9"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20EA9">
        <w:rPr>
          <w:sz w:val="24"/>
        </w:rPr>
        <w:t>1.00</w:t>
      </w:r>
      <w:r w:rsidRPr="00E71D1A">
        <w:rPr>
          <w:sz w:val="24"/>
        </w:rPr>
        <w:t xml:space="preserve">5.347 </w:t>
      </w:r>
      <w:r w:rsidR="007B5E25" w:rsidRPr="00E71D1A">
        <w:rPr>
          <w:sz w:val="24"/>
        </w:rPr>
        <w:t>kn ili</w:t>
      </w:r>
      <w:r w:rsidR="005A2156" w:rsidRPr="00E71D1A">
        <w:rPr>
          <w:sz w:val="24"/>
        </w:rPr>
        <w:t xml:space="preserve"> </w:t>
      </w:r>
      <w:r w:rsidRPr="00E71D1A">
        <w:rPr>
          <w:sz w:val="24"/>
        </w:rPr>
        <w:t>26,96</w:t>
      </w:r>
      <w:r w:rsidR="007B5E25" w:rsidRPr="00E71D1A">
        <w:rPr>
          <w:sz w:val="24"/>
        </w:rPr>
        <w:t xml:space="preserve">% </w:t>
      </w:r>
      <w:r w:rsidR="0086165F" w:rsidRPr="00E71D1A">
        <w:rPr>
          <w:sz w:val="24"/>
        </w:rPr>
        <w:t xml:space="preserve">manje od </w:t>
      </w:r>
      <w:r w:rsidR="007B5E25" w:rsidRPr="00E71D1A">
        <w:rPr>
          <w:sz w:val="24"/>
        </w:rPr>
        <w:t>naplaćenog iznosa</w:t>
      </w:r>
      <w:r w:rsidR="005A2156" w:rsidRPr="00E71D1A">
        <w:rPr>
          <w:sz w:val="24"/>
        </w:rPr>
        <w:t xml:space="preserve"> u 201</w:t>
      </w:r>
      <w:r w:rsidRPr="00E71D1A">
        <w:rPr>
          <w:sz w:val="24"/>
        </w:rPr>
        <w:t>6.</w:t>
      </w:r>
      <w:r w:rsidR="007C4A15" w:rsidRPr="00E71D1A">
        <w:rPr>
          <w:sz w:val="24"/>
        </w:rPr>
        <w:t xml:space="preserve"> </w:t>
      </w:r>
      <w:r w:rsidR="00E71D1A" w:rsidRPr="00E71D1A">
        <w:rPr>
          <w:sz w:val="24"/>
        </w:rPr>
        <w:t>Ov</w:t>
      </w:r>
      <w:r w:rsidR="0076276F" w:rsidRPr="00E71D1A">
        <w:rPr>
          <w:sz w:val="24"/>
        </w:rPr>
        <w:t>e</w:t>
      </w:r>
      <w:r w:rsidR="00BB664E" w:rsidRPr="00E71D1A">
        <w:rPr>
          <w:sz w:val="24"/>
        </w:rPr>
        <w:t xml:space="preserve"> prihod</w:t>
      </w:r>
      <w:r w:rsidR="0076276F" w:rsidRPr="00E71D1A">
        <w:rPr>
          <w:sz w:val="24"/>
        </w:rPr>
        <w:t>e</w:t>
      </w:r>
      <w:r w:rsidR="00BB664E" w:rsidRPr="00E71D1A">
        <w:rPr>
          <w:sz w:val="24"/>
        </w:rPr>
        <w:t xml:space="preserve"> čine </w:t>
      </w:r>
      <w:r w:rsidR="0076276F" w:rsidRPr="00E71D1A">
        <w:rPr>
          <w:sz w:val="24"/>
        </w:rPr>
        <w:t xml:space="preserve">prihodi od </w:t>
      </w:r>
      <w:r w:rsidR="00BB664E" w:rsidRPr="00E71D1A">
        <w:rPr>
          <w:sz w:val="24"/>
        </w:rPr>
        <w:t>kamat</w:t>
      </w:r>
      <w:r w:rsidR="0076276F" w:rsidRPr="00E71D1A">
        <w:rPr>
          <w:sz w:val="24"/>
        </w:rPr>
        <w:t>a na depozite po viđenju (</w:t>
      </w:r>
      <w:r w:rsidR="00E71D1A" w:rsidRPr="00E71D1A">
        <w:rPr>
          <w:sz w:val="24"/>
        </w:rPr>
        <w:t>930.058</w:t>
      </w:r>
      <w:r w:rsidR="0076276F" w:rsidRPr="00E71D1A">
        <w:rPr>
          <w:sz w:val="24"/>
        </w:rPr>
        <w:t xml:space="preserve"> kn), te zatezne kamate </w:t>
      </w:r>
      <w:r w:rsidR="00BB664E" w:rsidRPr="00E71D1A">
        <w:rPr>
          <w:sz w:val="24"/>
        </w:rPr>
        <w:t>koje</w:t>
      </w:r>
      <w:r w:rsidR="0050557A" w:rsidRPr="00E71D1A">
        <w:rPr>
          <w:sz w:val="24"/>
        </w:rPr>
        <w:t xml:space="preserve"> se</w:t>
      </w:r>
      <w:r w:rsidR="00BB664E" w:rsidRPr="00E71D1A">
        <w:rPr>
          <w:sz w:val="24"/>
        </w:rPr>
        <w:t>, sukladno zakonskoj regulativi, zadužuj</w:t>
      </w:r>
      <w:r w:rsidR="0050557A" w:rsidRPr="00E71D1A">
        <w:rPr>
          <w:sz w:val="24"/>
        </w:rPr>
        <w:t>u</w:t>
      </w:r>
      <w:r w:rsidR="00BB664E" w:rsidRPr="00E71D1A">
        <w:rPr>
          <w:sz w:val="24"/>
        </w:rPr>
        <w:t xml:space="preserve"> i naplaćuj</w:t>
      </w:r>
      <w:r w:rsidR="0050557A" w:rsidRPr="00E71D1A">
        <w:rPr>
          <w:sz w:val="24"/>
        </w:rPr>
        <w:t>u</w:t>
      </w:r>
      <w:r w:rsidR="00BB664E" w:rsidRPr="00E71D1A">
        <w:rPr>
          <w:sz w:val="24"/>
        </w:rPr>
        <w:t xml:space="preserve"> po svim vrstama zakašnjelih plaćanja</w:t>
      </w:r>
      <w:r w:rsidR="0076276F" w:rsidRPr="00E71D1A">
        <w:rPr>
          <w:sz w:val="24"/>
        </w:rPr>
        <w:t xml:space="preserve"> (</w:t>
      </w:r>
      <w:r w:rsidR="00E71D1A" w:rsidRPr="00E71D1A">
        <w:rPr>
          <w:sz w:val="24"/>
        </w:rPr>
        <w:t>976.964</w:t>
      </w:r>
      <w:r w:rsidR="0076276F" w:rsidRPr="00E71D1A">
        <w:rPr>
          <w:sz w:val="24"/>
        </w:rPr>
        <w:t xml:space="preserve"> kn</w:t>
      </w:r>
      <w:r w:rsidR="0076276F" w:rsidRPr="00F179D8">
        <w:rPr>
          <w:b/>
          <w:sz w:val="24"/>
        </w:rPr>
        <w:t>)</w:t>
      </w:r>
      <w:r w:rsidR="00BB664E" w:rsidRPr="00F179D8">
        <w:rPr>
          <w:b/>
          <w:sz w:val="24"/>
        </w:rPr>
        <w:t>.</w:t>
      </w:r>
      <w:r w:rsidR="00782839" w:rsidRPr="00F179D8">
        <w:rPr>
          <w:b/>
          <w:sz w:val="24"/>
        </w:rPr>
        <w:t xml:space="preserve"> </w:t>
      </w:r>
      <w:r w:rsidR="00782839" w:rsidRPr="00F179D8">
        <w:rPr>
          <w:sz w:val="24"/>
        </w:rPr>
        <w:t>Ost</w:t>
      </w:r>
      <w:r w:rsidR="0076276F" w:rsidRPr="00F179D8">
        <w:rPr>
          <w:sz w:val="24"/>
        </w:rPr>
        <w:t xml:space="preserve">varen je i prihod od dividendi u iznosu od </w:t>
      </w:r>
      <w:r w:rsidR="007E7BFC" w:rsidRPr="00F179D8">
        <w:rPr>
          <w:sz w:val="24"/>
        </w:rPr>
        <w:t>720.800</w:t>
      </w:r>
      <w:r w:rsidR="0050557A" w:rsidRPr="00F179D8">
        <w:rPr>
          <w:sz w:val="24"/>
        </w:rPr>
        <w:t xml:space="preserve"> </w:t>
      </w:r>
      <w:r w:rsidR="00782839" w:rsidRPr="00F179D8">
        <w:rPr>
          <w:sz w:val="24"/>
        </w:rPr>
        <w:t>kn</w:t>
      </w:r>
      <w:r w:rsidR="0076276F" w:rsidRPr="00F179D8">
        <w:rPr>
          <w:sz w:val="24"/>
        </w:rPr>
        <w:t xml:space="preserve"> (</w:t>
      </w:r>
      <w:r w:rsidR="00782839" w:rsidRPr="00F179D8">
        <w:rPr>
          <w:sz w:val="24"/>
        </w:rPr>
        <w:t xml:space="preserve"> Luka Dubrovnik).</w:t>
      </w:r>
      <w:r w:rsidR="00BB664E" w:rsidRPr="00F179D8">
        <w:rPr>
          <w:sz w:val="24"/>
        </w:rPr>
        <w:t xml:space="preserve"> </w:t>
      </w:r>
    </w:p>
    <w:p w:rsidR="007A5908" w:rsidRPr="00B02933"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r w:rsidRPr="00B02933">
        <w:rPr>
          <w:color w:val="FF0000"/>
          <w:sz w:val="24"/>
        </w:rPr>
        <w:tab/>
      </w:r>
      <w:r w:rsidRPr="00F179D8">
        <w:rPr>
          <w:sz w:val="24"/>
        </w:rPr>
        <w:t>Prihode od nefinancijske imovine čine: naknade za koncesije (</w:t>
      </w:r>
      <w:r w:rsidR="00F179D8" w:rsidRPr="00F179D8">
        <w:rPr>
          <w:sz w:val="24"/>
        </w:rPr>
        <w:t>2.161.568</w:t>
      </w:r>
      <w:r w:rsidR="000F2F28" w:rsidRPr="00F179D8">
        <w:rPr>
          <w:sz w:val="24"/>
        </w:rPr>
        <w:t xml:space="preserve"> </w:t>
      </w:r>
      <w:r w:rsidRPr="00F179D8">
        <w:rPr>
          <w:sz w:val="24"/>
        </w:rPr>
        <w:t xml:space="preserve">kn), </w:t>
      </w:r>
      <w:r w:rsidR="00BD31F4" w:rsidRPr="00F179D8">
        <w:rPr>
          <w:sz w:val="24"/>
        </w:rPr>
        <w:t xml:space="preserve">naknade za </w:t>
      </w:r>
      <w:r w:rsidR="00BD31F4" w:rsidRPr="00F32810">
        <w:rPr>
          <w:sz w:val="24"/>
        </w:rPr>
        <w:t>uporabu pomorskog dobra (</w:t>
      </w:r>
      <w:r w:rsidR="00F179D8" w:rsidRPr="00F32810">
        <w:rPr>
          <w:sz w:val="24"/>
        </w:rPr>
        <w:t>2.138.056</w:t>
      </w:r>
      <w:r w:rsidR="00BD31F4" w:rsidRPr="00F32810">
        <w:rPr>
          <w:sz w:val="24"/>
        </w:rPr>
        <w:t xml:space="preserve"> kn), </w:t>
      </w:r>
      <w:r w:rsidRPr="00F32810">
        <w:rPr>
          <w:sz w:val="24"/>
        </w:rPr>
        <w:t xml:space="preserve">prihodi od zakupa i  iznajmljivanja imovine </w:t>
      </w:r>
      <w:r w:rsidRPr="008F1A0D">
        <w:rPr>
          <w:sz w:val="24"/>
        </w:rPr>
        <w:t>(</w:t>
      </w:r>
      <w:r w:rsidR="000D767C" w:rsidRPr="008F1A0D">
        <w:rPr>
          <w:sz w:val="24"/>
        </w:rPr>
        <w:t>4</w:t>
      </w:r>
      <w:r w:rsidR="00F32810" w:rsidRPr="008F1A0D">
        <w:rPr>
          <w:sz w:val="24"/>
        </w:rPr>
        <w:t>3.897.320</w:t>
      </w:r>
      <w:r w:rsidRPr="008F1A0D">
        <w:rPr>
          <w:sz w:val="24"/>
        </w:rPr>
        <w:t xml:space="preserve"> kn), spomeničke rente (</w:t>
      </w:r>
      <w:r w:rsidR="000D767C" w:rsidRPr="008F1A0D">
        <w:rPr>
          <w:sz w:val="24"/>
        </w:rPr>
        <w:t>2.</w:t>
      </w:r>
      <w:r w:rsidR="00F32810" w:rsidRPr="008F1A0D">
        <w:rPr>
          <w:sz w:val="24"/>
        </w:rPr>
        <w:t>164.003</w:t>
      </w:r>
      <w:r w:rsidRPr="008F1A0D">
        <w:rPr>
          <w:sz w:val="24"/>
        </w:rPr>
        <w:t xml:space="preserve"> kn) i ostali prihodi (</w:t>
      </w:r>
      <w:r w:rsidR="008F1A0D" w:rsidRPr="008F1A0D">
        <w:rPr>
          <w:sz w:val="24"/>
        </w:rPr>
        <w:t>81.146.</w:t>
      </w:r>
      <w:r w:rsidR="00964E58">
        <w:rPr>
          <w:sz w:val="24"/>
        </w:rPr>
        <w:t>404</w:t>
      </w:r>
      <w:r w:rsidR="00BE2267" w:rsidRPr="008F1A0D">
        <w:rPr>
          <w:sz w:val="24"/>
        </w:rPr>
        <w:t xml:space="preserve"> </w:t>
      </w:r>
      <w:r w:rsidRPr="008F1A0D">
        <w:rPr>
          <w:sz w:val="24"/>
        </w:rPr>
        <w:t>kn)</w:t>
      </w:r>
      <w:r w:rsidR="00FC5994" w:rsidRPr="008F1A0D">
        <w:rPr>
          <w:sz w:val="24"/>
        </w:rPr>
        <w:t xml:space="preserve"> u koje spada i prihod od ulaznica na gradske zidine</w:t>
      </w:r>
      <w:r w:rsidR="00842541" w:rsidRPr="008F1A0D">
        <w:rPr>
          <w:sz w:val="24"/>
        </w:rPr>
        <w:t>.</w:t>
      </w:r>
    </w:p>
    <w:p w:rsidR="00985DD0"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B02933">
        <w:rPr>
          <w:color w:val="FF0000"/>
          <w:sz w:val="24"/>
        </w:rPr>
        <w:t xml:space="preserve"> </w:t>
      </w:r>
      <w:r w:rsidRPr="00B02933">
        <w:rPr>
          <w:color w:val="FF0000"/>
          <w:sz w:val="24"/>
        </w:rPr>
        <w:tab/>
      </w:r>
      <w:r w:rsidRPr="0072182D">
        <w:rPr>
          <w:sz w:val="24"/>
        </w:rPr>
        <w:t xml:space="preserve">Prihodi od administrativnih pristojbi i po posebnim propisima </w:t>
      </w:r>
      <w:r w:rsidR="007A5908" w:rsidRPr="0072182D">
        <w:rPr>
          <w:sz w:val="24"/>
        </w:rPr>
        <w:t xml:space="preserve">ostvareni su u iznosu od </w:t>
      </w:r>
      <w:r w:rsidR="0072182D" w:rsidRPr="0072182D">
        <w:rPr>
          <w:sz w:val="24"/>
        </w:rPr>
        <w:t>31.190.278</w:t>
      </w:r>
      <w:r w:rsidR="00A21878" w:rsidRPr="0072182D">
        <w:rPr>
          <w:sz w:val="24"/>
        </w:rPr>
        <w:t xml:space="preserve"> kn</w:t>
      </w:r>
      <w:r w:rsidR="007A5908" w:rsidRPr="0072182D">
        <w:rPr>
          <w:sz w:val="24"/>
        </w:rPr>
        <w:t xml:space="preserve"> i za </w:t>
      </w:r>
      <w:r w:rsidR="0072182D" w:rsidRPr="0072182D">
        <w:rPr>
          <w:sz w:val="24"/>
        </w:rPr>
        <w:t>28,27</w:t>
      </w:r>
      <w:r w:rsidR="007A5908" w:rsidRPr="0072182D">
        <w:rPr>
          <w:sz w:val="24"/>
        </w:rPr>
        <w:t xml:space="preserve"> % su </w:t>
      </w:r>
      <w:r w:rsidR="00A21878" w:rsidRPr="0072182D">
        <w:rPr>
          <w:sz w:val="24"/>
        </w:rPr>
        <w:t>viši od ostvarenih u 201</w:t>
      </w:r>
      <w:r w:rsidR="0072182D" w:rsidRPr="0072182D">
        <w:rPr>
          <w:sz w:val="24"/>
        </w:rPr>
        <w:t>6</w:t>
      </w:r>
      <w:r w:rsidR="00A21878" w:rsidRPr="0072182D">
        <w:rPr>
          <w:sz w:val="24"/>
        </w:rPr>
        <w:t>. godini (</w:t>
      </w:r>
      <w:r w:rsidR="0072182D" w:rsidRPr="0072182D">
        <w:rPr>
          <w:sz w:val="24"/>
        </w:rPr>
        <w:t>24.315.616</w:t>
      </w:r>
      <w:r w:rsidR="00A21878" w:rsidRPr="0072182D">
        <w:rPr>
          <w:sz w:val="24"/>
        </w:rPr>
        <w:t xml:space="preserve"> kn).</w:t>
      </w:r>
    </w:p>
    <w:p w:rsidR="002713BA" w:rsidRPr="00977458" w:rsidRDefault="002713BA" w:rsidP="002713BA">
      <w:pPr>
        <w:pStyle w:val="Naslov2"/>
        <w:tabs>
          <w:tab w:val="clear" w:pos="-720"/>
          <w:tab w:val="clear" w:pos="1"/>
          <w:tab w:val="left" w:pos="1080"/>
        </w:tabs>
        <w:rPr>
          <w:rFonts w:ascii="Times" w:hAnsi="Times"/>
          <w:b w:val="0"/>
          <w:szCs w:val="24"/>
        </w:rPr>
      </w:pPr>
      <w:r>
        <w:tab/>
      </w:r>
      <w:r w:rsidRPr="00977458">
        <w:rPr>
          <w:rFonts w:ascii="Times" w:hAnsi="Times"/>
          <w:b w:val="0"/>
          <w:szCs w:val="24"/>
        </w:rPr>
        <w:t>U obračunskoj godini prihod od komunalnog doprinosa je  za 3</w:t>
      </w:r>
      <w:r w:rsidR="00556B62">
        <w:rPr>
          <w:rFonts w:ascii="Times" w:hAnsi="Times"/>
          <w:b w:val="0"/>
          <w:szCs w:val="24"/>
        </w:rPr>
        <w:t>6</w:t>
      </w:r>
      <w:r w:rsidRPr="00977458">
        <w:rPr>
          <w:rFonts w:ascii="Times" w:hAnsi="Times"/>
          <w:b w:val="0"/>
          <w:szCs w:val="24"/>
        </w:rPr>
        <w:t>,42% manji od prošlogodišnjeg, a iz razloga što je prva polovica 2017. godine bila u znaku privremenog financiranja i tijekom kojega se nisu mogla  donositi rješenja o komunalnom</w:t>
      </w:r>
      <w:r>
        <w:rPr>
          <w:rFonts w:ascii="Times" w:hAnsi="Times"/>
          <w:b w:val="0"/>
          <w:szCs w:val="24"/>
        </w:rPr>
        <w:t xml:space="preserve"> doprinosu</w:t>
      </w:r>
      <w:r w:rsidRPr="00977458">
        <w:rPr>
          <w:rFonts w:ascii="Times" w:hAnsi="Times"/>
          <w:b w:val="0"/>
          <w:szCs w:val="24"/>
        </w:rPr>
        <w:t>.</w:t>
      </w:r>
    </w:p>
    <w:p w:rsidR="002713BA" w:rsidRPr="006821BB" w:rsidRDefault="002713BA" w:rsidP="00556B62">
      <w:pPr>
        <w:ind w:firstLine="720"/>
        <w:jc w:val="both"/>
        <w:rPr>
          <w:rFonts w:ascii="Times" w:hAnsi="Times"/>
          <w:b/>
          <w:sz w:val="24"/>
          <w:szCs w:val="24"/>
        </w:rPr>
      </w:pPr>
      <w:r w:rsidRPr="006821BB">
        <w:rPr>
          <w:rFonts w:ascii="Times" w:hAnsi="Times"/>
          <w:sz w:val="24"/>
          <w:szCs w:val="24"/>
        </w:rPr>
        <w:t xml:space="preserve">Nadalje, </w:t>
      </w:r>
      <w:r w:rsidRPr="006821BB">
        <w:rPr>
          <w:rFonts w:ascii="Times" w:hAnsi="Times"/>
          <w:b/>
          <w:sz w:val="24"/>
          <w:szCs w:val="24"/>
        </w:rPr>
        <w:t xml:space="preserve"> </w:t>
      </w:r>
      <w:r w:rsidRPr="006821BB">
        <w:rPr>
          <w:rFonts w:ascii="Times" w:hAnsi="Times"/>
          <w:sz w:val="24"/>
          <w:szCs w:val="24"/>
        </w:rPr>
        <w:t>vrlo su značajni prihodi ostvareni od  komunalne naknade</w:t>
      </w:r>
      <w:r>
        <w:rPr>
          <w:rFonts w:ascii="Times" w:hAnsi="Times"/>
          <w:sz w:val="24"/>
          <w:szCs w:val="24"/>
        </w:rPr>
        <w:t xml:space="preserve"> u iznosu od 40.457.582 kn</w:t>
      </w:r>
      <w:r w:rsidRPr="006821BB">
        <w:rPr>
          <w:rFonts w:ascii="Times" w:hAnsi="Times"/>
          <w:sz w:val="24"/>
          <w:szCs w:val="24"/>
        </w:rPr>
        <w:t xml:space="preserve"> koja je za  1,49% ostvarena više u odnosu na 2016. godinu</w:t>
      </w:r>
      <w:r>
        <w:rPr>
          <w:rFonts w:ascii="Times" w:hAnsi="Times"/>
          <w:sz w:val="24"/>
          <w:szCs w:val="24"/>
        </w:rPr>
        <w:t xml:space="preserve"> kada je bilo naplaćeno 39.862.176 kn. </w:t>
      </w:r>
    </w:p>
    <w:p w:rsidR="00DF389F" w:rsidRPr="008A2DDD" w:rsidRDefault="008A2DDD"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color w:val="FF0000"/>
          <w:sz w:val="24"/>
        </w:rPr>
        <w:tab/>
      </w:r>
      <w:r w:rsidR="00BB664E" w:rsidRPr="008A2DDD">
        <w:rPr>
          <w:sz w:val="24"/>
        </w:rPr>
        <w:t>Ostale prihode čine ostali nespomenuti prihodi i prihodi od vlastite djelatnosti i kapitalne donacije</w:t>
      </w:r>
      <w:r w:rsidR="00CC4ECE" w:rsidRPr="008A2DDD">
        <w:rPr>
          <w:sz w:val="24"/>
        </w:rPr>
        <w:t>, a o</w:t>
      </w:r>
      <w:r w:rsidR="00BB664E" w:rsidRPr="008A2DDD">
        <w:rPr>
          <w:sz w:val="24"/>
        </w:rPr>
        <w:t xml:space="preserve">stvareni su </w:t>
      </w:r>
      <w:r w:rsidR="00CC4ECE" w:rsidRPr="008A2DDD">
        <w:rPr>
          <w:sz w:val="24"/>
        </w:rPr>
        <w:t xml:space="preserve">u iznosu od  </w:t>
      </w:r>
      <w:r w:rsidRPr="008A2DDD">
        <w:rPr>
          <w:sz w:val="24"/>
        </w:rPr>
        <w:t>4.178.679 kuna</w:t>
      </w:r>
      <w:r w:rsidR="00CC4ECE" w:rsidRPr="008A2DDD">
        <w:rPr>
          <w:sz w:val="24"/>
        </w:rPr>
        <w:t>.</w:t>
      </w:r>
    </w:p>
    <w:p w:rsidR="00642403" w:rsidRDefault="00642403"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097E79" w:rsidRDefault="00097E79"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tbl>
      <w:tblPr>
        <w:tblW w:w="8799" w:type="dxa"/>
        <w:tblInd w:w="98" w:type="dxa"/>
        <w:tblLook w:val="0000"/>
      </w:tblPr>
      <w:tblGrid>
        <w:gridCol w:w="3996"/>
        <w:gridCol w:w="2385"/>
        <w:gridCol w:w="2418"/>
      </w:tblGrid>
      <w:tr w:rsidR="000045D3" w:rsidTr="0090643E">
        <w:trPr>
          <w:trHeight w:val="750"/>
        </w:trPr>
        <w:tc>
          <w:tcPr>
            <w:tcW w:w="879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045D3" w:rsidRPr="000045D3" w:rsidRDefault="000045D3" w:rsidP="00B02933">
            <w:pPr>
              <w:overflowPunct/>
              <w:autoSpaceDE/>
              <w:autoSpaceDN/>
              <w:adjustRightInd/>
              <w:jc w:val="center"/>
              <w:textAlignment w:val="auto"/>
              <w:rPr>
                <w:rFonts w:ascii="Arial" w:hAnsi="Arial" w:cs="Arial"/>
                <w:b/>
                <w:bCs/>
              </w:rPr>
            </w:pPr>
            <w:r w:rsidRPr="000045D3">
              <w:rPr>
                <w:rFonts w:ascii="Arial" w:hAnsi="Arial" w:cs="Arial"/>
                <w:b/>
                <w:bCs/>
              </w:rPr>
              <w:t>STRUKTURA NEPOREZNIH PRIHODA PRORAČUNA GRADA DUBROVNIKA OSTVARENIH U 201</w:t>
            </w:r>
            <w:r w:rsidR="00B02933">
              <w:rPr>
                <w:rFonts w:ascii="Arial" w:hAnsi="Arial" w:cs="Arial"/>
                <w:b/>
                <w:bCs/>
              </w:rPr>
              <w:t>7</w:t>
            </w:r>
            <w:r w:rsidRPr="000045D3">
              <w:rPr>
                <w:rFonts w:ascii="Arial" w:hAnsi="Arial" w:cs="Arial"/>
                <w:b/>
                <w:bCs/>
              </w:rPr>
              <w:t>. GODINI</w:t>
            </w:r>
          </w:p>
        </w:tc>
      </w:tr>
      <w:tr w:rsidR="000045D3" w:rsidTr="0090643E">
        <w:trPr>
          <w:trHeight w:val="270"/>
        </w:trPr>
        <w:tc>
          <w:tcPr>
            <w:tcW w:w="8799" w:type="dxa"/>
            <w:gridSpan w:val="3"/>
            <w:vMerge/>
            <w:tcBorders>
              <w:top w:val="single" w:sz="8" w:space="0" w:color="auto"/>
              <w:left w:val="single" w:sz="8" w:space="0" w:color="auto"/>
              <w:bottom w:val="single" w:sz="8" w:space="0" w:color="000000"/>
              <w:right w:val="single" w:sz="8" w:space="0" w:color="000000"/>
            </w:tcBorders>
            <w:vAlign w:val="center"/>
          </w:tcPr>
          <w:p w:rsidR="000045D3" w:rsidRPr="000045D3" w:rsidRDefault="000045D3" w:rsidP="000045D3">
            <w:pPr>
              <w:overflowPunct/>
              <w:autoSpaceDE/>
              <w:autoSpaceDN/>
              <w:adjustRightInd/>
              <w:textAlignment w:val="auto"/>
              <w:rPr>
                <w:rFonts w:ascii="Arial" w:hAnsi="Arial" w:cs="Arial"/>
                <w:b/>
                <w:bCs/>
              </w:rPr>
            </w:pPr>
          </w:p>
        </w:tc>
      </w:tr>
      <w:tr w:rsidR="000045D3" w:rsidTr="0090643E">
        <w:trPr>
          <w:trHeight w:val="255"/>
        </w:trPr>
        <w:tc>
          <w:tcPr>
            <w:tcW w:w="3996" w:type="dxa"/>
            <w:tcBorders>
              <w:top w:val="nil"/>
              <w:left w:val="nil"/>
              <w:bottom w:val="nil"/>
              <w:right w:val="nil"/>
            </w:tcBorders>
            <w:shd w:val="clear" w:color="auto" w:fill="auto"/>
            <w:noWrap/>
            <w:vAlign w:val="center"/>
          </w:tcPr>
          <w:p w:rsidR="000045D3" w:rsidRDefault="000045D3" w:rsidP="000045D3">
            <w:pPr>
              <w:overflowPunct/>
              <w:autoSpaceDE/>
              <w:autoSpaceDN/>
              <w:adjustRightInd/>
              <w:jc w:val="center"/>
              <w:textAlignment w:val="auto"/>
              <w:rPr>
                <w:rFonts w:ascii="Arial" w:hAnsi="Arial" w:cs="Arial"/>
                <w:b/>
                <w:bCs/>
              </w:rPr>
            </w:pPr>
          </w:p>
          <w:p w:rsidR="00733BC1" w:rsidRPr="000045D3" w:rsidRDefault="00733BC1" w:rsidP="000045D3">
            <w:pPr>
              <w:overflowPunct/>
              <w:autoSpaceDE/>
              <w:autoSpaceDN/>
              <w:adjustRightInd/>
              <w:jc w:val="center"/>
              <w:textAlignment w:val="auto"/>
              <w:rPr>
                <w:rFonts w:ascii="Arial" w:hAnsi="Arial" w:cs="Arial"/>
                <w:b/>
                <w:bCs/>
              </w:rPr>
            </w:pPr>
          </w:p>
        </w:tc>
        <w:tc>
          <w:tcPr>
            <w:tcW w:w="2385"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b/>
                <w:bCs/>
              </w:rPr>
            </w:pPr>
          </w:p>
        </w:tc>
        <w:tc>
          <w:tcPr>
            <w:tcW w:w="2418"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b/>
                <w:bCs/>
              </w:rPr>
            </w:pPr>
          </w:p>
        </w:tc>
      </w:tr>
      <w:tr w:rsidR="000045D3" w:rsidTr="0090643E">
        <w:trPr>
          <w:trHeight w:val="270"/>
        </w:trPr>
        <w:tc>
          <w:tcPr>
            <w:tcW w:w="3996" w:type="dxa"/>
            <w:tcBorders>
              <w:top w:val="nil"/>
              <w:left w:val="nil"/>
              <w:bottom w:val="nil"/>
              <w:right w:val="nil"/>
            </w:tcBorders>
            <w:shd w:val="clear" w:color="auto" w:fill="auto"/>
            <w:noWrap/>
            <w:vAlign w:val="center"/>
          </w:tcPr>
          <w:p w:rsidR="000045D3" w:rsidRPr="000045D3" w:rsidRDefault="000045D3" w:rsidP="00D817E7">
            <w:pPr>
              <w:overflowPunct/>
              <w:autoSpaceDE/>
              <w:autoSpaceDN/>
              <w:adjustRightInd/>
              <w:textAlignment w:val="auto"/>
              <w:rPr>
                <w:rFonts w:ascii="Arial" w:hAnsi="Arial" w:cs="Arial"/>
                <w:b/>
                <w:bCs/>
              </w:rPr>
            </w:pPr>
            <w:r w:rsidRPr="000045D3">
              <w:rPr>
                <w:rFonts w:ascii="Arial" w:hAnsi="Arial" w:cs="Arial"/>
                <w:b/>
                <w:bCs/>
              </w:rPr>
              <w:t>Tabl</w:t>
            </w:r>
            <w:r w:rsidR="001A44A2">
              <w:rPr>
                <w:rFonts w:ascii="Arial" w:hAnsi="Arial" w:cs="Arial"/>
                <w:b/>
                <w:bCs/>
              </w:rPr>
              <w:t>ic</w:t>
            </w:r>
            <w:r w:rsidRPr="000045D3">
              <w:rPr>
                <w:rFonts w:ascii="Arial" w:hAnsi="Arial" w:cs="Arial"/>
                <w:b/>
                <w:bCs/>
              </w:rPr>
              <w:t>a br.</w:t>
            </w:r>
            <w:r w:rsidR="00D817E7">
              <w:rPr>
                <w:rFonts w:ascii="Arial" w:hAnsi="Arial" w:cs="Arial"/>
                <w:b/>
                <w:bCs/>
              </w:rPr>
              <w:t xml:space="preserve">11 </w:t>
            </w:r>
            <w:r w:rsidR="006139D7">
              <w:rPr>
                <w:rFonts w:ascii="Arial" w:hAnsi="Arial" w:cs="Arial"/>
                <w:b/>
                <w:bCs/>
              </w:rPr>
              <w:t xml:space="preserve"> (bez proračunskih korisnika)</w:t>
            </w:r>
          </w:p>
        </w:tc>
        <w:tc>
          <w:tcPr>
            <w:tcW w:w="2385"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rPr>
            </w:pPr>
          </w:p>
        </w:tc>
        <w:tc>
          <w:tcPr>
            <w:tcW w:w="2418" w:type="dxa"/>
            <w:tcBorders>
              <w:top w:val="nil"/>
              <w:left w:val="nil"/>
              <w:bottom w:val="nil"/>
              <w:right w:val="nil"/>
            </w:tcBorders>
            <w:shd w:val="clear" w:color="auto" w:fill="auto"/>
            <w:noWrap/>
            <w:vAlign w:val="center"/>
          </w:tcPr>
          <w:p w:rsidR="000045D3" w:rsidRPr="001A44A2" w:rsidRDefault="000B09CE" w:rsidP="000045D3">
            <w:pPr>
              <w:overflowPunct/>
              <w:autoSpaceDE/>
              <w:autoSpaceDN/>
              <w:adjustRightInd/>
              <w:jc w:val="center"/>
              <w:textAlignment w:val="auto"/>
              <w:rPr>
                <w:rFonts w:ascii="Arial" w:hAnsi="Arial" w:cs="Arial"/>
                <w:b/>
              </w:rPr>
            </w:pPr>
            <w:r w:rsidRPr="001A44A2">
              <w:rPr>
                <w:rFonts w:ascii="Arial" w:hAnsi="Arial" w:cs="Arial"/>
                <w:b/>
              </w:rPr>
              <w:t xml:space="preserve">                    u 000 kn</w:t>
            </w:r>
          </w:p>
        </w:tc>
      </w:tr>
      <w:tr w:rsidR="000045D3" w:rsidTr="0090643E">
        <w:trPr>
          <w:trHeight w:val="270"/>
        </w:trPr>
        <w:tc>
          <w:tcPr>
            <w:tcW w:w="39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045D3" w:rsidRPr="001A44A2" w:rsidRDefault="000045D3" w:rsidP="000045D3">
            <w:pPr>
              <w:overflowPunct/>
              <w:autoSpaceDE/>
              <w:autoSpaceDN/>
              <w:adjustRightInd/>
              <w:jc w:val="center"/>
              <w:textAlignment w:val="auto"/>
              <w:rPr>
                <w:rFonts w:ascii="Arial" w:hAnsi="Arial" w:cs="Arial"/>
                <w:b/>
              </w:rPr>
            </w:pPr>
            <w:r w:rsidRPr="001A44A2">
              <w:rPr>
                <w:rFonts w:ascii="Arial" w:hAnsi="Arial" w:cs="Arial"/>
                <w:b/>
              </w:rPr>
              <w:t>NEPOREZNI PRIHODI</w:t>
            </w:r>
          </w:p>
        </w:tc>
        <w:tc>
          <w:tcPr>
            <w:tcW w:w="2385" w:type="dxa"/>
            <w:tcBorders>
              <w:top w:val="single" w:sz="8" w:space="0" w:color="auto"/>
              <w:left w:val="nil"/>
              <w:bottom w:val="single" w:sz="8" w:space="0" w:color="auto"/>
              <w:right w:val="single" w:sz="8" w:space="0" w:color="auto"/>
            </w:tcBorders>
            <w:shd w:val="clear" w:color="auto" w:fill="auto"/>
            <w:noWrap/>
            <w:vAlign w:val="center"/>
          </w:tcPr>
          <w:p w:rsidR="000045D3" w:rsidRPr="001A44A2" w:rsidRDefault="000045D3" w:rsidP="009863E7">
            <w:pPr>
              <w:overflowPunct/>
              <w:autoSpaceDE/>
              <w:autoSpaceDN/>
              <w:adjustRightInd/>
              <w:jc w:val="center"/>
              <w:textAlignment w:val="auto"/>
              <w:rPr>
                <w:rFonts w:ascii="Arial" w:hAnsi="Arial" w:cs="Arial"/>
                <w:b/>
              </w:rPr>
            </w:pPr>
            <w:r w:rsidRPr="001A44A2">
              <w:rPr>
                <w:rFonts w:ascii="Arial" w:hAnsi="Arial" w:cs="Arial"/>
                <w:b/>
              </w:rPr>
              <w:t>Ostvarenje u 201</w:t>
            </w:r>
            <w:r w:rsidR="00C90AF4">
              <w:rPr>
                <w:rFonts w:ascii="Arial" w:hAnsi="Arial" w:cs="Arial"/>
                <w:b/>
              </w:rPr>
              <w:t>7</w:t>
            </w:r>
            <w:r w:rsidRPr="001A44A2">
              <w:rPr>
                <w:rFonts w:ascii="Arial" w:hAnsi="Arial" w:cs="Arial"/>
                <w:b/>
              </w:rPr>
              <w:t>. godini</w:t>
            </w:r>
          </w:p>
        </w:tc>
        <w:tc>
          <w:tcPr>
            <w:tcW w:w="2418" w:type="dxa"/>
            <w:tcBorders>
              <w:top w:val="single" w:sz="8" w:space="0" w:color="auto"/>
              <w:left w:val="nil"/>
              <w:bottom w:val="single" w:sz="8" w:space="0" w:color="auto"/>
              <w:right w:val="single" w:sz="8" w:space="0" w:color="auto"/>
            </w:tcBorders>
            <w:shd w:val="clear" w:color="auto" w:fill="auto"/>
            <w:noWrap/>
            <w:vAlign w:val="center"/>
          </w:tcPr>
          <w:p w:rsidR="000045D3" w:rsidRPr="001A44A2" w:rsidRDefault="000045D3" w:rsidP="000045D3">
            <w:pPr>
              <w:overflowPunct/>
              <w:autoSpaceDE/>
              <w:autoSpaceDN/>
              <w:adjustRightInd/>
              <w:jc w:val="center"/>
              <w:textAlignment w:val="auto"/>
              <w:rPr>
                <w:rFonts w:ascii="Arial" w:hAnsi="Arial" w:cs="Arial"/>
                <w:b/>
              </w:rPr>
            </w:pPr>
            <w:r w:rsidRPr="001A44A2">
              <w:rPr>
                <w:rFonts w:ascii="Arial" w:hAnsi="Arial" w:cs="Arial"/>
                <w:b/>
              </w:rPr>
              <w:t>Udio u ostvarenju</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Pomoći iz proračuna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2.416</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C47FDB" w:rsidP="006B699E">
            <w:pPr>
              <w:overflowPunct/>
              <w:autoSpaceDE/>
              <w:autoSpaceDN/>
              <w:adjustRightInd/>
              <w:jc w:val="right"/>
              <w:textAlignment w:val="auto"/>
              <w:rPr>
                <w:rFonts w:ascii="Arial" w:hAnsi="Arial" w:cs="Arial"/>
              </w:rPr>
            </w:pPr>
            <w:r w:rsidRPr="005044A6">
              <w:rPr>
                <w:rFonts w:ascii="Arial" w:hAnsi="Arial" w:cs="Arial"/>
              </w:rPr>
              <w:t>0,98</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Pomoći unutar opće države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3.324</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C47FDB" w:rsidP="006B699E">
            <w:pPr>
              <w:overflowPunct/>
              <w:autoSpaceDE/>
              <w:autoSpaceDN/>
              <w:adjustRightInd/>
              <w:jc w:val="right"/>
              <w:textAlignment w:val="auto"/>
              <w:rPr>
                <w:rFonts w:ascii="Arial" w:hAnsi="Arial" w:cs="Arial"/>
              </w:rPr>
            </w:pPr>
            <w:r w:rsidRPr="005044A6">
              <w:rPr>
                <w:rFonts w:ascii="Arial" w:hAnsi="Arial" w:cs="Arial"/>
              </w:rPr>
              <w:t>1,35</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FE5C88">
            <w:pPr>
              <w:overflowPunct/>
              <w:autoSpaceDE/>
              <w:autoSpaceDN/>
              <w:adjustRightInd/>
              <w:textAlignment w:val="auto"/>
              <w:rPr>
                <w:rFonts w:ascii="Arial" w:hAnsi="Arial" w:cs="Arial"/>
              </w:rPr>
            </w:pPr>
            <w:r w:rsidRPr="000045D3">
              <w:rPr>
                <w:rFonts w:ascii="Arial" w:hAnsi="Arial" w:cs="Arial"/>
              </w:rPr>
              <w:t xml:space="preserve">Pomoći od međun. </w:t>
            </w:r>
            <w:r w:rsidR="00FE5C88">
              <w:rPr>
                <w:rFonts w:ascii="Arial" w:hAnsi="Arial" w:cs="Arial"/>
              </w:rPr>
              <w:t>o</w:t>
            </w:r>
            <w:r w:rsidRPr="000045D3">
              <w:rPr>
                <w:rFonts w:ascii="Arial" w:hAnsi="Arial" w:cs="Arial"/>
              </w:rPr>
              <w:t>rganizacija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3.124</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C47FDB" w:rsidP="006B699E">
            <w:pPr>
              <w:overflowPunct/>
              <w:autoSpaceDE/>
              <w:autoSpaceDN/>
              <w:adjustRightInd/>
              <w:jc w:val="right"/>
              <w:textAlignment w:val="auto"/>
              <w:rPr>
                <w:rFonts w:ascii="Arial" w:hAnsi="Arial" w:cs="Arial"/>
              </w:rPr>
            </w:pPr>
            <w:r w:rsidRPr="005044A6">
              <w:rPr>
                <w:rFonts w:ascii="Arial" w:hAnsi="Arial" w:cs="Arial"/>
              </w:rPr>
              <w:t>1,27</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lastRenderedPageBreak/>
              <w:t>Prihodi od imovine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131.507</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C47FDB" w:rsidP="00F94C77">
            <w:pPr>
              <w:overflowPunct/>
              <w:autoSpaceDE/>
              <w:autoSpaceDN/>
              <w:adjustRightInd/>
              <w:jc w:val="right"/>
              <w:textAlignment w:val="auto"/>
              <w:rPr>
                <w:rFonts w:ascii="Arial" w:hAnsi="Arial" w:cs="Arial"/>
              </w:rPr>
            </w:pPr>
            <w:r w:rsidRPr="005044A6">
              <w:rPr>
                <w:rFonts w:ascii="Arial" w:hAnsi="Arial" w:cs="Arial"/>
              </w:rPr>
              <w:t>53,56</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FE5C88">
            <w:pPr>
              <w:overflowPunct/>
              <w:autoSpaceDE/>
              <w:autoSpaceDN/>
              <w:adjustRightInd/>
              <w:textAlignment w:val="auto"/>
              <w:rPr>
                <w:rFonts w:ascii="Arial" w:hAnsi="Arial" w:cs="Arial"/>
              </w:rPr>
            </w:pPr>
            <w:r w:rsidRPr="000045D3">
              <w:rPr>
                <w:rFonts w:ascii="Arial" w:hAnsi="Arial" w:cs="Arial"/>
              </w:rPr>
              <w:t xml:space="preserve">Pomoći izravnanja dec. </w:t>
            </w:r>
            <w:r w:rsidR="00FE5C88">
              <w:rPr>
                <w:rFonts w:ascii="Arial" w:hAnsi="Arial" w:cs="Arial"/>
              </w:rPr>
              <w:t>f</w:t>
            </w:r>
            <w:r w:rsidRPr="000045D3">
              <w:rPr>
                <w:rFonts w:ascii="Arial" w:hAnsi="Arial" w:cs="Arial"/>
              </w:rPr>
              <w:t>unkcija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10.358</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C47FDB" w:rsidP="006B699E">
            <w:pPr>
              <w:overflowPunct/>
              <w:autoSpaceDE/>
              <w:autoSpaceDN/>
              <w:adjustRightInd/>
              <w:jc w:val="right"/>
              <w:textAlignment w:val="auto"/>
              <w:rPr>
                <w:rFonts w:ascii="Arial" w:hAnsi="Arial" w:cs="Arial"/>
              </w:rPr>
            </w:pPr>
            <w:r w:rsidRPr="005044A6">
              <w:rPr>
                <w:rFonts w:ascii="Arial" w:hAnsi="Arial" w:cs="Arial"/>
              </w:rPr>
              <w:t>4,22</w:t>
            </w:r>
          </w:p>
        </w:tc>
      </w:tr>
      <w:tr w:rsidR="007E6EE4"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7E6EE4" w:rsidRPr="000045D3" w:rsidRDefault="007E6EE4" w:rsidP="00FE5C88">
            <w:pPr>
              <w:overflowPunct/>
              <w:autoSpaceDE/>
              <w:autoSpaceDN/>
              <w:adjustRightInd/>
              <w:textAlignment w:val="auto"/>
              <w:rPr>
                <w:rFonts w:ascii="Arial" w:hAnsi="Arial" w:cs="Arial"/>
              </w:rPr>
            </w:pPr>
            <w:r>
              <w:rPr>
                <w:rFonts w:ascii="Arial" w:hAnsi="Arial" w:cs="Arial"/>
              </w:rPr>
              <w:t>Pomoći temeljem prijenosa EU sredstava</w:t>
            </w:r>
          </w:p>
        </w:tc>
        <w:tc>
          <w:tcPr>
            <w:tcW w:w="2385" w:type="dxa"/>
            <w:tcBorders>
              <w:top w:val="nil"/>
              <w:left w:val="nil"/>
              <w:bottom w:val="single" w:sz="8" w:space="0" w:color="auto"/>
              <w:right w:val="single" w:sz="8" w:space="0" w:color="auto"/>
            </w:tcBorders>
            <w:shd w:val="clear" w:color="auto" w:fill="auto"/>
            <w:noWrap/>
            <w:vAlign w:val="center"/>
          </w:tcPr>
          <w:p w:rsidR="007E6EE4" w:rsidRPr="00E01970" w:rsidRDefault="007E6EE4" w:rsidP="00BB5514">
            <w:pPr>
              <w:overflowPunct/>
              <w:autoSpaceDE/>
              <w:autoSpaceDN/>
              <w:adjustRightInd/>
              <w:jc w:val="right"/>
              <w:textAlignment w:val="auto"/>
              <w:rPr>
                <w:rFonts w:ascii="Arial" w:hAnsi="Arial" w:cs="Arial"/>
              </w:rPr>
            </w:pPr>
            <w:r>
              <w:rPr>
                <w:rFonts w:ascii="Arial" w:hAnsi="Arial" w:cs="Arial"/>
              </w:rPr>
              <w:t>969</w:t>
            </w:r>
          </w:p>
        </w:tc>
        <w:tc>
          <w:tcPr>
            <w:tcW w:w="2418" w:type="dxa"/>
            <w:tcBorders>
              <w:top w:val="nil"/>
              <w:left w:val="nil"/>
              <w:bottom w:val="single" w:sz="8" w:space="0" w:color="auto"/>
              <w:right w:val="single" w:sz="8" w:space="0" w:color="auto"/>
            </w:tcBorders>
            <w:shd w:val="clear" w:color="auto" w:fill="auto"/>
            <w:noWrap/>
            <w:vAlign w:val="center"/>
          </w:tcPr>
          <w:p w:rsidR="007E6EE4" w:rsidRPr="00156AC5" w:rsidRDefault="005044A6" w:rsidP="006B699E">
            <w:pPr>
              <w:overflowPunct/>
              <w:autoSpaceDE/>
              <w:autoSpaceDN/>
              <w:adjustRightInd/>
              <w:jc w:val="right"/>
              <w:textAlignment w:val="auto"/>
              <w:rPr>
                <w:rFonts w:ascii="Arial" w:hAnsi="Arial" w:cs="Arial"/>
              </w:rPr>
            </w:pPr>
            <w:r w:rsidRPr="00156AC5">
              <w:rPr>
                <w:rFonts w:ascii="Arial" w:hAnsi="Arial" w:cs="Arial"/>
              </w:rPr>
              <w:t>0,39</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 xml:space="preserve">Prihodi od naknada i </w:t>
            </w:r>
            <w:r w:rsidR="00BC4AC0">
              <w:rPr>
                <w:rFonts w:ascii="Arial" w:hAnsi="Arial" w:cs="Arial"/>
              </w:rPr>
              <w:t>adm .</w:t>
            </w:r>
            <w:r w:rsidRPr="000045D3">
              <w:rPr>
                <w:rFonts w:ascii="Arial" w:hAnsi="Arial" w:cs="Arial"/>
              </w:rPr>
              <w:t>pristojbi</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31.190</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AB2676">
            <w:pPr>
              <w:overflowPunct/>
              <w:autoSpaceDE/>
              <w:autoSpaceDN/>
              <w:adjustRightInd/>
              <w:jc w:val="right"/>
              <w:textAlignment w:val="auto"/>
              <w:rPr>
                <w:rFonts w:ascii="Arial" w:hAnsi="Arial" w:cs="Arial"/>
              </w:rPr>
            </w:pPr>
            <w:r w:rsidRPr="00156AC5">
              <w:rPr>
                <w:rFonts w:ascii="Arial" w:hAnsi="Arial" w:cs="Arial"/>
              </w:rPr>
              <w:t>12,70</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Prihodi financijske imovine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1A684E" w:rsidP="00BB5514">
            <w:pPr>
              <w:overflowPunct/>
              <w:autoSpaceDE/>
              <w:autoSpaceDN/>
              <w:adjustRightInd/>
              <w:jc w:val="right"/>
              <w:textAlignment w:val="auto"/>
              <w:rPr>
                <w:rFonts w:ascii="Arial" w:hAnsi="Arial" w:cs="Arial"/>
              </w:rPr>
            </w:pPr>
            <w:r w:rsidRPr="00E01970">
              <w:rPr>
                <w:rFonts w:ascii="Arial" w:hAnsi="Arial" w:cs="Arial"/>
              </w:rPr>
              <w:t>2.723</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6B699E">
            <w:pPr>
              <w:overflowPunct/>
              <w:autoSpaceDE/>
              <w:autoSpaceDN/>
              <w:adjustRightInd/>
              <w:jc w:val="right"/>
              <w:textAlignment w:val="auto"/>
              <w:rPr>
                <w:rFonts w:ascii="Arial" w:hAnsi="Arial" w:cs="Arial"/>
              </w:rPr>
            </w:pPr>
            <w:r w:rsidRPr="00156AC5">
              <w:rPr>
                <w:rFonts w:ascii="Arial" w:hAnsi="Arial" w:cs="Arial"/>
              </w:rPr>
              <w:t>1,11</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340C7E" w:rsidP="000045D3">
            <w:pPr>
              <w:overflowPunct/>
              <w:autoSpaceDE/>
              <w:autoSpaceDN/>
              <w:adjustRightInd/>
              <w:textAlignment w:val="auto"/>
              <w:rPr>
                <w:rFonts w:ascii="Arial" w:hAnsi="Arial" w:cs="Arial"/>
              </w:rPr>
            </w:pPr>
            <w:r>
              <w:rPr>
                <w:rFonts w:ascii="Arial" w:hAnsi="Arial" w:cs="Arial"/>
              </w:rPr>
              <w:t>Komunalni doprinos</w:t>
            </w:r>
          </w:p>
        </w:tc>
        <w:tc>
          <w:tcPr>
            <w:tcW w:w="2385" w:type="dxa"/>
            <w:tcBorders>
              <w:top w:val="nil"/>
              <w:left w:val="nil"/>
              <w:bottom w:val="single" w:sz="8" w:space="0" w:color="auto"/>
              <w:right w:val="single" w:sz="8" w:space="0" w:color="auto"/>
            </w:tcBorders>
            <w:shd w:val="clear" w:color="auto" w:fill="auto"/>
            <w:noWrap/>
            <w:vAlign w:val="center"/>
          </w:tcPr>
          <w:p w:rsidR="000045D3" w:rsidRPr="00340C7E" w:rsidRDefault="00340C7E" w:rsidP="00BB5514">
            <w:pPr>
              <w:overflowPunct/>
              <w:autoSpaceDE/>
              <w:autoSpaceDN/>
              <w:adjustRightInd/>
              <w:jc w:val="right"/>
              <w:textAlignment w:val="auto"/>
              <w:rPr>
                <w:rFonts w:ascii="Arial" w:hAnsi="Arial" w:cs="Arial"/>
              </w:rPr>
            </w:pPr>
            <w:r w:rsidRPr="00340C7E">
              <w:rPr>
                <w:rFonts w:ascii="Arial" w:hAnsi="Arial" w:cs="Arial"/>
              </w:rPr>
              <w:t>15.287</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6F391C">
            <w:pPr>
              <w:overflowPunct/>
              <w:autoSpaceDE/>
              <w:autoSpaceDN/>
              <w:adjustRightInd/>
              <w:jc w:val="right"/>
              <w:textAlignment w:val="auto"/>
              <w:rPr>
                <w:rFonts w:ascii="Arial" w:hAnsi="Arial" w:cs="Arial"/>
              </w:rPr>
            </w:pPr>
            <w:r w:rsidRPr="00156AC5">
              <w:rPr>
                <w:rFonts w:ascii="Arial" w:hAnsi="Arial" w:cs="Arial"/>
              </w:rPr>
              <w:t>6,2</w:t>
            </w:r>
            <w:r w:rsidR="006F391C">
              <w:rPr>
                <w:rFonts w:ascii="Arial" w:hAnsi="Arial" w:cs="Arial"/>
              </w:rPr>
              <w:t>3</w:t>
            </w:r>
          </w:p>
        </w:tc>
      </w:tr>
      <w:tr w:rsidR="000045D3" w:rsidTr="0090643E">
        <w:trPr>
          <w:trHeight w:val="270"/>
        </w:trPr>
        <w:tc>
          <w:tcPr>
            <w:tcW w:w="3996" w:type="dxa"/>
            <w:tcBorders>
              <w:top w:val="nil"/>
              <w:left w:val="single" w:sz="8" w:space="0" w:color="auto"/>
              <w:bottom w:val="nil"/>
              <w:right w:val="single" w:sz="8" w:space="0" w:color="auto"/>
            </w:tcBorders>
            <w:shd w:val="clear" w:color="auto" w:fill="auto"/>
            <w:noWrap/>
            <w:vAlign w:val="center"/>
          </w:tcPr>
          <w:p w:rsidR="000045D3" w:rsidRPr="000045D3" w:rsidRDefault="000045D3" w:rsidP="00340C7E">
            <w:pPr>
              <w:overflowPunct/>
              <w:autoSpaceDE/>
              <w:autoSpaceDN/>
              <w:adjustRightInd/>
              <w:textAlignment w:val="auto"/>
              <w:rPr>
                <w:rFonts w:ascii="Arial" w:hAnsi="Arial" w:cs="Arial"/>
              </w:rPr>
            </w:pPr>
            <w:r w:rsidRPr="000045D3">
              <w:rPr>
                <w:rFonts w:ascii="Arial" w:hAnsi="Arial" w:cs="Arial"/>
              </w:rPr>
              <w:t>Komunaln</w:t>
            </w:r>
            <w:r w:rsidR="00340C7E">
              <w:rPr>
                <w:rFonts w:ascii="Arial" w:hAnsi="Arial" w:cs="Arial"/>
              </w:rPr>
              <w:t>a</w:t>
            </w:r>
            <w:r w:rsidRPr="000045D3">
              <w:rPr>
                <w:rFonts w:ascii="Arial" w:hAnsi="Arial" w:cs="Arial"/>
              </w:rPr>
              <w:t xml:space="preserve"> naknad</w:t>
            </w:r>
            <w:r w:rsidR="00340C7E">
              <w:rPr>
                <w:rFonts w:ascii="Arial" w:hAnsi="Arial" w:cs="Arial"/>
              </w:rPr>
              <w:t>a</w:t>
            </w:r>
          </w:p>
        </w:tc>
        <w:tc>
          <w:tcPr>
            <w:tcW w:w="2385" w:type="dxa"/>
            <w:tcBorders>
              <w:top w:val="nil"/>
              <w:left w:val="nil"/>
              <w:bottom w:val="nil"/>
              <w:right w:val="single" w:sz="8" w:space="0" w:color="auto"/>
            </w:tcBorders>
            <w:shd w:val="clear" w:color="auto" w:fill="auto"/>
            <w:noWrap/>
            <w:vAlign w:val="center"/>
          </w:tcPr>
          <w:p w:rsidR="000045D3" w:rsidRPr="00340C7E" w:rsidRDefault="00340C7E" w:rsidP="00BB5514">
            <w:pPr>
              <w:overflowPunct/>
              <w:autoSpaceDE/>
              <w:autoSpaceDN/>
              <w:adjustRightInd/>
              <w:jc w:val="right"/>
              <w:textAlignment w:val="auto"/>
              <w:rPr>
                <w:rFonts w:ascii="Arial" w:hAnsi="Arial" w:cs="Arial"/>
              </w:rPr>
            </w:pPr>
            <w:r w:rsidRPr="00340C7E">
              <w:rPr>
                <w:rFonts w:ascii="Arial" w:hAnsi="Arial" w:cs="Arial"/>
              </w:rPr>
              <w:t>40.458</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6F391C">
            <w:pPr>
              <w:overflowPunct/>
              <w:autoSpaceDE/>
              <w:autoSpaceDN/>
              <w:adjustRightInd/>
              <w:jc w:val="right"/>
              <w:textAlignment w:val="auto"/>
              <w:rPr>
                <w:rFonts w:ascii="Arial" w:hAnsi="Arial" w:cs="Arial"/>
              </w:rPr>
            </w:pPr>
            <w:r w:rsidRPr="00156AC5">
              <w:rPr>
                <w:rFonts w:ascii="Arial" w:hAnsi="Arial" w:cs="Arial"/>
              </w:rPr>
              <w:t>16,4</w:t>
            </w:r>
            <w:r w:rsidR="006F391C">
              <w:rPr>
                <w:rFonts w:ascii="Arial" w:hAnsi="Arial" w:cs="Arial"/>
              </w:rPr>
              <w:t>9</w:t>
            </w:r>
          </w:p>
        </w:tc>
      </w:tr>
      <w:tr w:rsidR="000045D3" w:rsidTr="0090643E">
        <w:trPr>
          <w:trHeight w:val="270"/>
        </w:trPr>
        <w:tc>
          <w:tcPr>
            <w:tcW w:w="39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Ostali prihodi</w:t>
            </w:r>
          </w:p>
        </w:tc>
        <w:tc>
          <w:tcPr>
            <w:tcW w:w="2385" w:type="dxa"/>
            <w:tcBorders>
              <w:top w:val="single" w:sz="8" w:space="0" w:color="auto"/>
              <w:left w:val="nil"/>
              <w:bottom w:val="single" w:sz="8" w:space="0" w:color="auto"/>
              <w:right w:val="single" w:sz="8" w:space="0" w:color="auto"/>
            </w:tcBorders>
            <w:shd w:val="clear" w:color="auto" w:fill="auto"/>
            <w:noWrap/>
            <w:vAlign w:val="center"/>
          </w:tcPr>
          <w:p w:rsidR="000045D3" w:rsidRPr="00C90AF4" w:rsidRDefault="007E6EE4" w:rsidP="00BB5514">
            <w:pPr>
              <w:overflowPunct/>
              <w:autoSpaceDE/>
              <w:autoSpaceDN/>
              <w:adjustRightInd/>
              <w:jc w:val="right"/>
              <w:textAlignment w:val="auto"/>
              <w:rPr>
                <w:rFonts w:ascii="Arial" w:hAnsi="Arial" w:cs="Arial"/>
                <w:color w:val="FF0000"/>
              </w:rPr>
            </w:pPr>
            <w:r w:rsidRPr="007E6EE4">
              <w:rPr>
                <w:rFonts w:ascii="Arial" w:hAnsi="Arial" w:cs="Arial"/>
              </w:rPr>
              <w:t>4.179</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6B699E">
            <w:pPr>
              <w:overflowPunct/>
              <w:autoSpaceDE/>
              <w:autoSpaceDN/>
              <w:adjustRightInd/>
              <w:jc w:val="right"/>
              <w:textAlignment w:val="auto"/>
              <w:rPr>
                <w:rFonts w:ascii="Arial" w:hAnsi="Arial" w:cs="Arial"/>
              </w:rPr>
            </w:pPr>
            <w:r w:rsidRPr="00156AC5">
              <w:rPr>
                <w:rFonts w:ascii="Arial" w:hAnsi="Arial" w:cs="Arial"/>
              </w:rPr>
              <w:t>1,70</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5C0900" w:rsidRDefault="000045D3" w:rsidP="000045D3">
            <w:pPr>
              <w:overflowPunct/>
              <w:autoSpaceDE/>
              <w:autoSpaceDN/>
              <w:adjustRightInd/>
              <w:textAlignment w:val="auto"/>
              <w:rPr>
                <w:rFonts w:ascii="Arial" w:hAnsi="Arial" w:cs="Arial"/>
                <w:b/>
              </w:rPr>
            </w:pPr>
            <w:r w:rsidRPr="005C0900">
              <w:rPr>
                <w:rFonts w:ascii="Arial" w:hAnsi="Arial" w:cs="Arial"/>
                <w:b/>
              </w:rPr>
              <w:t>Ukupno</w:t>
            </w:r>
          </w:p>
        </w:tc>
        <w:tc>
          <w:tcPr>
            <w:tcW w:w="2385" w:type="dxa"/>
            <w:tcBorders>
              <w:top w:val="nil"/>
              <w:left w:val="nil"/>
              <w:bottom w:val="single" w:sz="8" w:space="0" w:color="auto"/>
              <w:right w:val="single" w:sz="8" w:space="0" w:color="auto"/>
            </w:tcBorders>
            <w:shd w:val="clear" w:color="auto" w:fill="auto"/>
            <w:noWrap/>
            <w:vAlign w:val="center"/>
          </w:tcPr>
          <w:p w:rsidR="000045D3" w:rsidRPr="00C90AF4" w:rsidRDefault="007E6EE4" w:rsidP="00BB5514">
            <w:pPr>
              <w:overflowPunct/>
              <w:autoSpaceDE/>
              <w:autoSpaceDN/>
              <w:adjustRightInd/>
              <w:jc w:val="right"/>
              <w:textAlignment w:val="auto"/>
              <w:rPr>
                <w:rFonts w:ascii="Arial" w:hAnsi="Arial" w:cs="Arial"/>
                <w:color w:val="FF0000"/>
              </w:rPr>
            </w:pPr>
            <w:r w:rsidRPr="007E6EE4">
              <w:rPr>
                <w:rFonts w:ascii="Arial" w:hAnsi="Arial" w:cs="Arial"/>
              </w:rPr>
              <w:t>245.535</w:t>
            </w:r>
          </w:p>
        </w:tc>
        <w:tc>
          <w:tcPr>
            <w:tcW w:w="2418" w:type="dxa"/>
            <w:tcBorders>
              <w:top w:val="nil"/>
              <w:left w:val="nil"/>
              <w:bottom w:val="single" w:sz="8" w:space="0" w:color="auto"/>
              <w:right w:val="single" w:sz="8" w:space="0" w:color="auto"/>
            </w:tcBorders>
            <w:shd w:val="clear" w:color="auto" w:fill="auto"/>
            <w:noWrap/>
            <w:vAlign w:val="bottom"/>
          </w:tcPr>
          <w:p w:rsidR="000045D3" w:rsidRPr="00156AC5" w:rsidRDefault="00170851" w:rsidP="006B699E">
            <w:pPr>
              <w:overflowPunct/>
              <w:autoSpaceDE/>
              <w:autoSpaceDN/>
              <w:adjustRightInd/>
              <w:jc w:val="right"/>
              <w:textAlignment w:val="auto"/>
              <w:rPr>
                <w:rFonts w:ascii="Arial" w:hAnsi="Arial" w:cs="Arial"/>
              </w:rPr>
            </w:pPr>
            <w:r w:rsidRPr="00156AC5">
              <w:rPr>
                <w:rFonts w:ascii="Arial" w:hAnsi="Arial" w:cs="Arial"/>
              </w:rPr>
              <w:t>100,00</w:t>
            </w:r>
          </w:p>
        </w:tc>
      </w:tr>
      <w:tr w:rsidR="000045D3" w:rsidTr="0090643E">
        <w:trPr>
          <w:trHeight w:val="255"/>
        </w:trPr>
        <w:tc>
          <w:tcPr>
            <w:tcW w:w="3996"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rPr>
            </w:pPr>
          </w:p>
        </w:tc>
        <w:tc>
          <w:tcPr>
            <w:tcW w:w="2385"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rPr>
            </w:pPr>
          </w:p>
        </w:tc>
        <w:tc>
          <w:tcPr>
            <w:tcW w:w="2418" w:type="dxa"/>
            <w:tcBorders>
              <w:top w:val="nil"/>
              <w:left w:val="nil"/>
              <w:bottom w:val="nil"/>
              <w:right w:val="nil"/>
            </w:tcBorders>
            <w:shd w:val="clear" w:color="auto" w:fill="auto"/>
            <w:noWrap/>
            <w:vAlign w:val="bottom"/>
          </w:tcPr>
          <w:p w:rsidR="000045D3" w:rsidRPr="000045D3" w:rsidRDefault="000045D3" w:rsidP="000045D3">
            <w:pPr>
              <w:overflowPunct/>
              <w:autoSpaceDE/>
              <w:autoSpaceDN/>
              <w:adjustRightInd/>
              <w:jc w:val="center"/>
              <w:textAlignment w:val="auto"/>
              <w:rPr>
                <w:rFonts w:ascii="Arial" w:hAnsi="Arial" w:cs="Arial"/>
              </w:rPr>
            </w:pPr>
          </w:p>
        </w:tc>
      </w:tr>
    </w:tbl>
    <w:p w:rsidR="0090643E" w:rsidRDefault="0090643E" w:rsidP="002F43F9">
      <w:pPr>
        <w:pStyle w:val="Naslov2"/>
        <w:tabs>
          <w:tab w:val="clear" w:pos="-720"/>
          <w:tab w:val="clear" w:pos="1"/>
          <w:tab w:val="left" w:pos="1080"/>
        </w:tabs>
      </w:pPr>
    </w:p>
    <w:p w:rsidR="0090643E" w:rsidRDefault="0090643E" w:rsidP="002F43F9">
      <w:pPr>
        <w:pStyle w:val="Naslov2"/>
        <w:tabs>
          <w:tab w:val="clear" w:pos="-720"/>
          <w:tab w:val="clear" w:pos="1"/>
          <w:tab w:val="left" w:pos="1080"/>
        </w:tabs>
      </w:pPr>
      <w:r w:rsidRPr="0090643E">
        <w:rPr>
          <w:noProof/>
        </w:rPr>
        <w:drawing>
          <wp:inline distT="0" distB="0" distL="0" distR="0">
            <wp:extent cx="5734050" cy="3571875"/>
            <wp:effectExtent l="0" t="0" r="0" b="9525"/>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643E" w:rsidRDefault="0090643E" w:rsidP="002F43F9">
      <w:pPr>
        <w:pStyle w:val="Naslov2"/>
        <w:tabs>
          <w:tab w:val="clear" w:pos="-720"/>
          <w:tab w:val="clear" w:pos="1"/>
          <w:tab w:val="left" w:pos="1080"/>
        </w:tabs>
      </w:pPr>
    </w:p>
    <w:p w:rsidR="0090643E" w:rsidRDefault="003228B7" w:rsidP="0085527C">
      <w:pPr>
        <w:pStyle w:val="Naslov2"/>
        <w:tabs>
          <w:tab w:val="clear" w:pos="-720"/>
          <w:tab w:val="clear" w:pos="1"/>
          <w:tab w:val="left" w:pos="1080"/>
        </w:tabs>
      </w:pPr>
      <w:r>
        <w:tab/>
      </w:r>
    </w:p>
    <w:p w:rsidR="0090643E" w:rsidRDefault="0090643E" w:rsidP="0090643E"/>
    <w:p w:rsidR="0090643E" w:rsidRPr="0090643E" w:rsidRDefault="0090643E" w:rsidP="0090643E"/>
    <w:p w:rsidR="002F43F9" w:rsidRPr="00BD477B" w:rsidRDefault="001A5E91" w:rsidP="002F43F9">
      <w:pPr>
        <w:pStyle w:val="Naslov2"/>
        <w:tabs>
          <w:tab w:val="clear" w:pos="-720"/>
          <w:tab w:val="clear" w:pos="1"/>
          <w:tab w:val="left" w:pos="1080"/>
        </w:tabs>
      </w:pPr>
      <w:r>
        <w:tab/>
        <w:t xml:space="preserve">      </w:t>
      </w:r>
      <w:r w:rsidR="002F43F9" w:rsidRPr="00BD477B">
        <w:t xml:space="preserve">2. 3.  </w:t>
      </w:r>
      <w:r w:rsidR="00ED5745" w:rsidRPr="00BD477B">
        <w:t>Prihodi od prodaje nefinancijske imovine</w:t>
      </w:r>
      <w:r w:rsidR="00ED5745" w:rsidRPr="00BD477B">
        <w:rPr>
          <w:b w:val="0"/>
        </w:rPr>
        <w:t xml:space="preserve">                            </w:t>
      </w:r>
    </w:p>
    <w:p w:rsidR="0018059A" w:rsidRPr="00BD477B" w:rsidRDefault="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4"/>
        </w:rPr>
      </w:pPr>
    </w:p>
    <w:p w:rsidR="0018059A" w:rsidRPr="00C90AF4" w:rsidRDefault="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color w:val="FF0000"/>
          <w:sz w:val="24"/>
        </w:rPr>
      </w:pPr>
      <w:r w:rsidRPr="00BD477B">
        <w:rPr>
          <w:sz w:val="24"/>
        </w:rPr>
        <w:tab/>
      </w:r>
      <w:r w:rsidRPr="00BD477B">
        <w:rPr>
          <w:sz w:val="24"/>
        </w:rPr>
        <w:tab/>
        <w:t xml:space="preserve">Prihodi od prodaje nefinancijske imovine ostvareni su u iznosu od </w:t>
      </w:r>
      <w:r w:rsidR="00BD477B" w:rsidRPr="00BD477B">
        <w:rPr>
          <w:sz w:val="24"/>
        </w:rPr>
        <w:t>2.556.820</w:t>
      </w:r>
      <w:r w:rsidRPr="00BD477B">
        <w:rPr>
          <w:sz w:val="24"/>
        </w:rPr>
        <w:t xml:space="preserve"> kuna što j</w:t>
      </w:r>
      <w:r w:rsidRPr="009A4169">
        <w:rPr>
          <w:sz w:val="24"/>
        </w:rPr>
        <w:t>e za</w:t>
      </w:r>
      <w:r w:rsidR="00BD477B" w:rsidRPr="009A4169">
        <w:rPr>
          <w:sz w:val="24"/>
        </w:rPr>
        <w:t xml:space="preserve"> 41,45</w:t>
      </w:r>
      <w:r w:rsidR="00E7291E" w:rsidRPr="009A4169">
        <w:rPr>
          <w:sz w:val="24"/>
        </w:rPr>
        <w:t>%</w:t>
      </w:r>
      <w:r w:rsidRPr="009A4169">
        <w:rPr>
          <w:sz w:val="24"/>
        </w:rPr>
        <w:t xml:space="preserve"> </w:t>
      </w:r>
      <w:r w:rsidR="00BD477B" w:rsidRPr="009A4169">
        <w:rPr>
          <w:sz w:val="24"/>
        </w:rPr>
        <w:t xml:space="preserve">više </w:t>
      </w:r>
      <w:r w:rsidRPr="009A4169">
        <w:rPr>
          <w:sz w:val="24"/>
        </w:rPr>
        <w:t xml:space="preserve">od </w:t>
      </w:r>
      <w:r w:rsidR="00BD477B" w:rsidRPr="009A4169">
        <w:rPr>
          <w:sz w:val="24"/>
        </w:rPr>
        <w:t xml:space="preserve">ostvarenog u </w:t>
      </w:r>
      <w:r w:rsidRPr="009A4169">
        <w:rPr>
          <w:sz w:val="24"/>
        </w:rPr>
        <w:t xml:space="preserve"> 201</w:t>
      </w:r>
      <w:r w:rsidR="00BD477B" w:rsidRPr="009A4169">
        <w:rPr>
          <w:sz w:val="24"/>
        </w:rPr>
        <w:t>6</w:t>
      </w:r>
      <w:r w:rsidRPr="009A4169">
        <w:rPr>
          <w:sz w:val="24"/>
        </w:rPr>
        <w:t>. godin</w:t>
      </w:r>
      <w:r w:rsidR="00BD477B" w:rsidRPr="009A4169">
        <w:rPr>
          <w:sz w:val="24"/>
        </w:rPr>
        <w:t>i</w:t>
      </w:r>
      <w:r w:rsidRPr="009A4169">
        <w:rPr>
          <w:sz w:val="24"/>
        </w:rPr>
        <w:t>. Prihodi od prodaje</w:t>
      </w:r>
      <w:r w:rsidR="009A4169" w:rsidRPr="009A4169">
        <w:rPr>
          <w:sz w:val="24"/>
        </w:rPr>
        <w:t xml:space="preserve"> stambenih objekata </w:t>
      </w:r>
      <w:r w:rsidRPr="009A4169">
        <w:rPr>
          <w:sz w:val="24"/>
        </w:rPr>
        <w:t xml:space="preserve"> </w:t>
      </w:r>
      <w:r w:rsidR="00E7291E" w:rsidRPr="009A4169">
        <w:rPr>
          <w:sz w:val="24"/>
        </w:rPr>
        <w:t xml:space="preserve">nisu bili </w:t>
      </w:r>
      <w:r w:rsidRPr="009A4169">
        <w:rPr>
          <w:sz w:val="24"/>
        </w:rPr>
        <w:t>ostvareni su prema očekivanju</w:t>
      </w:r>
      <w:r w:rsidR="00E7291E" w:rsidRPr="009A4169">
        <w:rPr>
          <w:sz w:val="24"/>
        </w:rPr>
        <w:t xml:space="preserve"> (</w:t>
      </w:r>
      <w:r w:rsidR="009A4169" w:rsidRPr="009A4169">
        <w:rPr>
          <w:sz w:val="24"/>
        </w:rPr>
        <w:t>11.698.300</w:t>
      </w:r>
      <w:r w:rsidR="00E7291E" w:rsidRPr="009A4169">
        <w:rPr>
          <w:sz w:val="24"/>
        </w:rPr>
        <w:t xml:space="preserve"> kn bilo planirano, a ostvareno </w:t>
      </w:r>
      <w:r w:rsidR="009A4169" w:rsidRPr="009A4169">
        <w:rPr>
          <w:sz w:val="24"/>
        </w:rPr>
        <w:t>2.529.891</w:t>
      </w:r>
      <w:r w:rsidR="00E7291E" w:rsidRPr="009A4169">
        <w:rPr>
          <w:sz w:val="24"/>
        </w:rPr>
        <w:t xml:space="preserve"> kn</w:t>
      </w:r>
      <w:r w:rsidR="001B19A6" w:rsidRPr="009A4169">
        <w:rPr>
          <w:sz w:val="24"/>
        </w:rPr>
        <w:t xml:space="preserve">, odnosno </w:t>
      </w:r>
      <w:r w:rsidR="009A4169" w:rsidRPr="009A4169">
        <w:rPr>
          <w:sz w:val="24"/>
        </w:rPr>
        <w:t>21,62</w:t>
      </w:r>
      <w:r w:rsidR="001B19A6" w:rsidRPr="009A4169">
        <w:rPr>
          <w:sz w:val="24"/>
        </w:rPr>
        <w:t>%</w:t>
      </w:r>
      <w:r w:rsidR="00E7291E" w:rsidRPr="009A4169">
        <w:rPr>
          <w:sz w:val="24"/>
        </w:rPr>
        <w:t>)</w:t>
      </w:r>
      <w:r w:rsidR="009A4169" w:rsidRPr="009A4169">
        <w:rPr>
          <w:sz w:val="24"/>
        </w:rPr>
        <w:t>.  P</w:t>
      </w:r>
      <w:r w:rsidRPr="009A4169">
        <w:rPr>
          <w:sz w:val="24"/>
        </w:rPr>
        <w:t xml:space="preserve">rihodi od  prodaje  </w:t>
      </w:r>
      <w:r w:rsidR="009A4169" w:rsidRPr="009A4169">
        <w:rPr>
          <w:sz w:val="24"/>
        </w:rPr>
        <w:t xml:space="preserve">građevinskog zemljišta </w:t>
      </w:r>
      <w:r w:rsidRPr="009A4169">
        <w:rPr>
          <w:sz w:val="24"/>
        </w:rPr>
        <w:t xml:space="preserve">ostvareni su u </w:t>
      </w:r>
      <w:r w:rsidR="00E7291E" w:rsidRPr="009A4169">
        <w:rPr>
          <w:sz w:val="24"/>
        </w:rPr>
        <w:t xml:space="preserve">iznosu od </w:t>
      </w:r>
      <w:r w:rsidR="009A4169" w:rsidRPr="009A4169">
        <w:rPr>
          <w:sz w:val="24"/>
        </w:rPr>
        <w:t>26.929 kn, što čini ukupno ostvarenje prihoda od prodaje nefinancijske imovine od 2.556.820 kuna.</w:t>
      </w:r>
      <w:r w:rsidRPr="009A4169">
        <w:rPr>
          <w:sz w:val="24"/>
        </w:rPr>
        <w:t xml:space="preserve"> </w:t>
      </w:r>
    </w:p>
    <w:p w:rsidR="00A172FE" w:rsidRDefault="00A172FE" w:rsidP="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9646A" w:rsidRDefault="00757AEA" w:rsidP="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 </w:t>
      </w:r>
    </w:p>
    <w:p w:rsidR="00757AEA" w:rsidRDefault="00757AE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Tabl</w:t>
      </w:r>
      <w:r w:rsidR="001A44A2">
        <w:rPr>
          <w:b/>
          <w:sz w:val="24"/>
        </w:rPr>
        <w:t>ic</w:t>
      </w:r>
      <w:r>
        <w:rPr>
          <w:b/>
          <w:sz w:val="24"/>
        </w:rPr>
        <w:t xml:space="preserve">a br. </w:t>
      </w:r>
      <w:r w:rsidR="007053A8">
        <w:rPr>
          <w:b/>
          <w:sz w:val="24"/>
        </w:rPr>
        <w:t>1</w:t>
      </w:r>
      <w:r w:rsidR="00D817E7">
        <w:rPr>
          <w:b/>
          <w:sz w:val="24"/>
        </w:rPr>
        <w:t>2</w:t>
      </w:r>
      <w:r>
        <w:rPr>
          <w:b/>
          <w:sz w:val="24"/>
        </w:rPr>
        <w:t xml:space="preserve">    </w:t>
      </w:r>
      <w:r w:rsidR="0018059A" w:rsidRPr="0018059A">
        <w:rPr>
          <w:b/>
          <w:sz w:val="24"/>
        </w:rPr>
        <w:t xml:space="preserve">Prihodi od prodaje nefinancijske imovine                            </w:t>
      </w:r>
      <w:r>
        <w:rPr>
          <w:sz w:val="24"/>
        </w:rPr>
        <w:tab/>
      </w:r>
      <w:r>
        <w:rPr>
          <w:sz w:val="24"/>
        </w:rPr>
        <w:tab/>
      </w:r>
      <w:r>
        <w:rPr>
          <w:sz w:val="24"/>
        </w:rPr>
        <w:tab/>
        <w:t xml:space="preserve">                           </w:t>
      </w:r>
      <w:r w:rsidR="001A44A2">
        <w:rPr>
          <w:sz w:val="24"/>
        </w:rPr>
        <w:tab/>
      </w:r>
      <w:r w:rsidR="001A44A2">
        <w:rPr>
          <w:sz w:val="24"/>
        </w:rPr>
        <w:tab/>
      </w:r>
      <w:r w:rsidR="001A44A2">
        <w:rPr>
          <w:sz w:val="24"/>
        </w:rPr>
        <w:tab/>
      </w:r>
      <w:r w:rsidR="001A44A2">
        <w:rPr>
          <w:sz w:val="24"/>
        </w:rPr>
        <w:tab/>
      </w:r>
      <w:r w:rsidR="001A44A2">
        <w:rPr>
          <w:sz w:val="24"/>
        </w:rPr>
        <w:tab/>
      </w:r>
      <w:r w:rsidR="001A44A2">
        <w:rPr>
          <w:sz w:val="24"/>
        </w:rPr>
        <w:tab/>
      </w:r>
      <w:r w:rsidR="001A44A2">
        <w:rPr>
          <w:sz w:val="24"/>
        </w:rPr>
        <w:tab/>
      </w:r>
      <w:r>
        <w:rPr>
          <w:sz w:val="24"/>
        </w:rPr>
        <w:t xml:space="preserve"> </w:t>
      </w:r>
      <w:r w:rsidRPr="001A44A2">
        <w:rPr>
          <w:b/>
          <w:sz w:val="22"/>
          <w:szCs w:val="22"/>
        </w:rPr>
        <w:t>u 000 kuna</w:t>
      </w:r>
      <w:r w:rsidR="00D169AD">
        <w:t xml:space="preserve"> </w:t>
      </w:r>
    </w:p>
    <w:p w:rsidR="00757AEA" w:rsidRDefault="007921C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        </w:t>
      </w:r>
      <w:r w:rsidR="00EC6A75">
        <w:rPr>
          <w:sz w:val="24"/>
        </w:rPr>
        <w:t xml:space="preserve">                  </w:t>
      </w:r>
      <w:r>
        <w:rPr>
          <w:sz w:val="24"/>
        </w:rPr>
        <w:t xml:space="preserve"> (bez proračunskih korisnika)</w:t>
      </w:r>
    </w:p>
    <w:tbl>
      <w:tblPr>
        <w:tblW w:w="87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119"/>
        <w:gridCol w:w="1277"/>
        <w:gridCol w:w="1274"/>
        <w:gridCol w:w="1276"/>
        <w:gridCol w:w="851"/>
        <w:gridCol w:w="975"/>
      </w:tblGrid>
      <w:tr w:rsidR="00757AEA" w:rsidTr="004474C6">
        <w:trPr>
          <w:trHeight w:val="670"/>
        </w:trPr>
        <w:tc>
          <w:tcPr>
            <w:tcW w:w="3119"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lastRenderedPageBreak/>
              <w:t>Prihodi od prodaje nefinancijske imovine</w:t>
            </w:r>
          </w:p>
        </w:tc>
        <w:tc>
          <w:tcPr>
            <w:tcW w:w="1277"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Ostvarenje</w:t>
            </w:r>
          </w:p>
          <w:p w:rsidR="00757AEA" w:rsidRDefault="00757AEA" w:rsidP="00C90AF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20</w:t>
            </w:r>
            <w:r w:rsidR="003139F3">
              <w:rPr>
                <w:b/>
              </w:rPr>
              <w:t>1</w:t>
            </w:r>
            <w:r w:rsidR="00C90AF4">
              <w:rPr>
                <w:b/>
              </w:rPr>
              <w:t>6</w:t>
            </w:r>
            <w:r>
              <w:rPr>
                <w:b/>
              </w:rPr>
              <w:t>.</w:t>
            </w:r>
          </w:p>
        </w:tc>
        <w:tc>
          <w:tcPr>
            <w:tcW w:w="1274"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Plan</w:t>
            </w:r>
          </w:p>
          <w:p w:rsidR="00757AEA" w:rsidRDefault="00757AEA" w:rsidP="001324C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20</w:t>
            </w:r>
            <w:r w:rsidR="00E46356">
              <w:rPr>
                <w:b/>
              </w:rPr>
              <w:t>1</w:t>
            </w:r>
            <w:r w:rsidR="001324C6">
              <w:rPr>
                <w:b/>
              </w:rPr>
              <w:t>7</w:t>
            </w:r>
            <w:r>
              <w:rPr>
                <w:b/>
              </w:rPr>
              <w:t>.</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Ostvarenje</w:t>
            </w:r>
          </w:p>
          <w:p w:rsidR="00757AEA" w:rsidRDefault="00757AEA" w:rsidP="009863E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20</w:t>
            </w:r>
            <w:r w:rsidR="00E46356">
              <w:rPr>
                <w:b/>
              </w:rPr>
              <w:t>1</w:t>
            </w:r>
            <w:r w:rsidR="001324C6">
              <w:rPr>
                <w:b/>
              </w:rPr>
              <w:t>7</w:t>
            </w:r>
            <w:r>
              <w:rPr>
                <w:b/>
              </w:rPr>
              <w:t>.</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4/2</w:t>
            </w:r>
          </w:p>
        </w:tc>
        <w:tc>
          <w:tcPr>
            <w:tcW w:w="975"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4/3</w:t>
            </w:r>
          </w:p>
        </w:tc>
      </w:tr>
      <w:tr w:rsidR="00757AEA" w:rsidTr="004474C6">
        <w:trPr>
          <w:trHeight w:val="397"/>
        </w:trPr>
        <w:tc>
          <w:tcPr>
            <w:tcW w:w="3119"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1</w:t>
            </w:r>
          </w:p>
        </w:tc>
        <w:tc>
          <w:tcPr>
            <w:tcW w:w="1277"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2</w:t>
            </w:r>
          </w:p>
        </w:tc>
        <w:tc>
          <w:tcPr>
            <w:tcW w:w="1274"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3</w:t>
            </w:r>
          </w:p>
        </w:tc>
        <w:tc>
          <w:tcPr>
            <w:tcW w:w="1276"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4</w:t>
            </w:r>
          </w:p>
        </w:tc>
        <w:tc>
          <w:tcPr>
            <w:tcW w:w="851"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5</w:t>
            </w:r>
          </w:p>
        </w:tc>
        <w:tc>
          <w:tcPr>
            <w:tcW w:w="975" w:type="dxa"/>
            <w:tcBorders>
              <w:top w:val="single" w:sz="12" w:space="0" w:color="auto"/>
              <w:left w:val="single" w:sz="12" w:space="0" w:color="auto"/>
              <w:bottom w:val="single" w:sz="12" w:space="0" w:color="auto"/>
              <w:right w:val="single" w:sz="12" w:space="0" w:color="auto"/>
            </w:tcBorders>
            <w:vAlign w:val="center"/>
          </w:tcPr>
          <w:p w:rsidR="00757AEA" w:rsidRPr="00E16BEC"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E16BEC">
              <w:rPr>
                <w:sz w:val="22"/>
                <w:szCs w:val="22"/>
              </w:rPr>
              <w:t>6</w:t>
            </w:r>
          </w:p>
        </w:tc>
      </w:tr>
      <w:tr w:rsidR="000045D3" w:rsidTr="004474C6">
        <w:trPr>
          <w:trHeight w:val="540"/>
        </w:trPr>
        <w:tc>
          <w:tcPr>
            <w:tcW w:w="3119" w:type="dxa"/>
            <w:tcBorders>
              <w:top w:val="single" w:sz="12" w:space="0" w:color="auto"/>
              <w:left w:val="single" w:sz="12" w:space="0" w:color="auto"/>
              <w:bottom w:val="single" w:sz="12" w:space="0" w:color="auto"/>
              <w:right w:val="single" w:sz="12" w:space="0" w:color="auto"/>
            </w:tcBorders>
            <w:vAlign w:val="center"/>
          </w:tcPr>
          <w:p w:rsidR="000045D3" w:rsidRPr="000316B6" w:rsidRDefault="000045D3"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4"/>
              </w:rPr>
            </w:pPr>
            <w:r w:rsidRPr="000316B6">
              <w:rPr>
                <w:color w:val="000000" w:themeColor="text1"/>
                <w:sz w:val="24"/>
              </w:rPr>
              <w:t>Prodaja zemljišta</w:t>
            </w:r>
          </w:p>
        </w:tc>
        <w:tc>
          <w:tcPr>
            <w:tcW w:w="1277" w:type="dxa"/>
            <w:tcBorders>
              <w:top w:val="single" w:sz="12" w:space="0" w:color="auto"/>
              <w:left w:val="single" w:sz="12" w:space="0" w:color="auto"/>
              <w:bottom w:val="single" w:sz="12" w:space="0" w:color="auto"/>
              <w:right w:val="single" w:sz="12" w:space="0" w:color="auto"/>
            </w:tcBorders>
            <w:vAlign w:val="center"/>
          </w:tcPr>
          <w:p w:rsidR="000045D3" w:rsidRPr="000316B6" w:rsidRDefault="00C90AF4" w:rsidP="0045368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000000" w:themeColor="text1"/>
                <w:sz w:val="22"/>
                <w:szCs w:val="22"/>
              </w:rPr>
            </w:pPr>
            <w:r w:rsidRPr="000316B6">
              <w:rPr>
                <w:color w:val="000000" w:themeColor="text1"/>
                <w:sz w:val="22"/>
                <w:szCs w:val="22"/>
              </w:rPr>
              <w:t>415</w:t>
            </w:r>
          </w:p>
        </w:tc>
        <w:tc>
          <w:tcPr>
            <w:tcW w:w="1274" w:type="dxa"/>
            <w:tcBorders>
              <w:top w:val="single" w:sz="12" w:space="0" w:color="auto"/>
              <w:left w:val="single" w:sz="12" w:space="0" w:color="auto"/>
              <w:bottom w:val="single" w:sz="12" w:space="0" w:color="auto"/>
              <w:right w:val="single" w:sz="12" w:space="0" w:color="auto"/>
            </w:tcBorders>
            <w:vAlign w:val="center"/>
          </w:tcPr>
          <w:p w:rsidR="000045D3" w:rsidRPr="005F3C2E" w:rsidRDefault="009A416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5F3C2E">
              <w:rPr>
                <w:sz w:val="22"/>
                <w:szCs w:val="22"/>
              </w:rPr>
              <w:t>0</w:t>
            </w:r>
          </w:p>
        </w:tc>
        <w:tc>
          <w:tcPr>
            <w:tcW w:w="1276" w:type="dxa"/>
            <w:tcBorders>
              <w:top w:val="single" w:sz="12" w:space="0" w:color="auto"/>
              <w:left w:val="single" w:sz="12" w:space="0" w:color="auto"/>
              <w:bottom w:val="single" w:sz="12" w:space="0" w:color="auto"/>
              <w:right w:val="single" w:sz="12" w:space="0" w:color="auto"/>
            </w:tcBorders>
            <w:vAlign w:val="center"/>
          </w:tcPr>
          <w:p w:rsidR="000045D3" w:rsidRPr="000316B6" w:rsidRDefault="009A4169" w:rsidP="00C2084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000000" w:themeColor="text1"/>
                <w:sz w:val="22"/>
                <w:szCs w:val="22"/>
              </w:rPr>
            </w:pPr>
            <w:r>
              <w:rPr>
                <w:color w:val="000000" w:themeColor="text1"/>
                <w:sz w:val="22"/>
                <w:szCs w:val="22"/>
              </w:rPr>
              <w:t>26,93</w:t>
            </w:r>
          </w:p>
        </w:tc>
        <w:tc>
          <w:tcPr>
            <w:tcW w:w="851" w:type="dxa"/>
            <w:tcBorders>
              <w:top w:val="single" w:sz="12" w:space="0" w:color="auto"/>
              <w:left w:val="single" w:sz="12" w:space="0" w:color="auto"/>
              <w:bottom w:val="single" w:sz="12" w:space="0" w:color="auto"/>
              <w:right w:val="single" w:sz="12" w:space="0" w:color="auto"/>
            </w:tcBorders>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6,49</w:t>
            </w:r>
          </w:p>
        </w:tc>
        <w:tc>
          <w:tcPr>
            <w:tcW w:w="975" w:type="dxa"/>
            <w:tcBorders>
              <w:top w:val="single" w:sz="12" w:space="0" w:color="auto"/>
              <w:left w:val="single" w:sz="12" w:space="0" w:color="auto"/>
              <w:bottom w:val="single" w:sz="12" w:space="0" w:color="auto"/>
              <w:right w:val="single" w:sz="12" w:space="0" w:color="auto"/>
            </w:tcBorders>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0</w:t>
            </w:r>
          </w:p>
        </w:tc>
      </w:tr>
      <w:tr w:rsidR="000045D3" w:rsidTr="004474C6">
        <w:trPr>
          <w:trHeight w:val="690"/>
        </w:trPr>
        <w:tc>
          <w:tcPr>
            <w:tcW w:w="3119" w:type="dxa"/>
            <w:tcBorders>
              <w:top w:val="single" w:sz="12" w:space="0" w:color="auto"/>
              <w:left w:val="single" w:sz="12" w:space="0" w:color="auto"/>
              <w:bottom w:val="single" w:sz="12" w:space="0" w:color="auto"/>
              <w:right w:val="single" w:sz="12" w:space="0" w:color="auto"/>
            </w:tcBorders>
            <w:vAlign w:val="center"/>
          </w:tcPr>
          <w:p w:rsidR="000045D3" w:rsidRPr="00ED4665" w:rsidRDefault="000045D3"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D4665">
              <w:rPr>
                <w:sz w:val="24"/>
              </w:rPr>
              <w:t>Prodaja stanova na kojima postoji stanarsko pravo</w:t>
            </w:r>
          </w:p>
        </w:tc>
        <w:tc>
          <w:tcPr>
            <w:tcW w:w="1277" w:type="dxa"/>
            <w:tcBorders>
              <w:top w:val="single" w:sz="12" w:space="0" w:color="auto"/>
              <w:left w:val="single" w:sz="12" w:space="0" w:color="auto"/>
              <w:bottom w:val="single" w:sz="12" w:space="0" w:color="auto"/>
              <w:right w:val="single" w:sz="12" w:space="0" w:color="auto"/>
            </w:tcBorders>
            <w:vAlign w:val="center"/>
          </w:tcPr>
          <w:p w:rsidR="000045D3" w:rsidRPr="00ED4665" w:rsidRDefault="00C90AF4"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ED4665">
              <w:rPr>
                <w:sz w:val="22"/>
                <w:szCs w:val="22"/>
              </w:rPr>
              <w:t>1.392</w:t>
            </w:r>
          </w:p>
        </w:tc>
        <w:tc>
          <w:tcPr>
            <w:tcW w:w="1274" w:type="dxa"/>
            <w:tcBorders>
              <w:top w:val="single" w:sz="12" w:space="0" w:color="auto"/>
              <w:left w:val="single" w:sz="12" w:space="0" w:color="auto"/>
              <w:bottom w:val="single" w:sz="12" w:space="0" w:color="auto"/>
              <w:right w:val="single" w:sz="12" w:space="0" w:color="auto"/>
            </w:tcBorders>
            <w:vAlign w:val="center"/>
          </w:tcPr>
          <w:p w:rsidR="000045D3" w:rsidRPr="005F3C2E" w:rsidRDefault="009A416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5F3C2E">
              <w:rPr>
                <w:sz w:val="22"/>
                <w:szCs w:val="22"/>
              </w:rPr>
              <w:t>11.698</w:t>
            </w:r>
          </w:p>
        </w:tc>
        <w:tc>
          <w:tcPr>
            <w:tcW w:w="1276" w:type="dxa"/>
            <w:tcBorders>
              <w:top w:val="single" w:sz="12" w:space="0" w:color="auto"/>
              <w:left w:val="single" w:sz="12" w:space="0" w:color="auto"/>
              <w:bottom w:val="single" w:sz="12" w:space="0" w:color="auto"/>
              <w:right w:val="single" w:sz="12" w:space="0" w:color="auto"/>
            </w:tcBorders>
            <w:vAlign w:val="center"/>
          </w:tcPr>
          <w:p w:rsidR="000045D3" w:rsidRPr="00ED4665" w:rsidRDefault="009A416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2.530</w:t>
            </w:r>
          </w:p>
        </w:tc>
        <w:tc>
          <w:tcPr>
            <w:tcW w:w="851" w:type="dxa"/>
            <w:tcBorders>
              <w:top w:val="single" w:sz="12" w:space="0" w:color="auto"/>
              <w:left w:val="single" w:sz="12" w:space="0" w:color="auto"/>
              <w:bottom w:val="single" w:sz="12" w:space="0" w:color="auto"/>
              <w:right w:val="single" w:sz="12" w:space="0" w:color="auto"/>
            </w:tcBorders>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181,75</w:t>
            </w:r>
          </w:p>
        </w:tc>
        <w:tc>
          <w:tcPr>
            <w:tcW w:w="975" w:type="dxa"/>
            <w:tcBorders>
              <w:top w:val="single" w:sz="12" w:space="0" w:color="auto"/>
              <w:left w:val="single" w:sz="12" w:space="0" w:color="auto"/>
              <w:bottom w:val="single" w:sz="12" w:space="0" w:color="auto"/>
              <w:right w:val="single" w:sz="12" w:space="0" w:color="auto"/>
            </w:tcBorders>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21,62</w:t>
            </w:r>
          </w:p>
        </w:tc>
      </w:tr>
      <w:tr w:rsidR="000045D3" w:rsidTr="004474C6">
        <w:trPr>
          <w:trHeight w:val="531"/>
        </w:trPr>
        <w:tc>
          <w:tcPr>
            <w:tcW w:w="3119"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ED4665" w:rsidRDefault="000045D3"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D4665">
              <w:rPr>
                <w:sz w:val="24"/>
              </w:rPr>
              <w:t>U k u p n o</w:t>
            </w:r>
          </w:p>
        </w:tc>
        <w:tc>
          <w:tcPr>
            <w:tcW w:w="1277"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ED4665" w:rsidRDefault="00C90AF4" w:rsidP="00D911E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ED4665">
              <w:rPr>
                <w:sz w:val="22"/>
                <w:szCs w:val="22"/>
              </w:rPr>
              <w:t>1.807</w:t>
            </w:r>
          </w:p>
        </w:tc>
        <w:tc>
          <w:tcPr>
            <w:tcW w:w="1274"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5F3C2E" w:rsidRDefault="005F3C2E" w:rsidP="00A0175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5F3C2E">
              <w:rPr>
                <w:sz w:val="22"/>
                <w:szCs w:val="22"/>
              </w:rPr>
              <w:t>11.698</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ED4665" w:rsidRDefault="009A416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2.557</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141,50</w:t>
            </w:r>
          </w:p>
        </w:tc>
        <w:tc>
          <w:tcPr>
            <w:tcW w:w="975" w:type="dxa"/>
            <w:tcBorders>
              <w:top w:val="single" w:sz="12" w:space="0" w:color="auto"/>
              <w:left w:val="single" w:sz="12" w:space="0" w:color="auto"/>
              <w:bottom w:val="single" w:sz="12" w:space="0" w:color="auto"/>
              <w:right w:val="single" w:sz="12" w:space="0" w:color="auto"/>
            </w:tcBorders>
            <w:shd w:val="clear" w:color="auto" w:fill="FFFFFF"/>
            <w:vAlign w:val="center"/>
          </w:tcPr>
          <w:p w:rsidR="000045D3" w:rsidRPr="00470E49" w:rsidRDefault="00470E49"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70E49">
              <w:rPr>
                <w:sz w:val="22"/>
                <w:szCs w:val="22"/>
              </w:rPr>
              <w:t>21,86</w:t>
            </w:r>
          </w:p>
        </w:tc>
      </w:tr>
    </w:tbl>
    <w:p w:rsidR="00943733" w:rsidRDefault="008775B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Pr>
          <w:rFonts w:ascii="Times New" w:hAnsi="Times New"/>
          <w:b/>
          <w:sz w:val="24"/>
        </w:rPr>
        <w:tab/>
      </w:r>
      <w:r w:rsidR="009C59C9">
        <w:rPr>
          <w:rFonts w:ascii="Times New" w:hAnsi="Times New"/>
          <w:b/>
          <w:sz w:val="24"/>
        </w:rPr>
        <w:tab/>
      </w:r>
      <w:r w:rsidR="00943733">
        <w:rPr>
          <w:rFonts w:ascii="Times New" w:hAnsi="Times New"/>
          <w:b/>
          <w:sz w:val="24"/>
        </w:rPr>
        <w:t>2. 4. Primici od financijske imovine i zaduživanja</w:t>
      </w:r>
    </w:p>
    <w:p w:rsidR="00943733" w:rsidRDefault="001F35C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Pr>
          <w:rFonts w:ascii="Times New" w:hAnsi="Times New"/>
          <w:b/>
          <w:sz w:val="24"/>
        </w:rPr>
        <w:t xml:space="preserve"> </w:t>
      </w:r>
    </w:p>
    <w:p w:rsidR="005F1778" w:rsidRPr="00130DC4" w:rsidRDefault="0094373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color w:val="FF0000"/>
          <w:sz w:val="24"/>
        </w:rPr>
      </w:pPr>
      <w:r>
        <w:rPr>
          <w:rFonts w:ascii="Times New" w:hAnsi="Times New"/>
          <w:sz w:val="24"/>
        </w:rPr>
        <w:tab/>
      </w:r>
    </w:p>
    <w:p w:rsidR="005F1778" w:rsidRPr="00DC39E2" w:rsidRDefault="005F1778"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r w:rsidRPr="00DC39E2">
        <w:rPr>
          <w:rFonts w:ascii="Times New" w:hAnsi="Times New"/>
          <w:sz w:val="24"/>
        </w:rPr>
        <w:tab/>
        <w:t xml:space="preserve">Primljene otplate (povrati) glavnice danih zajmova planirane su iznosom od </w:t>
      </w:r>
      <w:r w:rsidR="00D36796" w:rsidRPr="00DC39E2">
        <w:rPr>
          <w:rFonts w:ascii="Times New" w:hAnsi="Times New"/>
          <w:sz w:val="24"/>
        </w:rPr>
        <w:t>55.</w:t>
      </w:r>
      <w:r w:rsidRPr="00DC39E2">
        <w:rPr>
          <w:rFonts w:ascii="Times New" w:hAnsi="Times New"/>
          <w:sz w:val="24"/>
        </w:rPr>
        <w:t xml:space="preserve">000 kn, a ostvareno je </w:t>
      </w:r>
      <w:r w:rsidR="00D36796" w:rsidRPr="00DC39E2">
        <w:rPr>
          <w:rFonts w:ascii="Times New" w:hAnsi="Times New"/>
          <w:sz w:val="24"/>
        </w:rPr>
        <w:t>94.533</w:t>
      </w:r>
      <w:r w:rsidRPr="00DC39E2">
        <w:rPr>
          <w:rFonts w:ascii="Times New" w:hAnsi="Times New"/>
          <w:sz w:val="24"/>
        </w:rPr>
        <w:t xml:space="preserve"> kuna odnosno</w:t>
      </w:r>
      <w:r w:rsidR="009A3082" w:rsidRPr="00DC39E2">
        <w:rPr>
          <w:rFonts w:ascii="Times New" w:hAnsi="Times New"/>
          <w:sz w:val="24"/>
        </w:rPr>
        <w:t xml:space="preserve"> </w:t>
      </w:r>
      <w:r w:rsidR="00D36796" w:rsidRPr="00DC39E2">
        <w:rPr>
          <w:rFonts w:ascii="Times New" w:hAnsi="Times New"/>
          <w:sz w:val="24"/>
        </w:rPr>
        <w:t>171,87</w:t>
      </w:r>
      <w:r w:rsidRPr="00DC39E2">
        <w:rPr>
          <w:rFonts w:ascii="Times New" w:hAnsi="Times New"/>
          <w:sz w:val="24"/>
        </w:rPr>
        <w:t xml:space="preserve">%. Tu su otplate kredita koji su dodijeljeni studentima </w:t>
      </w:r>
      <w:r w:rsidR="009A3082" w:rsidRPr="00DC39E2">
        <w:rPr>
          <w:rFonts w:ascii="Times New" w:hAnsi="Times New"/>
          <w:sz w:val="24"/>
        </w:rPr>
        <w:t>8</w:t>
      </w:r>
      <w:r w:rsidR="00D36796" w:rsidRPr="00DC39E2">
        <w:rPr>
          <w:rFonts w:ascii="Times New" w:hAnsi="Times New"/>
          <w:sz w:val="24"/>
        </w:rPr>
        <w:t>8</w:t>
      </w:r>
      <w:r w:rsidR="00637747">
        <w:rPr>
          <w:rFonts w:ascii="Times New" w:hAnsi="Times New"/>
          <w:sz w:val="24"/>
        </w:rPr>
        <w:t>.</w:t>
      </w:r>
      <w:r w:rsidR="00D36796" w:rsidRPr="00DC39E2">
        <w:rPr>
          <w:rFonts w:ascii="Times New" w:hAnsi="Times New"/>
          <w:sz w:val="24"/>
        </w:rPr>
        <w:t>860</w:t>
      </w:r>
      <w:r w:rsidRPr="00DC39E2">
        <w:rPr>
          <w:rFonts w:ascii="Times New" w:hAnsi="Times New"/>
          <w:sz w:val="24"/>
        </w:rPr>
        <w:t xml:space="preserve"> kn, te povrat</w:t>
      </w:r>
      <w:r w:rsidR="00637747">
        <w:rPr>
          <w:rFonts w:ascii="Times New" w:hAnsi="Times New"/>
          <w:sz w:val="24"/>
        </w:rPr>
        <w:t>i</w:t>
      </w:r>
      <w:r w:rsidRPr="00DC39E2">
        <w:rPr>
          <w:rFonts w:ascii="Times New" w:hAnsi="Times New"/>
          <w:sz w:val="24"/>
        </w:rPr>
        <w:t xml:space="preserve"> kredita dan</w:t>
      </w:r>
      <w:r w:rsidR="00637747">
        <w:rPr>
          <w:rFonts w:ascii="Times New" w:hAnsi="Times New"/>
          <w:sz w:val="24"/>
        </w:rPr>
        <w:t xml:space="preserve">ih obrtnicima ostvareni u iznosu od </w:t>
      </w:r>
      <w:r w:rsidRPr="00DC39E2">
        <w:rPr>
          <w:rFonts w:ascii="Times New" w:hAnsi="Times New"/>
          <w:sz w:val="24"/>
        </w:rPr>
        <w:t xml:space="preserve"> je </w:t>
      </w:r>
      <w:r w:rsidR="009A3082" w:rsidRPr="00DC39E2">
        <w:rPr>
          <w:rFonts w:ascii="Times New" w:hAnsi="Times New"/>
          <w:sz w:val="24"/>
        </w:rPr>
        <w:t>5.</w:t>
      </w:r>
      <w:r w:rsidR="00D36796" w:rsidRPr="00DC39E2">
        <w:rPr>
          <w:rFonts w:ascii="Times New" w:hAnsi="Times New"/>
          <w:sz w:val="24"/>
        </w:rPr>
        <w:t>673</w:t>
      </w:r>
      <w:r w:rsidRPr="00DC39E2">
        <w:rPr>
          <w:rFonts w:ascii="Times New" w:hAnsi="Times New"/>
          <w:sz w:val="24"/>
        </w:rPr>
        <w:t xml:space="preserve"> kuna.</w:t>
      </w:r>
    </w:p>
    <w:p w:rsidR="005F1778" w:rsidRPr="00130DC4" w:rsidRDefault="005F1778"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color w:val="FF0000"/>
          <w:sz w:val="24"/>
        </w:rPr>
      </w:pPr>
      <w:r w:rsidRPr="00130DC4">
        <w:rPr>
          <w:rFonts w:ascii="Times New" w:hAnsi="Times New"/>
          <w:color w:val="FF0000"/>
          <w:sz w:val="24"/>
        </w:rPr>
        <w:t xml:space="preserve"> </w:t>
      </w:r>
    </w:p>
    <w:p w:rsidR="003D02DE" w:rsidRPr="00130DC4" w:rsidRDefault="005F1778"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color w:val="FF0000"/>
          <w:sz w:val="24"/>
        </w:rPr>
      </w:pPr>
      <w:r w:rsidRPr="00130DC4">
        <w:rPr>
          <w:rFonts w:ascii="Times New" w:hAnsi="Times New"/>
          <w:color w:val="FF0000"/>
          <w:sz w:val="24"/>
        </w:rPr>
        <w:tab/>
      </w:r>
      <w:r w:rsidRPr="001E5568">
        <w:rPr>
          <w:rFonts w:ascii="Times New" w:hAnsi="Times New"/>
          <w:sz w:val="24"/>
        </w:rPr>
        <w:t>U 201</w:t>
      </w:r>
      <w:r w:rsidR="001E5568" w:rsidRPr="001E5568">
        <w:rPr>
          <w:rFonts w:ascii="Times New" w:hAnsi="Times New"/>
          <w:sz w:val="24"/>
        </w:rPr>
        <w:t>7</w:t>
      </w:r>
      <w:r w:rsidR="005829F5" w:rsidRPr="001E5568">
        <w:rPr>
          <w:rFonts w:ascii="Times New" w:hAnsi="Times New"/>
          <w:sz w:val="24"/>
        </w:rPr>
        <w:t>.</w:t>
      </w:r>
      <w:r w:rsidRPr="001E5568">
        <w:rPr>
          <w:rFonts w:ascii="Times New" w:hAnsi="Times New"/>
          <w:sz w:val="24"/>
        </w:rPr>
        <w:t xml:space="preserve"> godini </w:t>
      </w:r>
      <w:r w:rsidR="006939DC" w:rsidRPr="001E5568">
        <w:rPr>
          <w:rFonts w:ascii="Times New" w:hAnsi="Times New"/>
          <w:sz w:val="24"/>
        </w:rPr>
        <w:t>G</w:t>
      </w:r>
      <w:r w:rsidRPr="001E5568">
        <w:rPr>
          <w:rFonts w:ascii="Times New" w:hAnsi="Times New"/>
          <w:sz w:val="24"/>
        </w:rPr>
        <w:t xml:space="preserve">rad </w:t>
      </w:r>
      <w:r w:rsidR="001E5568">
        <w:rPr>
          <w:rFonts w:ascii="Times New" w:hAnsi="Times New"/>
          <w:sz w:val="24"/>
        </w:rPr>
        <w:t xml:space="preserve">Dubrovnik </w:t>
      </w:r>
      <w:r w:rsidRPr="001E5568">
        <w:rPr>
          <w:rFonts w:ascii="Times New" w:hAnsi="Times New"/>
          <w:sz w:val="24"/>
        </w:rPr>
        <w:t xml:space="preserve">se </w:t>
      </w:r>
      <w:r w:rsidR="001E5568" w:rsidRPr="001E5568">
        <w:rPr>
          <w:rFonts w:ascii="Times New" w:hAnsi="Times New"/>
          <w:sz w:val="24"/>
        </w:rPr>
        <w:t xml:space="preserve">nije kreditno </w:t>
      </w:r>
      <w:r w:rsidRPr="001E5568">
        <w:rPr>
          <w:rFonts w:ascii="Times New" w:hAnsi="Times New"/>
          <w:sz w:val="24"/>
        </w:rPr>
        <w:t>zaduži</w:t>
      </w:r>
      <w:r w:rsidR="00997AAF">
        <w:rPr>
          <w:rFonts w:ascii="Times New" w:hAnsi="Times New"/>
          <w:sz w:val="24"/>
        </w:rPr>
        <w:t>o</w:t>
      </w:r>
      <w:r w:rsidR="001E5568" w:rsidRPr="001E5568">
        <w:rPr>
          <w:rFonts w:ascii="Times New" w:hAnsi="Times New"/>
          <w:sz w:val="24"/>
        </w:rPr>
        <w:t xml:space="preserve">. </w:t>
      </w:r>
      <w:r w:rsidR="005829F5" w:rsidRPr="001E5568">
        <w:rPr>
          <w:rFonts w:ascii="Times New" w:hAnsi="Times New"/>
          <w:sz w:val="24"/>
        </w:rPr>
        <w:t xml:space="preserve"> </w:t>
      </w:r>
    </w:p>
    <w:p w:rsidR="00090256" w:rsidRDefault="00B86412" w:rsidP="00B86412">
      <w:pPr>
        <w:overflowPunct/>
        <w:autoSpaceDE/>
        <w:autoSpaceDN/>
        <w:adjustRightInd/>
        <w:jc w:val="both"/>
        <w:textAlignment w:val="auto"/>
        <w:rPr>
          <w:b/>
          <w:bCs/>
          <w:sz w:val="24"/>
          <w:szCs w:val="24"/>
        </w:rPr>
      </w:pPr>
      <w:r w:rsidRPr="00F3792C">
        <w:rPr>
          <w:b/>
          <w:bCs/>
          <w:sz w:val="24"/>
          <w:szCs w:val="24"/>
        </w:rPr>
        <w:t xml:space="preserve">       </w:t>
      </w:r>
    </w:p>
    <w:p w:rsidR="00B86412" w:rsidRDefault="00B86412" w:rsidP="00B86412">
      <w:pPr>
        <w:overflowPunct/>
        <w:autoSpaceDE/>
        <w:autoSpaceDN/>
        <w:adjustRightInd/>
        <w:jc w:val="both"/>
        <w:textAlignment w:val="auto"/>
        <w:rPr>
          <w:b/>
          <w:bCs/>
          <w:sz w:val="24"/>
          <w:szCs w:val="24"/>
        </w:rPr>
      </w:pPr>
      <w:r w:rsidRPr="00F3792C">
        <w:rPr>
          <w:b/>
          <w:bCs/>
          <w:sz w:val="24"/>
          <w:szCs w:val="24"/>
        </w:rPr>
        <w:t xml:space="preserve">       </w:t>
      </w:r>
    </w:p>
    <w:p w:rsidR="00090256" w:rsidRPr="008E0BDD" w:rsidRDefault="00090256" w:rsidP="00B86412">
      <w:pPr>
        <w:overflowPunct/>
        <w:autoSpaceDE/>
        <w:autoSpaceDN/>
        <w:adjustRightInd/>
        <w:jc w:val="both"/>
        <w:textAlignment w:val="auto"/>
        <w:rPr>
          <w:b/>
          <w:bCs/>
          <w:sz w:val="24"/>
          <w:szCs w:val="24"/>
        </w:rPr>
      </w:pPr>
    </w:p>
    <w:p w:rsidR="009A1E2C" w:rsidRPr="008E0BDD" w:rsidRDefault="001B063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sidRPr="008E0BDD">
        <w:rPr>
          <w:rFonts w:ascii="Times New" w:hAnsi="Times New"/>
          <w:b/>
          <w:sz w:val="24"/>
        </w:rPr>
        <w:tab/>
      </w:r>
      <w:r w:rsidR="009A1E2C" w:rsidRPr="008E0BDD">
        <w:rPr>
          <w:rFonts w:ascii="Times New" w:hAnsi="Times New"/>
          <w:b/>
          <w:sz w:val="24"/>
        </w:rPr>
        <w:t>2. 5. Preneseni višak pri</w:t>
      </w:r>
      <w:r w:rsidR="006A53FD" w:rsidRPr="008E0BDD">
        <w:rPr>
          <w:rFonts w:ascii="Times New" w:hAnsi="Times New"/>
          <w:b/>
          <w:sz w:val="24"/>
        </w:rPr>
        <w:t>h</w:t>
      </w:r>
      <w:r w:rsidR="009A1E2C" w:rsidRPr="008E0BDD">
        <w:rPr>
          <w:rFonts w:ascii="Times New" w:hAnsi="Times New"/>
          <w:b/>
          <w:sz w:val="24"/>
        </w:rPr>
        <w:t xml:space="preserve">oda </w:t>
      </w:r>
      <w:r w:rsidR="006A53FD" w:rsidRPr="008E0BDD">
        <w:rPr>
          <w:rFonts w:ascii="Times New" w:hAnsi="Times New"/>
          <w:b/>
          <w:sz w:val="24"/>
        </w:rPr>
        <w:t>iz</w:t>
      </w:r>
      <w:r w:rsidR="009A1E2C" w:rsidRPr="008E0BDD">
        <w:rPr>
          <w:rFonts w:ascii="Times New" w:hAnsi="Times New"/>
          <w:b/>
          <w:sz w:val="24"/>
        </w:rPr>
        <w:t xml:space="preserve"> 20</w:t>
      </w:r>
      <w:r w:rsidR="00DC507A" w:rsidRPr="008E0BDD">
        <w:rPr>
          <w:rFonts w:ascii="Times New" w:hAnsi="Times New"/>
          <w:b/>
          <w:sz w:val="24"/>
        </w:rPr>
        <w:t>1</w:t>
      </w:r>
      <w:r w:rsidR="00130DC4" w:rsidRPr="008E0BDD">
        <w:rPr>
          <w:rFonts w:ascii="Times New" w:hAnsi="Times New"/>
          <w:b/>
          <w:sz w:val="24"/>
        </w:rPr>
        <w:t>6</w:t>
      </w:r>
      <w:r w:rsidR="009A1E2C" w:rsidRPr="008E0BDD">
        <w:rPr>
          <w:rFonts w:ascii="Times New" w:hAnsi="Times New"/>
          <w:b/>
          <w:sz w:val="24"/>
        </w:rPr>
        <w:t>. godin</w:t>
      </w:r>
      <w:r w:rsidR="006A53FD" w:rsidRPr="008E0BDD">
        <w:rPr>
          <w:rFonts w:ascii="Times New" w:hAnsi="Times New"/>
          <w:b/>
          <w:sz w:val="24"/>
        </w:rPr>
        <w:t>e</w:t>
      </w:r>
    </w:p>
    <w:p w:rsidR="00090256" w:rsidRPr="008E0BDD" w:rsidRDefault="0009025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4549E1" w:rsidRPr="008E0BDD"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750162"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r w:rsidRPr="008E0BDD">
        <w:rPr>
          <w:rFonts w:ascii="Times New" w:hAnsi="Times New"/>
          <w:sz w:val="24"/>
        </w:rPr>
        <w:tab/>
        <w:t>Preneseni višak prihoda iz 2016.</w:t>
      </w:r>
      <w:r w:rsidR="00750162" w:rsidRPr="008E0BDD">
        <w:rPr>
          <w:rFonts w:ascii="Times New" w:hAnsi="Times New"/>
          <w:sz w:val="24"/>
        </w:rPr>
        <w:t xml:space="preserve"> </w:t>
      </w:r>
      <w:r w:rsidRPr="008E0BDD">
        <w:rPr>
          <w:rFonts w:ascii="Times New" w:hAnsi="Times New"/>
          <w:sz w:val="24"/>
        </w:rPr>
        <w:t>godine raspoloživ u 2017. iznosio je</w:t>
      </w:r>
      <w:r w:rsidR="00750162" w:rsidRPr="008E0BDD">
        <w:rPr>
          <w:rFonts w:ascii="Times New" w:hAnsi="Times New"/>
          <w:sz w:val="24"/>
        </w:rPr>
        <w:t xml:space="preserve"> ukupno </w:t>
      </w:r>
      <w:r w:rsidRPr="008E0BDD">
        <w:rPr>
          <w:rFonts w:ascii="Times New" w:hAnsi="Times New"/>
          <w:sz w:val="24"/>
        </w:rPr>
        <w:t xml:space="preserve"> 3.335.772 kn.</w:t>
      </w:r>
      <w:r w:rsidR="00750162" w:rsidRPr="008E0BDD">
        <w:rPr>
          <w:rFonts w:ascii="Times New" w:hAnsi="Times New"/>
          <w:sz w:val="24"/>
        </w:rPr>
        <w:t xml:space="preserve"> </w:t>
      </w:r>
      <w:r w:rsidRPr="008E0BDD">
        <w:rPr>
          <w:rFonts w:ascii="Times New" w:hAnsi="Times New"/>
          <w:sz w:val="24"/>
        </w:rPr>
        <w:t>Višak Grada Dubrovnika iznosio je 3.122.621 kn i isti je tijekom 2017. godine utrošen sukladno Odluci o raspodjeli financijskog –</w:t>
      </w:r>
      <w:r w:rsidR="00EA341A" w:rsidRPr="008E0BDD">
        <w:rPr>
          <w:rFonts w:ascii="Times New" w:hAnsi="Times New"/>
          <w:sz w:val="24"/>
        </w:rPr>
        <w:t xml:space="preserve"> </w:t>
      </w:r>
      <w:r w:rsidRPr="008E0BDD">
        <w:rPr>
          <w:rFonts w:ascii="Times New" w:hAnsi="Times New"/>
          <w:sz w:val="24"/>
        </w:rPr>
        <w:t>rezultata iz 2016. godine</w:t>
      </w:r>
      <w:r w:rsidR="00750162" w:rsidRPr="008E0BDD">
        <w:rPr>
          <w:rFonts w:ascii="Times New" w:hAnsi="Times New"/>
          <w:sz w:val="24"/>
        </w:rPr>
        <w:t xml:space="preserve">. </w:t>
      </w:r>
    </w:p>
    <w:p w:rsidR="008E0BDD" w:rsidRPr="008E0BDD" w:rsidRDefault="008E0BD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4549E1" w:rsidRPr="008E0BDD" w:rsidRDefault="001D1E5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r w:rsidRPr="008E0BDD">
        <w:rPr>
          <w:rFonts w:ascii="Times New" w:hAnsi="Times New"/>
          <w:sz w:val="24"/>
        </w:rPr>
        <w:tab/>
        <w:t xml:space="preserve">Kod viška </w:t>
      </w:r>
      <w:r w:rsidR="008E0BDD">
        <w:rPr>
          <w:rFonts w:ascii="Times New" w:hAnsi="Times New"/>
          <w:sz w:val="24"/>
        </w:rPr>
        <w:t xml:space="preserve">prihoda </w:t>
      </w:r>
      <w:r w:rsidRPr="008E0BDD">
        <w:rPr>
          <w:rFonts w:ascii="Times New" w:hAnsi="Times New"/>
          <w:sz w:val="24"/>
        </w:rPr>
        <w:t>proračunskih korisnika prenesenih iz 2016. godine, došlo je do korekcije prvotno utvrđenog financijskog rezultata (sukladno zakonskim odredbama),</w:t>
      </w:r>
      <w:r w:rsidR="00EA341A" w:rsidRPr="008E0BDD">
        <w:rPr>
          <w:rFonts w:ascii="Times New" w:hAnsi="Times New"/>
          <w:sz w:val="24"/>
        </w:rPr>
        <w:t xml:space="preserve"> </w:t>
      </w:r>
      <w:r w:rsidRPr="008E0BDD">
        <w:rPr>
          <w:rFonts w:ascii="Times New" w:hAnsi="Times New"/>
          <w:sz w:val="24"/>
        </w:rPr>
        <w:t>te je u konačnici u 2017.</w:t>
      </w:r>
      <w:r w:rsidR="00EA341A" w:rsidRPr="008E0BDD">
        <w:rPr>
          <w:rFonts w:ascii="Times New" w:hAnsi="Times New"/>
          <w:sz w:val="24"/>
        </w:rPr>
        <w:t xml:space="preserve"> </w:t>
      </w:r>
      <w:r w:rsidRPr="008E0BDD">
        <w:rPr>
          <w:rFonts w:ascii="Times New" w:hAnsi="Times New"/>
          <w:sz w:val="24"/>
        </w:rPr>
        <w:t>isti iz</w:t>
      </w:r>
      <w:r w:rsidR="008E0BDD">
        <w:rPr>
          <w:rFonts w:ascii="Times New" w:hAnsi="Times New"/>
          <w:sz w:val="24"/>
        </w:rPr>
        <w:t xml:space="preserve">nosio 213.151 kunu i </w:t>
      </w:r>
      <w:r w:rsidR="00473CF9" w:rsidRPr="008E0BDD">
        <w:rPr>
          <w:rFonts w:ascii="Times New" w:hAnsi="Times New"/>
          <w:sz w:val="24"/>
        </w:rPr>
        <w:t>bio utrošen sukladno odlukama njihovih upravnih vijeća i školskih odbora.</w:t>
      </w:r>
    </w:p>
    <w:p w:rsidR="004549E1"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4549E1"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4549E1"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F1749C" w:rsidRPr="001338E1" w:rsidRDefault="00F174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F1749C" w:rsidRDefault="00F174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EC1AFC" w:rsidRPr="00214C61" w:rsidRDefault="00EC1AF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ED78F6" w:rsidRPr="00214C61" w:rsidRDefault="00214C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r w:rsidRPr="00214C61">
        <w:rPr>
          <w:rFonts w:ascii="Times New" w:hAnsi="Times New"/>
          <w:sz w:val="24"/>
        </w:rPr>
        <w:t xml:space="preserve">       </w:t>
      </w:r>
    </w:p>
    <w:p w:rsidR="00AD2597" w:rsidRDefault="00AD259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AD2597" w:rsidRDefault="00AD259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AD2597" w:rsidRDefault="00C132A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Pr>
          <w:rFonts w:ascii="Times New" w:hAnsi="Times New"/>
          <w:b/>
          <w:sz w:val="24"/>
        </w:rPr>
        <w:t xml:space="preserve"> </w:t>
      </w:r>
    </w:p>
    <w:p w:rsidR="001B063F" w:rsidRDefault="001B063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1B063F" w:rsidRDefault="001B063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1B063F" w:rsidRDefault="001B063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D4FDF" w:rsidRDefault="009D4F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D4FDF" w:rsidRDefault="009D4F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D4FDF" w:rsidRDefault="009D4F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507E99" w:rsidRDefault="00507E9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507E99" w:rsidRDefault="00507E9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643E" w:rsidRDefault="009064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643E" w:rsidRDefault="009064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643E" w:rsidRDefault="009064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643E" w:rsidRDefault="009064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643E" w:rsidRDefault="009064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8B432D" w:rsidRDefault="008B432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8B432D" w:rsidRDefault="008B432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85527C"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Pr>
          <w:rFonts w:ascii="Times New" w:hAnsi="Times New"/>
          <w:b/>
          <w:sz w:val="24"/>
        </w:rPr>
        <w:tab/>
      </w:r>
    </w:p>
    <w:p w:rsidR="00171874" w:rsidRPr="0085527C" w:rsidRDefault="00171874" w:rsidP="0085527C">
      <w:pPr>
        <w:pStyle w:val="Odlomakpopisa"/>
        <w:numPr>
          <w:ilvl w:val="0"/>
          <w:numId w:val="4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sidRPr="0085527C">
        <w:rPr>
          <w:rFonts w:ascii="Times New" w:hAnsi="Times New"/>
          <w:b/>
          <w:sz w:val="24"/>
        </w:rPr>
        <w:t>R A S H O D I  -  TROŠKOVI  POSLOVANJA</w:t>
      </w:r>
    </w:p>
    <w:p w:rsidR="0085527C" w:rsidRPr="0085527C" w:rsidRDefault="0085527C" w:rsidP="0085527C">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w:hAnsi="Times New"/>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Poslovna događanja u proračunu svrstavaju se u skupine prema njihovim srodnim ekonomskim obilježjima. Da bi dobili na kvaliteti informacije izdaci se klasificiraju po glavnim obilježjima u više skupina. Potrebno je naglasiti da  rashodi predstavljaju smanjenja ekonomskih koristi u obliku smanjenja imovine ili povećanja obveza.</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Prema zakonskoj regulativi rashodi se temeljno klasificiraju na rashode poslovanja i rashode za nabavu nefinancijske imovine.</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Rashodi poslovanja klasificiraju se na rashode za zaposlene, materijalne rashode, financijske rashode, subvencije, pomoći, naknade, donacije i ostale rashode.</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Rashodi za nabavu nefinancijske imovine klasificiraju se po vrstama nabavljene nefinancijske imovine.</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 </w:t>
      </w:r>
      <w:r>
        <w:rPr>
          <w:sz w:val="24"/>
        </w:rPr>
        <w:tab/>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U Općem dijelu proračuna, planirani izdaci proračuna iskazani su sintetički po skupinama, a u Posebnom dijelu te skupine dijele se analitički po kontima, odnosno iskazuju se po mjestu troška. U ovom dijelu obrazložit će se  Opći dio, dok su obrazloženje Proračuna u Posebnom dijelu sa ostvarenjem izdataka, dal</w:t>
      </w:r>
      <w:r w:rsidR="003E34AA">
        <w:rPr>
          <w:sz w:val="24"/>
        </w:rPr>
        <w:t xml:space="preserve">i pročelnici upravnih odjela </w:t>
      </w:r>
      <w:r>
        <w:rPr>
          <w:sz w:val="24"/>
        </w:rPr>
        <w:t xml:space="preserve"> u pisanoj formi. Tu su detaljno opisane sve aktivnosti na pojedinim programima, projektima i aktivnostima i isti čine sastavni dio ovog obrazloženja. Ta obrazloženja trebala bi se osvrnuti na misiju, godišnje ciljeve, ekonomsku klasifikaciju, izvore financiranja, povezanost projekta sa prethodnim razdobljima.  </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D009C" w:rsidRPr="008B432D"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8B432D">
        <w:rPr>
          <w:sz w:val="24"/>
        </w:rPr>
        <w:tab/>
        <w:t xml:space="preserve">S namjerom da uspostavi pravodobnu kontrolu prihoda i rashoda i uskladi prihode sa rashodima gradska uprava zadnjih godina </w:t>
      </w:r>
      <w:r w:rsidR="005D009C" w:rsidRPr="008B432D">
        <w:rPr>
          <w:sz w:val="24"/>
        </w:rPr>
        <w:t>u svim upravnim odjelima imenovala je osobu zaduženu za praćenje prihoda</w:t>
      </w:r>
      <w:r w:rsidR="004D3346" w:rsidRPr="008B432D">
        <w:rPr>
          <w:sz w:val="24"/>
        </w:rPr>
        <w:t xml:space="preserve"> i</w:t>
      </w:r>
      <w:r w:rsidR="005D009C" w:rsidRPr="008B432D">
        <w:rPr>
          <w:sz w:val="24"/>
        </w:rPr>
        <w:t xml:space="preserve"> primitaka (po izvorima prihoda), </w:t>
      </w:r>
      <w:r w:rsidR="00D121A9" w:rsidRPr="008B432D">
        <w:rPr>
          <w:sz w:val="24"/>
        </w:rPr>
        <w:t xml:space="preserve">te </w:t>
      </w:r>
      <w:r w:rsidR="005D009C" w:rsidRPr="008B432D">
        <w:rPr>
          <w:sz w:val="24"/>
        </w:rPr>
        <w:t>rashoda i izdataka unutar svo</w:t>
      </w:r>
      <w:r w:rsidR="00D121A9" w:rsidRPr="008B432D">
        <w:rPr>
          <w:sz w:val="24"/>
        </w:rPr>
        <w:t>g</w:t>
      </w:r>
      <w:r w:rsidR="005D009C" w:rsidRPr="008B432D">
        <w:rPr>
          <w:sz w:val="24"/>
        </w:rPr>
        <w:t xml:space="preserve"> upravnog odjela.  Ovi financijski djelatnici u svoje proračunske razdjele unose planove program</w:t>
      </w:r>
      <w:r w:rsidR="00D121A9" w:rsidRPr="008B432D">
        <w:rPr>
          <w:sz w:val="24"/>
        </w:rPr>
        <w:t>e</w:t>
      </w:r>
      <w:r w:rsidR="005D009C" w:rsidRPr="008B432D">
        <w:rPr>
          <w:sz w:val="24"/>
        </w:rPr>
        <w:t>, projekt</w:t>
      </w:r>
      <w:r w:rsidR="00D121A9" w:rsidRPr="008B432D">
        <w:rPr>
          <w:sz w:val="24"/>
        </w:rPr>
        <w:t>e</w:t>
      </w:r>
      <w:r w:rsidR="005D009C" w:rsidRPr="008B432D">
        <w:rPr>
          <w:sz w:val="24"/>
        </w:rPr>
        <w:t xml:space="preserve"> i aktivnosti sa svim potrebnim podacima, a također prate</w:t>
      </w:r>
      <w:r w:rsidR="00D121A9" w:rsidRPr="008B432D">
        <w:rPr>
          <w:sz w:val="24"/>
        </w:rPr>
        <w:t xml:space="preserve"> i</w:t>
      </w:r>
      <w:r w:rsidR="005D009C" w:rsidRPr="008B432D">
        <w:rPr>
          <w:sz w:val="24"/>
        </w:rPr>
        <w:t xml:space="preserve">  izvršenje proračuna </w:t>
      </w:r>
      <w:r w:rsidR="00D121A9" w:rsidRPr="008B432D">
        <w:rPr>
          <w:sz w:val="24"/>
        </w:rPr>
        <w:t xml:space="preserve">iz </w:t>
      </w:r>
      <w:r w:rsidR="005D009C" w:rsidRPr="008B432D">
        <w:rPr>
          <w:sz w:val="24"/>
        </w:rPr>
        <w:t>svoj</w:t>
      </w:r>
      <w:r w:rsidR="00D121A9" w:rsidRPr="008B432D">
        <w:rPr>
          <w:sz w:val="24"/>
        </w:rPr>
        <w:t xml:space="preserve">e </w:t>
      </w:r>
      <w:r w:rsidR="005D009C" w:rsidRPr="008B432D">
        <w:rPr>
          <w:sz w:val="24"/>
        </w:rPr>
        <w:t>nadležnosti.</w:t>
      </w:r>
    </w:p>
    <w:p w:rsidR="0012221E" w:rsidRDefault="0012221E"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5D009C" w:rsidRDefault="0012221E"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r>
        <w:rPr>
          <w:color w:val="FF0000"/>
          <w:sz w:val="24"/>
        </w:rPr>
        <w:tab/>
      </w: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E627CA" w:rsidRDefault="00E627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5D009C" w:rsidRDefault="005D009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5D009C" w:rsidRDefault="005D009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B432D" w:rsidRDefault="008B432D"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B432D" w:rsidRDefault="008B432D"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B432D" w:rsidRDefault="008B432D"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8B432D"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 xml:space="preserve">  </w:t>
      </w:r>
      <w:r w:rsidR="00171874">
        <w:rPr>
          <w:b/>
          <w:sz w:val="24"/>
        </w:rPr>
        <w:t xml:space="preserve">Tablica broj 13    Rashodi i izdaci proračuna Grada Dubrovnika </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 xml:space="preserve">                 </w:t>
      </w:r>
      <w:r>
        <w:rPr>
          <w:sz w:val="24"/>
        </w:rPr>
        <w:t xml:space="preserve">             (zajedno sa proračunskim korisnicima) </w:t>
      </w:r>
      <w:r w:rsidRPr="007D61DC">
        <w:rPr>
          <w:b/>
        </w:rPr>
        <w:t>u 000 kuna</w:t>
      </w: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9"/>
        <w:gridCol w:w="1276"/>
        <w:gridCol w:w="1105"/>
        <w:gridCol w:w="1105"/>
        <w:gridCol w:w="967"/>
        <w:gridCol w:w="967"/>
      </w:tblGrid>
      <w:tr w:rsidR="00171874" w:rsidRPr="003E1331" w:rsidTr="004A750E">
        <w:trPr>
          <w:trHeight w:val="604"/>
        </w:trPr>
        <w:tc>
          <w:tcPr>
            <w:tcW w:w="3289"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E1331">
              <w:rPr>
                <w:b/>
                <w:sz w:val="22"/>
                <w:szCs w:val="22"/>
              </w:rPr>
              <w:t>RASHODI</w:t>
            </w:r>
          </w:p>
        </w:tc>
        <w:tc>
          <w:tcPr>
            <w:tcW w:w="1276" w:type="dxa"/>
            <w:shd w:val="clear" w:color="auto" w:fill="FFFFFF"/>
            <w:vAlign w:val="center"/>
          </w:tcPr>
          <w:p w:rsidR="00171874" w:rsidRPr="003E1331" w:rsidRDefault="004A750E" w:rsidP="004A750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 xml:space="preserve">Ostvarenje </w:t>
            </w:r>
            <w:r w:rsidR="00171874">
              <w:rPr>
                <w:b/>
                <w:sz w:val="18"/>
                <w:szCs w:val="18"/>
              </w:rPr>
              <w:t>201</w:t>
            </w:r>
            <w:r w:rsidR="00E41DC0">
              <w:rPr>
                <w:b/>
                <w:sz w:val="18"/>
                <w:szCs w:val="18"/>
              </w:rPr>
              <w:t>6</w:t>
            </w:r>
            <w:r w:rsidR="00171874" w:rsidRPr="003E1331">
              <w:rPr>
                <w:b/>
                <w:sz w:val="18"/>
                <w:szCs w:val="18"/>
              </w:rPr>
              <w:t>.</w:t>
            </w:r>
          </w:p>
        </w:tc>
        <w:tc>
          <w:tcPr>
            <w:tcW w:w="1105" w:type="dxa"/>
            <w:shd w:val="clear" w:color="auto" w:fill="FFFFFF"/>
          </w:tcPr>
          <w:p w:rsidR="00171874" w:rsidRDefault="00523CB0"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P</w:t>
            </w:r>
            <w:r w:rsidR="00171874">
              <w:rPr>
                <w:b/>
                <w:sz w:val="18"/>
                <w:szCs w:val="18"/>
              </w:rPr>
              <w:t>lan</w:t>
            </w:r>
          </w:p>
          <w:p w:rsidR="00171874"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 xml:space="preserve"> 2017.</w:t>
            </w:r>
          </w:p>
        </w:tc>
        <w:tc>
          <w:tcPr>
            <w:tcW w:w="1105"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Ostvarenje2017</w:t>
            </w:r>
            <w:r w:rsidRPr="003E1331">
              <w:rPr>
                <w:b/>
                <w:sz w:val="18"/>
                <w:szCs w:val="18"/>
              </w:rPr>
              <w:t>.</w:t>
            </w:r>
          </w:p>
        </w:tc>
        <w:tc>
          <w:tcPr>
            <w:tcW w:w="967"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4</w:t>
            </w:r>
            <w:r w:rsidRPr="003E1331">
              <w:rPr>
                <w:b/>
                <w:sz w:val="18"/>
                <w:szCs w:val="18"/>
              </w:rPr>
              <w:t>/2  inde</w:t>
            </w:r>
            <w:r>
              <w:rPr>
                <w:b/>
                <w:sz w:val="18"/>
                <w:szCs w:val="18"/>
              </w:rPr>
              <w:t>ks</w:t>
            </w:r>
          </w:p>
        </w:tc>
        <w:tc>
          <w:tcPr>
            <w:tcW w:w="967"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4</w:t>
            </w:r>
            <w:r w:rsidRPr="003E1331">
              <w:rPr>
                <w:b/>
                <w:sz w:val="18"/>
                <w:szCs w:val="18"/>
              </w:rPr>
              <w:t>/</w:t>
            </w:r>
            <w:r>
              <w:rPr>
                <w:b/>
                <w:sz w:val="18"/>
                <w:szCs w:val="18"/>
              </w:rPr>
              <w:t>3</w:t>
            </w:r>
            <w:r w:rsidRPr="003E1331">
              <w:rPr>
                <w:b/>
                <w:sz w:val="18"/>
                <w:szCs w:val="18"/>
              </w:rPr>
              <w:t xml:space="preserve">  inde</w:t>
            </w:r>
            <w:r>
              <w:rPr>
                <w:b/>
                <w:sz w:val="18"/>
                <w:szCs w:val="18"/>
              </w:rPr>
              <w:t>ks</w:t>
            </w:r>
          </w:p>
        </w:tc>
      </w:tr>
      <w:tr w:rsidR="00171874" w:rsidRPr="008B31A0" w:rsidTr="004A750E">
        <w:trPr>
          <w:trHeight w:val="368"/>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8B31A0">
              <w:rPr>
                <w:sz w:val="22"/>
                <w:szCs w:val="22"/>
              </w:rPr>
              <w:t>1</w:t>
            </w:r>
          </w:p>
        </w:tc>
        <w:tc>
          <w:tcPr>
            <w:tcW w:w="1276"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8B31A0">
              <w:rPr>
                <w:sz w:val="22"/>
                <w:szCs w:val="22"/>
              </w:rPr>
              <w:t>2</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3</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4</w:t>
            </w:r>
          </w:p>
        </w:tc>
        <w:tc>
          <w:tcPr>
            <w:tcW w:w="967"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5</w:t>
            </w:r>
          </w:p>
        </w:tc>
        <w:tc>
          <w:tcPr>
            <w:tcW w:w="967"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6</w:t>
            </w:r>
          </w:p>
        </w:tc>
      </w:tr>
      <w:tr w:rsidR="00171874" w:rsidRPr="008B31A0" w:rsidTr="004A750E">
        <w:trPr>
          <w:trHeight w:val="419"/>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Rashodi za zaposlene</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120.219</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125.085</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123.514</w:t>
            </w:r>
          </w:p>
        </w:tc>
        <w:tc>
          <w:tcPr>
            <w:tcW w:w="967" w:type="dxa"/>
            <w:vAlign w:val="center"/>
          </w:tcPr>
          <w:p w:rsidR="00171874" w:rsidRPr="00D03DE5" w:rsidRDefault="0047578F"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102,74</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D0FFE">
              <w:rPr>
                <w:sz w:val="22"/>
                <w:szCs w:val="22"/>
              </w:rPr>
              <w:t>98,</w:t>
            </w:r>
            <w:r w:rsidRPr="00D03DE5">
              <w:rPr>
                <w:sz w:val="22"/>
                <w:szCs w:val="22"/>
              </w:rPr>
              <w:t>74</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Materijalni rashodi</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141.300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143.265</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132.527</w:t>
            </w:r>
          </w:p>
        </w:tc>
        <w:tc>
          <w:tcPr>
            <w:tcW w:w="967" w:type="dxa"/>
            <w:vAlign w:val="center"/>
          </w:tcPr>
          <w:p w:rsidR="00171874" w:rsidRPr="00D03DE5" w:rsidRDefault="0047578F"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93,79</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92,50</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Financijski rashodi</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5.759</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8.064</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6.476</w:t>
            </w:r>
          </w:p>
        </w:tc>
        <w:tc>
          <w:tcPr>
            <w:tcW w:w="967" w:type="dxa"/>
            <w:vAlign w:val="center"/>
          </w:tcPr>
          <w:p w:rsidR="00171874" w:rsidRPr="00D03DE5" w:rsidRDefault="005E7D92"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112,45</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80,30</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 xml:space="preserve">Subvencije </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23.226</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24.968</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23.365</w:t>
            </w:r>
          </w:p>
        </w:tc>
        <w:tc>
          <w:tcPr>
            <w:tcW w:w="967" w:type="dxa"/>
            <w:vAlign w:val="center"/>
          </w:tcPr>
          <w:p w:rsidR="00171874" w:rsidRPr="00D03DE5" w:rsidRDefault="005E7D92"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100,60</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93,57</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Pomoći</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13.179</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21.393</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18.711</w:t>
            </w:r>
          </w:p>
        </w:tc>
        <w:tc>
          <w:tcPr>
            <w:tcW w:w="967" w:type="dxa"/>
            <w:vAlign w:val="center"/>
          </w:tcPr>
          <w:p w:rsidR="00171874" w:rsidRPr="00D03DE5" w:rsidRDefault="004F7D29"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141,98</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87,46</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Naknade građanima i kućanstvima</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20.881</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23.918</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23.106</w:t>
            </w:r>
          </w:p>
        </w:tc>
        <w:tc>
          <w:tcPr>
            <w:tcW w:w="967" w:type="dxa"/>
            <w:vAlign w:val="center"/>
          </w:tcPr>
          <w:p w:rsidR="00171874" w:rsidRPr="00D03DE5" w:rsidRDefault="004F7D29"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110,64</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96,60</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Donacije i ostali rashodi</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52.287</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53.043</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49.634</w:t>
            </w:r>
          </w:p>
        </w:tc>
        <w:tc>
          <w:tcPr>
            <w:tcW w:w="967" w:type="dxa"/>
            <w:vAlign w:val="center"/>
          </w:tcPr>
          <w:p w:rsidR="00171874" w:rsidRPr="00D03DE5" w:rsidRDefault="004F7D29"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94,93</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9</w:t>
            </w:r>
            <w:r>
              <w:rPr>
                <w:sz w:val="22"/>
                <w:szCs w:val="22"/>
              </w:rPr>
              <w:t>3</w:t>
            </w:r>
            <w:r w:rsidRPr="00D03DE5">
              <w:rPr>
                <w:sz w:val="22"/>
                <w:szCs w:val="22"/>
              </w:rPr>
              <w:t>,</w:t>
            </w:r>
            <w:r>
              <w:rPr>
                <w:sz w:val="22"/>
                <w:szCs w:val="22"/>
              </w:rPr>
              <w:t>57</w:t>
            </w:r>
          </w:p>
        </w:tc>
      </w:tr>
      <w:tr w:rsidR="00171874" w:rsidRPr="008B31A0" w:rsidTr="004A750E">
        <w:trPr>
          <w:trHeight w:val="34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Rashodi za nabavu ne</w:t>
            </w:r>
            <w:r>
              <w:rPr>
                <w:sz w:val="22"/>
                <w:szCs w:val="22"/>
              </w:rPr>
              <w:t xml:space="preserve"> </w:t>
            </w:r>
            <w:r w:rsidRPr="008B31A0">
              <w:rPr>
                <w:sz w:val="22"/>
                <w:szCs w:val="22"/>
              </w:rPr>
              <w:t>proizvedene imovine</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2.743</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1.472</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967" w:type="dxa"/>
            <w:vAlign w:val="center"/>
          </w:tcPr>
          <w:p w:rsidR="00171874" w:rsidRPr="00D03DE5" w:rsidRDefault="00F37C13"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0</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0</w:t>
            </w:r>
          </w:p>
        </w:tc>
      </w:tr>
      <w:tr w:rsidR="00171874" w:rsidRPr="008B31A0" w:rsidTr="004A750E">
        <w:trPr>
          <w:trHeight w:val="34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Rashodi za nabavu proizvedene dugotrajne imovine</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34.086</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24.790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15.214</w:t>
            </w:r>
          </w:p>
        </w:tc>
        <w:tc>
          <w:tcPr>
            <w:tcW w:w="967" w:type="dxa"/>
            <w:vAlign w:val="center"/>
          </w:tcPr>
          <w:p w:rsidR="00171874" w:rsidRPr="00D03DE5" w:rsidRDefault="00F37C13"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44,63</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61</w:t>
            </w:r>
            <w:r w:rsidRPr="00D03DE5">
              <w:rPr>
                <w:sz w:val="22"/>
                <w:szCs w:val="22"/>
              </w:rPr>
              <w:t>,</w:t>
            </w:r>
            <w:r>
              <w:rPr>
                <w:sz w:val="22"/>
                <w:szCs w:val="22"/>
              </w:rPr>
              <w:t>48</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Dodatna ulaganja na imovini</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16.550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8.315</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5.766</w:t>
            </w:r>
          </w:p>
        </w:tc>
        <w:tc>
          <w:tcPr>
            <w:tcW w:w="967" w:type="dxa"/>
            <w:vAlign w:val="center"/>
          </w:tcPr>
          <w:p w:rsidR="00171874" w:rsidRPr="00D03DE5" w:rsidRDefault="005F2E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34,84</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6</w:t>
            </w:r>
            <w:r>
              <w:rPr>
                <w:sz w:val="22"/>
                <w:szCs w:val="22"/>
              </w:rPr>
              <w:t>9</w:t>
            </w:r>
            <w:r w:rsidRPr="00D03DE5">
              <w:rPr>
                <w:sz w:val="22"/>
                <w:szCs w:val="22"/>
              </w:rPr>
              <w:t>,</w:t>
            </w:r>
            <w:r>
              <w:rPr>
                <w:sz w:val="22"/>
                <w:szCs w:val="22"/>
              </w:rPr>
              <w:t>34</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Izdaci za dane zajmove</w:t>
            </w:r>
          </w:p>
        </w:tc>
        <w:tc>
          <w:tcPr>
            <w:tcW w:w="1276" w:type="dxa"/>
            <w:vAlign w:val="center"/>
          </w:tcPr>
          <w:p w:rsidR="00171874" w:rsidRPr="008B31A0"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840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790</w:t>
            </w:r>
          </w:p>
        </w:tc>
        <w:tc>
          <w:tcPr>
            <w:tcW w:w="967" w:type="dxa"/>
            <w:vAlign w:val="center"/>
          </w:tcPr>
          <w:p w:rsidR="00171874" w:rsidRPr="00D03DE5" w:rsidRDefault="005F2E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0</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94.04</w:t>
            </w:r>
          </w:p>
        </w:tc>
      </w:tr>
      <w:tr w:rsidR="00171874" w:rsidRPr="008B31A0" w:rsidTr="004A750E">
        <w:trPr>
          <w:trHeight w:val="420"/>
        </w:trPr>
        <w:tc>
          <w:tcPr>
            <w:tcW w:w="3289"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Izdaci za dionice i udjele u glavnici</w:t>
            </w:r>
          </w:p>
        </w:tc>
        <w:tc>
          <w:tcPr>
            <w:tcW w:w="1276"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1105"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967" w:type="dxa"/>
            <w:vAlign w:val="center"/>
          </w:tcPr>
          <w:p w:rsidR="00171874" w:rsidRPr="00D03DE5" w:rsidRDefault="005F2E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0</w:t>
            </w:r>
          </w:p>
        </w:tc>
        <w:tc>
          <w:tcPr>
            <w:tcW w:w="967" w:type="dxa"/>
            <w:vAlign w:val="center"/>
          </w:tcPr>
          <w:p w:rsidR="00171874" w:rsidRPr="00D03DE5"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03DE5">
              <w:rPr>
                <w:sz w:val="22"/>
                <w:szCs w:val="22"/>
              </w:rPr>
              <w:t>0</w:t>
            </w:r>
          </w:p>
        </w:tc>
      </w:tr>
      <w:tr w:rsidR="00171874" w:rsidRPr="008B31A0" w:rsidTr="004A750E">
        <w:trPr>
          <w:trHeight w:val="420"/>
        </w:trPr>
        <w:tc>
          <w:tcPr>
            <w:tcW w:w="3289" w:type="dxa"/>
            <w:vAlign w:val="center"/>
          </w:tcPr>
          <w:p w:rsidR="00171874" w:rsidRPr="003B0937"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0937">
              <w:rPr>
                <w:sz w:val="22"/>
                <w:szCs w:val="22"/>
              </w:rPr>
              <w:t>Izdaci za otplatu glav. zajmova</w:t>
            </w:r>
          </w:p>
        </w:tc>
        <w:tc>
          <w:tcPr>
            <w:tcW w:w="1276" w:type="dxa"/>
            <w:vAlign w:val="center"/>
          </w:tcPr>
          <w:p w:rsidR="00171874" w:rsidRPr="003B0937"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24.441</w:t>
            </w:r>
          </w:p>
        </w:tc>
        <w:tc>
          <w:tcPr>
            <w:tcW w:w="1105" w:type="dxa"/>
            <w:vAlign w:val="center"/>
          </w:tcPr>
          <w:p w:rsidR="00171874" w:rsidRPr="003B0937"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3B0937">
              <w:rPr>
                <w:sz w:val="22"/>
                <w:szCs w:val="22"/>
              </w:rPr>
              <w:t>1</w:t>
            </w:r>
            <w:r>
              <w:rPr>
                <w:sz w:val="22"/>
                <w:szCs w:val="22"/>
              </w:rPr>
              <w:t>7</w:t>
            </w:r>
            <w:r w:rsidRPr="003B0937">
              <w:rPr>
                <w:sz w:val="22"/>
                <w:szCs w:val="22"/>
              </w:rPr>
              <w:t>.</w:t>
            </w:r>
            <w:r>
              <w:rPr>
                <w:sz w:val="22"/>
                <w:szCs w:val="22"/>
              </w:rPr>
              <w:t>281</w:t>
            </w:r>
          </w:p>
        </w:tc>
        <w:tc>
          <w:tcPr>
            <w:tcW w:w="1105" w:type="dxa"/>
            <w:vAlign w:val="center"/>
          </w:tcPr>
          <w:p w:rsidR="00171874" w:rsidRPr="003B0937"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3B0937">
              <w:rPr>
                <w:sz w:val="22"/>
                <w:szCs w:val="22"/>
              </w:rPr>
              <w:t>2</w:t>
            </w:r>
            <w:r>
              <w:rPr>
                <w:sz w:val="22"/>
                <w:szCs w:val="22"/>
              </w:rPr>
              <w:t>6</w:t>
            </w:r>
            <w:r w:rsidRPr="003B0937">
              <w:rPr>
                <w:sz w:val="22"/>
                <w:szCs w:val="22"/>
              </w:rPr>
              <w:t>.</w:t>
            </w:r>
            <w:r>
              <w:rPr>
                <w:sz w:val="22"/>
                <w:szCs w:val="22"/>
              </w:rPr>
              <w:t>486</w:t>
            </w:r>
          </w:p>
        </w:tc>
        <w:tc>
          <w:tcPr>
            <w:tcW w:w="967" w:type="dxa"/>
            <w:vAlign w:val="center"/>
          </w:tcPr>
          <w:p w:rsidR="00171874" w:rsidRPr="00DE45D8" w:rsidRDefault="005F2E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highlight w:val="yellow"/>
              </w:rPr>
            </w:pPr>
            <w:r w:rsidRPr="00EF4627">
              <w:rPr>
                <w:sz w:val="22"/>
                <w:szCs w:val="22"/>
              </w:rPr>
              <w:t>108,37</w:t>
            </w:r>
          </w:p>
        </w:tc>
        <w:tc>
          <w:tcPr>
            <w:tcW w:w="967" w:type="dxa"/>
            <w:vAlign w:val="center"/>
          </w:tcPr>
          <w:p w:rsidR="00171874" w:rsidRPr="00DE45D8"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highlight w:val="yellow"/>
              </w:rPr>
            </w:pPr>
            <w:r w:rsidRPr="00D03DE5">
              <w:rPr>
                <w:sz w:val="22"/>
                <w:szCs w:val="22"/>
              </w:rPr>
              <w:t>153,27</w:t>
            </w:r>
          </w:p>
        </w:tc>
      </w:tr>
      <w:tr w:rsidR="00171874" w:rsidRPr="008B31A0" w:rsidTr="004A750E">
        <w:trPr>
          <w:trHeight w:val="420"/>
        </w:trPr>
        <w:tc>
          <w:tcPr>
            <w:tcW w:w="3289" w:type="dxa"/>
            <w:shd w:val="clear" w:color="auto" w:fill="FFFFFF"/>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U k u p n o</w:t>
            </w:r>
          </w:p>
        </w:tc>
        <w:tc>
          <w:tcPr>
            <w:tcW w:w="1276" w:type="dxa"/>
            <w:shd w:val="clear" w:color="auto" w:fill="FFFFFF" w:themeFill="background1"/>
            <w:vAlign w:val="center"/>
          </w:tcPr>
          <w:p w:rsidR="00171874" w:rsidRPr="00DE45D8" w:rsidRDefault="004A750E"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highlight w:val="yellow"/>
              </w:rPr>
            </w:pPr>
            <w:r>
              <w:rPr>
                <w:sz w:val="22"/>
                <w:szCs w:val="22"/>
              </w:rPr>
              <w:t>454.671</w:t>
            </w:r>
          </w:p>
        </w:tc>
        <w:tc>
          <w:tcPr>
            <w:tcW w:w="1105" w:type="dxa"/>
            <w:shd w:val="clear" w:color="auto" w:fill="FFFFFF"/>
            <w:vAlign w:val="center"/>
          </w:tcPr>
          <w:p w:rsidR="00171874" w:rsidRPr="00DE45D8"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highlight w:val="yellow"/>
              </w:rPr>
            </w:pPr>
            <w:r w:rsidRPr="00675F6D">
              <w:rPr>
                <w:sz w:val="22"/>
                <w:szCs w:val="22"/>
              </w:rPr>
              <w:t>452.434</w:t>
            </w:r>
          </w:p>
        </w:tc>
        <w:tc>
          <w:tcPr>
            <w:tcW w:w="1105" w:type="dxa"/>
            <w:shd w:val="clear" w:color="auto" w:fill="FFFFFF"/>
            <w:vAlign w:val="center"/>
          </w:tcPr>
          <w:p w:rsidR="00171874" w:rsidRPr="00DC100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DC1002">
              <w:rPr>
                <w:sz w:val="22"/>
                <w:szCs w:val="22"/>
              </w:rPr>
              <w:t>425.5</w:t>
            </w:r>
            <w:r>
              <w:rPr>
                <w:sz w:val="22"/>
                <w:szCs w:val="22"/>
              </w:rPr>
              <w:t>89</w:t>
            </w:r>
          </w:p>
        </w:tc>
        <w:tc>
          <w:tcPr>
            <w:tcW w:w="967" w:type="dxa"/>
            <w:shd w:val="clear" w:color="auto" w:fill="FFFFFF"/>
            <w:vAlign w:val="center"/>
          </w:tcPr>
          <w:p w:rsidR="00171874" w:rsidRPr="00DC1002" w:rsidRDefault="00EF4627"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93,60</w:t>
            </w:r>
          </w:p>
        </w:tc>
        <w:tc>
          <w:tcPr>
            <w:tcW w:w="967" w:type="dxa"/>
            <w:shd w:val="clear" w:color="auto" w:fill="FFFFFF"/>
            <w:vAlign w:val="center"/>
          </w:tcPr>
          <w:p w:rsidR="00171874" w:rsidRPr="00DC100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DC1002">
              <w:rPr>
                <w:sz w:val="22"/>
                <w:szCs w:val="22"/>
              </w:rPr>
              <w:t>94,0</w:t>
            </w:r>
            <w:r>
              <w:rPr>
                <w:sz w:val="22"/>
                <w:szCs w:val="22"/>
              </w:rPr>
              <w:t>6</w:t>
            </w:r>
          </w:p>
        </w:tc>
      </w:tr>
    </w:tbl>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sidRPr="00B41B3C">
        <w:rPr>
          <w:sz w:val="24"/>
        </w:rPr>
        <w:t xml:space="preserve">Ostvarenje </w:t>
      </w:r>
      <w:r>
        <w:rPr>
          <w:sz w:val="24"/>
        </w:rPr>
        <w:t>ukupnih (konsolidiranih) rashoda Grada i proračunskih korisnika u 2017. bilo je za 5,94% manje u odnosu na plan, odnosno za 26,845 mili</w:t>
      </w:r>
      <w:r w:rsidR="007A249A">
        <w:rPr>
          <w:sz w:val="24"/>
        </w:rPr>
        <w:t>juna</w:t>
      </w:r>
      <w:r>
        <w:rPr>
          <w:sz w:val="24"/>
        </w:rPr>
        <w:t xml:space="preserve"> kuna. Najveća odstupanja rashoda u odnosu na plan imamo </w:t>
      </w:r>
      <w:r w:rsidRPr="009103F8">
        <w:rPr>
          <w:sz w:val="24"/>
        </w:rPr>
        <w:t xml:space="preserve">kod Rashoda </w:t>
      </w:r>
      <w:r>
        <w:rPr>
          <w:sz w:val="24"/>
        </w:rPr>
        <w:t xml:space="preserve"> </w:t>
      </w:r>
      <w:r w:rsidRPr="009103F8">
        <w:rPr>
          <w:sz w:val="24"/>
        </w:rPr>
        <w:t>za nabavu proizvedene dugotrajne imovine 61,87%</w:t>
      </w:r>
      <w:r>
        <w:rPr>
          <w:sz w:val="24"/>
        </w:rPr>
        <w:t xml:space="preserve"> u odnosu na plan, te dodatna ulaganja na imovini koja su bila ostvarena sa 68,83% u odnosu na planirana. </w:t>
      </w:r>
    </w:p>
    <w:p w:rsidR="00016C99" w:rsidRDefault="00016C99"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85527C" w:rsidRPr="00950829" w:rsidRDefault="00016C99"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50829">
        <w:rPr>
          <w:sz w:val="24"/>
        </w:rPr>
        <w:lastRenderedPageBreak/>
        <w:tab/>
      </w:r>
      <w:r w:rsidR="00171874" w:rsidRPr="00950829">
        <w:rPr>
          <w:sz w:val="24"/>
        </w:rPr>
        <w:t xml:space="preserve">Značajno odstupanje </w:t>
      </w:r>
      <w:r w:rsidRPr="00950829">
        <w:rPr>
          <w:sz w:val="24"/>
        </w:rPr>
        <w:t>vidljivo</w:t>
      </w:r>
      <w:r w:rsidR="00500273" w:rsidRPr="00950829">
        <w:rPr>
          <w:sz w:val="24"/>
        </w:rPr>
        <w:t xml:space="preserve"> je</w:t>
      </w:r>
      <w:r w:rsidRPr="00950829">
        <w:rPr>
          <w:sz w:val="24"/>
        </w:rPr>
        <w:t xml:space="preserve"> kod </w:t>
      </w:r>
      <w:r w:rsidR="00171874" w:rsidRPr="00950829">
        <w:rPr>
          <w:sz w:val="24"/>
        </w:rPr>
        <w:t>izda</w:t>
      </w:r>
      <w:r w:rsidRPr="00950829">
        <w:rPr>
          <w:sz w:val="24"/>
        </w:rPr>
        <w:t>taka</w:t>
      </w:r>
      <w:r w:rsidR="00171874" w:rsidRPr="00950829">
        <w:rPr>
          <w:sz w:val="24"/>
        </w:rPr>
        <w:t xml:space="preserve"> za otplatu glavnica zajmova, a do probijanja plana došlo je kod proračunskog korisnika Agencije za poticajnu stanogradnju</w:t>
      </w:r>
      <w:r w:rsidRPr="00950829">
        <w:rPr>
          <w:sz w:val="24"/>
        </w:rPr>
        <w:t>. Detaljne razloge istog dat će Agencija za poticajnu stanogradnju u svom godišnj</w:t>
      </w:r>
      <w:r w:rsidR="00500273" w:rsidRPr="00950829">
        <w:rPr>
          <w:sz w:val="24"/>
        </w:rPr>
        <w:t>e</w:t>
      </w:r>
      <w:r w:rsidRPr="00950829">
        <w:rPr>
          <w:sz w:val="24"/>
        </w:rPr>
        <w:t>m izvješću o poslovanju za 2017. godinu, a koje bi se kao jedna od t</w:t>
      </w:r>
      <w:r w:rsidR="00500273" w:rsidRPr="00950829">
        <w:rPr>
          <w:sz w:val="24"/>
        </w:rPr>
        <w:t>o</w:t>
      </w:r>
      <w:r w:rsidRPr="00950829">
        <w:rPr>
          <w:sz w:val="24"/>
        </w:rPr>
        <w:t xml:space="preserve">čaka  trebalo naći na nekoj od narednih sjednica Gradskog vijeća Grada Dubrovnika. </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sz w:val="24"/>
        </w:rPr>
        <w:tab/>
        <w:t>U nastavku izvješća slijedi prikaz ostvarenih rashoda Grada Dubrovnika u 2017. godini bez proračunskih korisnika, te usporedba istih s prethodnom 2016. godinom.</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5527C" w:rsidRDefault="0085527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5527C" w:rsidRDefault="0085527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532CA" w:rsidRDefault="001532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532CA" w:rsidRDefault="001532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 xml:space="preserve">Tablica br. 14  Rashodi i izdaci proračuna Grada Dubrovnika       </w:t>
      </w:r>
      <w:r>
        <w:rPr>
          <w:sz w:val="24"/>
        </w:rPr>
        <w:t xml:space="preserve">            </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(bez proračunskih korisnika)  u     000 kuna</w:t>
      </w:r>
    </w:p>
    <w:p w:rsidR="001532CA" w:rsidRDefault="001532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021"/>
        <w:gridCol w:w="1082"/>
        <w:gridCol w:w="960"/>
      </w:tblGrid>
      <w:tr w:rsidR="00171874" w:rsidRPr="00262684" w:rsidTr="00A50B63">
        <w:trPr>
          <w:trHeight w:val="604"/>
        </w:trPr>
        <w:tc>
          <w:tcPr>
            <w:tcW w:w="3544"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E1331">
              <w:rPr>
                <w:b/>
                <w:sz w:val="22"/>
                <w:szCs w:val="22"/>
              </w:rPr>
              <w:t>RASHODI</w:t>
            </w:r>
          </w:p>
        </w:tc>
        <w:tc>
          <w:tcPr>
            <w:tcW w:w="1021"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sidRPr="003E1331">
              <w:rPr>
                <w:b/>
                <w:sz w:val="18"/>
                <w:szCs w:val="18"/>
              </w:rPr>
              <w:t>Ostvar.</w:t>
            </w:r>
          </w:p>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sidRPr="003E1331">
              <w:rPr>
                <w:b/>
                <w:sz w:val="18"/>
                <w:szCs w:val="18"/>
              </w:rPr>
              <w:t xml:space="preserve"> 20</w:t>
            </w:r>
            <w:r>
              <w:rPr>
                <w:b/>
                <w:sz w:val="18"/>
                <w:szCs w:val="18"/>
              </w:rPr>
              <w:t>16</w:t>
            </w:r>
            <w:r w:rsidRPr="003E1331">
              <w:rPr>
                <w:b/>
                <w:sz w:val="18"/>
                <w:szCs w:val="18"/>
              </w:rPr>
              <w:t>.</w:t>
            </w:r>
          </w:p>
        </w:tc>
        <w:tc>
          <w:tcPr>
            <w:tcW w:w="1082" w:type="dxa"/>
            <w:shd w:val="clear" w:color="auto" w:fill="FFFFFF"/>
            <w:vAlign w:val="center"/>
          </w:tcPr>
          <w:p w:rsidR="00171874" w:rsidRPr="003E1331" w:rsidRDefault="00171874" w:rsidP="00A50B63">
            <w:pPr>
              <w:pStyle w:val="BodyText31"/>
              <w:rPr>
                <w:sz w:val="18"/>
                <w:szCs w:val="18"/>
              </w:rPr>
            </w:pPr>
            <w:r w:rsidRPr="003E1331">
              <w:rPr>
                <w:sz w:val="18"/>
                <w:szCs w:val="18"/>
              </w:rPr>
              <w:t>Ostvar.</w:t>
            </w:r>
          </w:p>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sidRPr="003E1331">
              <w:rPr>
                <w:b/>
                <w:sz w:val="18"/>
                <w:szCs w:val="18"/>
              </w:rPr>
              <w:t xml:space="preserve"> 20</w:t>
            </w:r>
            <w:r>
              <w:rPr>
                <w:b/>
                <w:sz w:val="18"/>
                <w:szCs w:val="18"/>
              </w:rPr>
              <w:t>17</w:t>
            </w:r>
            <w:r w:rsidRPr="003E1331">
              <w:rPr>
                <w:b/>
                <w:sz w:val="18"/>
                <w:szCs w:val="18"/>
              </w:rPr>
              <w:t>.</w:t>
            </w:r>
          </w:p>
        </w:tc>
        <w:tc>
          <w:tcPr>
            <w:tcW w:w="960" w:type="dxa"/>
            <w:shd w:val="clear" w:color="auto" w:fill="FFFFFF"/>
            <w:vAlign w:val="center"/>
          </w:tcPr>
          <w:p w:rsidR="00171874" w:rsidRPr="003E1331"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szCs w:val="18"/>
              </w:rPr>
            </w:pPr>
            <w:r>
              <w:rPr>
                <w:b/>
                <w:sz w:val="18"/>
                <w:szCs w:val="18"/>
              </w:rPr>
              <w:t>3</w:t>
            </w:r>
            <w:r w:rsidRPr="003E1331">
              <w:rPr>
                <w:b/>
                <w:sz w:val="18"/>
                <w:szCs w:val="18"/>
              </w:rPr>
              <w:t>/2  inde</w:t>
            </w:r>
            <w:r>
              <w:rPr>
                <w:b/>
                <w:sz w:val="18"/>
                <w:szCs w:val="18"/>
              </w:rPr>
              <w:t>ks</w:t>
            </w:r>
          </w:p>
        </w:tc>
      </w:tr>
      <w:tr w:rsidR="00171874" w:rsidRPr="008B31A0" w:rsidTr="00A50B63">
        <w:trPr>
          <w:trHeight w:val="455"/>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1</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2</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4D6BD2">
              <w:rPr>
                <w:sz w:val="22"/>
                <w:szCs w:val="22"/>
              </w:rPr>
              <w:t>3</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4</w:t>
            </w:r>
          </w:p>
        </w:tc>
      </w:tr>
      <w:tr w:rsidR="00171874" w:rsidRPr="008B31A0" w:rsidTr="00A50B63">
        <w:trPr>
          <w:trHeight w:val="419"/>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Rashodi za zaposlene</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118.383</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121.479</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102,6</w:t>
            </w:r>
            <w:r>
              <w:rPr>
                <w:sz w:val="22"/>
                <w:szCs w:val="22"/>
              </w:rPr>
              <w:t>2</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Materijalni rashodi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117.598</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108.31</w:t>
            </w:r>
            <w:r>
              <w:rPr>
                <w:sz w:val="22"/>
                <w:szCs w:val="22"/>
              </w:rPr>
              <w:t>7</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92,1</w:t>
            </w:r>
            <w:r>
              <w:rPr>
                <w:sz w:val="22"/>
                <w:szCs w:val="22"/>
              </w:rPr>
              <w:t>1</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Financijski rashodi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5.382</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6.232</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115,79</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 xml:space="preserve">Subvencije </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23.226</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23.364</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100,01</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Pomoći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13.900</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18.711</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134,61</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Naknade građanima i kućanstvima</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20.739</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22.943</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110,63</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Donacije i ostali rashodi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52.264</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49.56</w:t>
            </w:r>
            <w:r>
              <w:rPr>
                <w:sz w:val="22"/>
                <w:szCs w:val="22"/>
              </w:rPr>
              <w:t>7</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94,83</w:t>
            </w:r>
          </w:p>
        </w:tc>
      </w:tr>
      <w:tr w:rsidR="00171874" w:rsidRPr="008B31A0" w:rsidTr="00A50B63">
        <w:trPr>
          <w:trHeight w:val="34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Rashodi za nabavu ne</w:t>
            </w:r>
            <w:r>
              <w:rPr>
                <w:sz w:val="22"/>
                <w:szCs w:val="22"/>
              </w:rPr>
              <w:t xml:space="preserve"> </w:t>
            </w:r>
            <w:r w:rsidRPr="008B31A0">
              <w:rPr>
                <w:sz w:val="22"/>
                <w:szCs w:val="22"/>
              </w:rPr>
              <w:t>proizvedene imovine</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2.744</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0</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0</w:t>
            </w:r>
          </w:p>
        </w:tc>
      </w:tr>
      <w:tr w:rsidR="00171874" w:rsidRPr="008B31A0" w:rsidTr="00A50B63">
        <w:trPr>
          <w:trHeight w:val="34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w:t>
            </w:r>
            <w:r w:rsidRPr="008B31A0">
              <w:rPr>
                <w:sz w:val="22"/>
                <w:szCs w:val="22"/>
              </w:rPr>
              <w:t>Rashodi za nabavu proizvedene dugotrajne imovine</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30.235</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D6BD2">
              <w:rPr>
                <w:sz w:val="22"/>
                <w:szCs w:val="22"/>
              </w:rPr>
              <w:t xml:space="preserve">   12.392</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40,98</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Dodatna ulaganja na imovini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15.780</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3.693</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23,40</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Izdaci za dane zajmove</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790</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0</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Izdaci za dionice i udjele u glavnici</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0</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D6BD2">
              <w:rPr>
                <w:sz w:val="22"/>
                <w:szCs w:val="22"/>
              </w:rPr>
              <w:t>0</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0</w:t>
            </w:r>
          </w:p>
        </w:tc>
      </w:tr>
      <w:tr w:rsidR="00171874" w:rsidRPr="008B31A0" w:rsidTr="00A50B63">
        <w:trPr>
          <w:trHeight w:val="420"/>
        </w:trPr>
        <w:tc>
          <w:tcPr>
            <w:tcW w:w="3544"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B31A0">
              <w:rPr>
                <w:sz w:val="22"/>
                <w:szCs w:val="22"/>
              </w:rPr>
              <w:t>Izdaci za otplatu glav. zajmova</w:t>
            </w:r>
          </w:p>
        </w:tc>
        <w:tc>
          <w:tcPr>
            <w:tcW w:w="1021" w:type="dxa"/>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9.907</w:t>
            </w:r>
          </w:p>
        </w:tc>
        <w:tc>
          <w:tcPr>
            <w:tcW w:w="1082" w:type="dxa"/>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11.301</w:t>
            </w:r>
          </w:p>
        </w:tc>
        <w:tc>
          <w:tcPr>
            <w:tcW w:w="960" w:type="dxa"/>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114,07</w:t>
            </w:r>
          </w:p>
        </w:tc>
      </w:tr>
      <w:tr w:rsidR="00171874" w:rsidRPr="008B31A0" w:rsidTr="00A50B63">
        <w:trPr>
          <w:trHeight w:val="420"/>
        </w:trPr>
        <w:tc>
          <w:tcPr>
            <w:tcW w:w="3544" w:type="dxa"/>
            <w:shd w:val="clear" w:color="auto" w:fill="FFFFFF"/>
            <w:vAlign w:val="center"/>
          </w:tcPr>
          <w:p w:rsidR="00171874" w:rsidRPr="008B31A0"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8B31A0">
              <w:rPr>
                <w:sz w:val="22"/>
                <w:szCs w:val="22"/>
              </w:rPr>
              <w:t>U k u p n o</w:t>
            </w:r>
          </w:p>
        </w:tc>
        <w:tc>
          <w:tcPr>
            <w:tcW w:w="1021" w:type="dxa"/>
            <w:shd w:val="clear" w:color="auto" w:fill="FFFFFF"/>
            <w:vAlign w:val="center"/>
          </w:tcPr>
          <w:p w:rsidR="00171874" w:rsidRPr="003259D9"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410.158</w:t>
            </w:r>
          </w:p>
        </w:tc>
        <w:tc>
          <w:tcPr>
            <w:tcW w:w="1082" w:type="dxa"/>
            <w:shd w:val="clear" w:color="auto" w:fill="FFFFFF"/>
            <w:vAlign w:val="center"/>
          </w:tcPr>
          <w:p w:rsidR="00171874" w:rsidRPr="004D6BD2"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378.789</w:t>
            </w:r>
          </w:p>
        </w:tc>
        <w:tc>
          <w:tcPr>
            <w:tcW w:w="960" w:type="dxa"/>
            <w:shd w:val="clear" w:color="auto" w:fill="FFFFFF"/>
            <w:vAlign w:val="center"/>
          </w:tcPr>
          <w:p w:rsidR="00171874" w:rsidRPr="00955D1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55D13">
              <w:rPr>
                <w:sz w:val="22"/>
                <w:szCs w:val="22"/>
              </w:rPr>
              <w:t>92,35</w:t>
            </w:r>
          </w:p>
        </w:tc>
      </w:tr>
    </w:tbl>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ab/>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ab/>
      </w: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5527C" w:rsidRDefault="0085527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3F600A" w:rsidRDefault="003F600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5527C" w:rsidRDefault="0085527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C91AA9" w:rsidRDefault="00C91AA9"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Default="001532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 xml:space="preserve">                           </w:t>
      </w:r>
      <w:r w:rsidR="007E69D3">
        <w:rPr>
          <w:b/>
          <w:sz w:val="24"/>
        </w:rPr>
        <w:t>Rashodi i izdaci proračuna Grada Dubrovnika   u 000 kuna</w:t>
      </w:r>
    </w:p>
    <w:p w:rsidR="007E69D3"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7E69D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 xml:space="preserve">    </w:t>
      </w:r>
      <w:r w:rsidRPr="007E69D3">
        <w:rPr>
          <w:b/>
          <w:noProof/>
          <w:sz w:val="24"/>
        </w:rPr>
        <w:drawing>
          <wp:inline distT="0" distB="0" distL="0" distR="0">
            <wp:extent cx="5947410" cy="5419725"/>
            <wp:effectExtent l="19050" t="0" r="15240" b="0"/>
            <wp:docPr id="2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sz w:val="24"/>
        </w:rPr>
        <w:t xml:space="preserve">            </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Pr="00101458"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4"/>
        </w:rPr>
      </w:pPr>
      <w:r>
        <w:rPr>
          <w:b/>
          <w:sz w:val="24"/>
        </w:rPr>
        <w:lastRenderedPageBreak/>
        <w:t xml:space="preserve">      </w:t>
      </w:r>
      <w:r>
        <w:rPr>
          <w:b/>
          <w:sz w:val="24"/>
        </w:rPr>
        <w:tab/>
        <w:t xml:space="preserve">Rashodi za zaposlene </w:t>
      </w:r>
      <w:r w:rsidRPr="00CD7997">
        <w:rPr>
          <w:sz w:val="24"/>
        </w:rPr>
        <w:t xml:space="preserve">ostvareni su svotom </w:t>
      </w:r>
      <w:r>
        <w:rPr>
          <w:sz w:val="24"/>
        </w:rPr>
        <w:t>121.478.754</w:t>
      </w:r>
      <w:r w:rsidRPr="00CD7997">
        <w:rPr>
          <w:sz w:val="24"/>
        </w:rPr>
        <w:t xml:space="preserve"> kune. Povećanje u odnosu na prethodnu godinu iznosi </w:t>
      </w:r>
      <w:r>
        <w:rPr>
          <w:sz w:val="24"/>
        </w:rPr>
        <w:t>2</w:t>
      </w:r>
      <w:r w:rsidRPr="00CD7997">
        <w:rPr>
          <w:sz w:val="24"/>
        </w:rPr>
        <w:t>,</w:t>
      </w:r>
      <w:r>
        <w:rPr>
          <w:sz w:val="24"/>
        </w:rPr>
        <w:t>6</w:t>
      </w:r>
      <w:r w:rsidRPr="00CD7997">
        <w:rPr>
          <w:sz w:val="24"/>
        </w:rPr>
        <w:t>%</w:t>
      </w:r>
      <w:r>
        <w:rPr>
          <w:sz w:val="24"/>
        </w:rPr>
        <w:t>.</w:t>
      </w:r>
      <w:r>
        <w:rPr>
          <w:color w:val="FF0000"/>
          <w:sz w:val="24"/>
        </w:rPr>
        <w:t xml:space="preserve"> </w:t>
      </w:r>
      <w:r w:rsidRPr="00CD7997">
        <w:rPr>
          <w:sz w:val="24"/>
        </w:rPr>
        <w:t xml:space="preserve">Čine </w:t>
      </w:r>
      <w:r>
        <w:rPr>
          <w:sz w:val="24"/>
        </w:rPr>
        <w:t>32</w:t>
      </w:r>
      <w:r w:rsidRPr="000D193A">
        <w:rPr>
          <w:sz w:val="24"/>
        </w:rPr>
        <w:t>,</w:t>
      </w:r>
      <w:r>
        <w:rPr>
          <w:sz w:val="24"/>
        </w:rPr>
        <w:t>07</w:t>
      </w:r>
      <w:r w:rsidRPr="000D193A">
        <w:rPr>
          <w:sz w:val="24"/>
        </w:rPr>
        <w:t xml:space="preserve">% ukupnih rashoda.. </w:t>
      </w:r>
      <w:r w:rsidRPr="000D193A">
        <w:rPr>
          <w:b/>
          <w:sz w:val="24"/>
        </w:rPr>
        <w:t xml:space="preserve">  </w:t>
      </w:r>
    </w:p>
    <w:p w:rsidR="00171874" w:rsidRPr="00101458"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4"/>
        </w:rPr>
      </w:pPr>
    </w:p>
    <w:p w:rsidR="00171874" w:rsidRPr="00101458"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r>
        <w:rPr>
          <w:b/>
          <w:sz w:val="24"/>
        </w:rPr>
        <w:tab/>
        <w:t xml:space="preserve">Materijalne rashode </w:t>
      </w:r>
      <w:r w:rsidRPr="00E365B5">
        <w:rPr>
          <w:sz w:val="24"/>
        </w:rPr>
        <w:t xml:space="preserve">čine naknade troškova zaposlenima, rashodi za materijal i energiju, rashodi za usluge i ostali nespomenuti rashodi poslovanja. Ostvareni su svotom od </w:t>
      </w:r>
      <w:r>
        <w:rPr>
          <w:sz w:val="24"/>
        </w:rPr>
        <w:t>108.316.590 kn</w:t>
      </w:r>
      <w:r w:rsidRPr="00101458">
        <w:rPr>
          <w:color w:val="FF0000"/>
          <w:sz w:val="24"/>
        </w:rPr>
        <w:t xml:space="preserve"> </w:t>
      </w:r>
      <w:r w:rsidRPr="00E365B5">
        <w:rPr>
          <w:sz w:val="24"/>
        </w:rPr>
        <w:t xml:space="preserve">i  za </w:t>
      </w:r>
      <w:r>
        <w:rPr>
          <w:sz w:val="24"/>
        </w:rPr>
        <w:t>7</w:t>
      </w:r>
      <w:r w:rsidRPr="00E365B5">
        <w:rPr>
          <w:sz w:val="24"/>
        </w:rPr>
        <w:t>,</w:t>
      </w:r>
      <w:r>
        <w:rPr>
          <w:sz w:val="24"/>
        </w:rPr>
        <w:t>9</w:t>
      </w:r>
      <w:r w:rsidRPr="00E365B5">
        <w:rPr>
          <w:sz w:val="24"/>
        </w:rPr>
        <w:t xml:space="preserve"> %</w:t>
      </w:r>
      <w:r>
        <w:rPr>
          <w:sz w:val="24"/>
        </w:rPr>
        <w:t xml:space="preserve"> su manji</w:t>
      </w:r>
      <w:r w:rsidRPr="00E365B5">
        <w:rPr>
          <w:sz w:val="24"/>
        </w:rPr>
        <w:t xml:space="preserve">  od  ostvarenih u prethodnoj godini. Iznose 28,</w:t>
      </w:r>
      <w:r>
        <w:rPr>
          <w:sz w:val="24"/>
        </w:rPr>
        <w:t>6</w:t>
      </w:r>
      <w:r w:rsidRPr="00E365B5">
        <w:rPr>
          <w:sz w:val="24"/>
        </w:rPr>
        <w:t xml:space="preserve"> % ukupnih </w:t>
      </w:r>
      <w:r>
        <w:rPr>
          <w:sz w:val="24"/>
        </w:rPr>
        <w:t xml:space="preserve">gradskih </w:t>
      </w:r>
      <w:r w:rsidRPr="00E365B5">
        <w:rPr>
          <w:sz w:val="24"/>
        </w:rPr>
        <w:t>rashoda.</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BF2B0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b/>
          <w:sz w:val="24"/>
        </w:rPr>
        <w:tab/>
        <w:t xml:space="preserve">Financijski rashodi </w:t>
      </w:r>
      <w:r w:rsidRPr="007315A4">
        <w:rPr>
          <w:sz w:val="24"/>
        </w:rPr>
        <w:t>ostvareni su u iznosu od</w:t>
      </w:r>
      <w:r>
        <w:rPr>
          <w:sz w:val="24"/>
        </w:rPr>
        <w:t xml:space="preserve">  6</w:t>
      </w:r>
      <w:r w:rsidRPr="007315A4">
        <w:rPr>
          <w:sz w:val="24"/>
        </w:rPr>
        <w:t>.</w:t>
      </w:r>
      <w:r>
        <w:rPr>
          <w:sz w:val="24"/>
        </w:rPr>
        <w:t>231</w:t>
      </w:r>
      <w:r w:rsidRPr="007315A4">
        <w:rPr>
          <w:sz w:val="24"/>
        </w:rPr>
        <w:t>.</w:t>
      </w:r>
      <w:r>
        <w:rPr>
          <w:sz w:val="24"/>
        </w:rPr>
        <w:t>953</w:t>
      </w:r>
      <w:r w:rsidRPr="007315A4">
        <w:rPr>
          <w:sz w:val="24"/>
        </w:rPr>
        <w:t xml:space="preserve"> kuna </w:t>
      </w:r>
      <w:r>
        <w:rPr>
          <w:sz w:val="24"/>
        </w:rPr>
        <w:t xml:space="preserve">što je </w:t>
      </w:r>
      <w:r w:rsidRPr="00A3779E">
        <w:rPr>
          <w:sz w:val="24"/>
        </w:rPr>
        <w:t xml:space="preserve">za </w:t>
      </w:r>
      <w:r>
        <w:rPr>
          <w:sz w:val="24"/>
        </w:rPr>
        <w:t>15</w:t>
      </w:r>
      <w:r w:rsidRPr="00A3779E">
        <w:rPr>
          <w:sz w:val="24"/>
        </w:rPr>
        <w:t>,</w:t>
      </w:r>
      <w:r>
        <w:rPr>
          <w:sz w:val="24"/>
        </w:rPr>
        <w:t>79</w:t>
      </w:r>
      <w:r w:rsidRPr="00A3779E">
        <w:rPr>
          <w:sz w:val="24"/>
        </w:rPr>
        <w:t xml:space="preserve">% više od ostvarenih prethodne godine. </w:t>
      </w:r>
      <w:r w:rsidRPr="002B3FB6">
        <w:rPr>
          <w:sz w:val="24"/>
        </w:rPr>
        <w:t>U ostvarenje su uvrštene kamate za primljene zajmove u kojima se Grad pojavljuje kao sudužnik ili jamac a koje je po tom osnovu platio</w:t>
      </w:r>
      <w:r>
        <w:rPr>
          <w:sz w:val="24"/>
        </w:rPr>
        <w:t xml:space="preserve"> </w:t>
      </w:r>
      <w:r w:rsidRPr="002B3FB6">
        <w:rPr>
          <w:sz w:val="24"/>
        </w:rPr>
        <w:t>u iznosu od 3.</w:t>
      </w:r>
      <w:r>
        <w:rPr>
          <w:sz w:val="24"/>
        </w:rPr>
        <w:t>163</w:t>
      </w:r>
      <w:r w:rsidRPr="002B3FB6">
        <w:rPr>
          <w:sz w:val="24"/>
        </w:rPr>
        <w:t>.</w:t>
      </w:r>
      <w:r>
        <w:rPr>
          <w:sz w:val="24"/>
        </w:rPr>
        <w:t>366</w:t>
      </w:r>
      <w:r w:rsidRPr="002B3FB6">
        <w:rPr>
          <w:sz w:val="24"/>
        </w:rPr>
        <w:t xml:space="preserve"> kuna.</w:t>
      </w:r>
      <w:r w:rsidR="00BF2B01">
        <w:rPr>
          <w:sz w:val="24"/>
        </w:rPr>
        <w:tab/>
      </w:r>
    </w:p>
    <w:p w:rsidR="00171874" w:rsidRPr="00BF2B01" w:rsidRDefault="00DB06AF"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b/>
          <w:sz w:val="24"/>
        </w:rPr>
        <w:tab/>
      </w:r>
      <w:r w:rsidR="00171874">
        <w:rPr>
          <w:b/>
          <w:sz w:val="24"/>
        </w:rPr>
        <w:t>Subvencije</w:t>
      </w:r>
      <w:r w:rsidR="00171874">
        <w:rPr>
          <w:sz w:val="24"/>
        </w:rPr>
        <w:t xml:space="preserve"> </w:t>
      </w:r>
      <w:r w:rsidR="00171874" w:rsidRPr="002D15A3">
        <w:rPr>
          <w:sz w:val="24"/>
        </w:rPr>
        <w:t>prema  klasifikaciji predstavljaju tekuće prijenose sredstava koji se daju proizvođačima za poticanje proizvodnje i pružanja usluga. Trgovačka društva u javnom sektoru (bivša javna poduzeća) subvencionirana su sa 21.</w:t>
      </w:r>
      <w:r w:rsidR="00171874">
        <w:rPr>
          <w:sz w:val="24"/>
        </w:rPr>
        <w:t>732</w:t>
      </w:r>
      <w:r w:rsidR="00171874" w:rsidRPr="002D15A3">
        <w:rPr>
          <w:sz w:val="24"/>
        </w:rPr>
        <w:t>.</w:t>
      </w:r>
      <w:r w:rsidR="00171874">
        <w:rPr>
          <w:sz w:val="24"/>
        </w:rPr>
        <w:t>610</w:t>
      </w:r>
      <w:r w:rsidR="00171874" w:rsidRPr="002D15A3">
        <w:rPr>
          <w:sz w:val="24"/>
        </w:rPr>
        <w:t xml:space="preserve"> kuna, a poljoprivrednici, obrtnici i mali poduzetnici sa 1.</w:t>
      </w:r>
      <w:r w:rsidR="00171874">
        <w:rPr>
          <w:sz w:val="24"/>
        </w:rPr>
        <w:t>632</w:t>
      </w:r>
      <w:r w:rsidR="00171874" w:rsidRPr="002D15A3">
        <w:rPr>
          <w:sz w:val="24"/>
        </w:rPr>
        <w:t>.</w:t>
      </w:r>
      <w:r w:rsidR="00171874">
        <w:rPr>
          <w:sz w:val="24"/>
        </w:rPr>
        <w:t>082</w:t>
      </w:r>
      <w:r w:rsidR="00171874" w:rsidRPr="002D15A3">
        <w:rPr>
          <w:sz w:val="24"/>
        </w:rPr>
        <w:t xml:space="preserve"> kuna.</w:t>
      </w:r>
    </w:p>
    <w:p w:rsidR="00171874" w:rsidRDefault="00171874"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b/>
          <w:sz w:val="24"/>
        </w:rPr>
      </w:pPr>
    </w:p>
    <w:p w:rsidR="00171874" w:rsidRPr="00442B5B" w:rsidRDefault="00DB06AF"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color w:val="FF0000"/>
          <w:sz w:val="24"/>
        </w:rPr>
      </w:pPr>
      <w:r>
        <w:rPr>
          <w:b/>
          <w:sz w:val="24"/>
        </w:rPr>
        <w:tab/>
      </w:r>
      <w:r w:rsidR="00171874" w:rsidRPr="005E404C">
        <w:rPr>
          <w:b/>
          <w:sz w:val="24"/>
        </w:rPr>
        <w:t>Pomoći</w:t>
      </w:r>
      <w:r w:rsidR="00171874" w:rsidRPr="005E404C">
        <w:rPr>
          <w:sz w:val="24"/>
        </w:rPr>
        <w:t xml:space="preserve"> dane unutar opće države i EU ostvarene su u iznosu od 1</w:t>
      </w:r>
      <w:r w:rsidR="00171874">
        <w:rPr>
          <w:sz w:val="24"/>
        </w:rPr>
        <w:t>8</w:t>
      </w:r>
      <w:r w:rsidR="00171874" w:rsidRPr="005E404C">
        <w:rPr>
          <w:sz w:val="24"/>
        </w:rPr>
        <w:t>.</w:t>
      </w:r>
      <w:r w:rsidR="00171874">
        <w:rPr>
          <w:sz w:val="24"/>
        </w:rPr>
        <w:t>710</w:t>
      </w:r>
      <w:r w:rsidR="00171874" w:rsidRPr="005E404C">
        <w:rPr>
          <w:sz w:val="24"/>
        </w:rPr>
        <w:t>.</w:t>
      </w:r>
      <w:r w:rsidR="00171874">
        <w:rPr>
          <w:sz w:val="24"/>
        </w:rPr>
        <w:t>842</w:t>
      </w:r>
      <w:r w:rsidR="00171874" w:rsidRPr="005E404C">
        <w:rPr>
          <w:sz w:val="24"/>
        </w:rPr>
        <w:t xml:space="preserve"> kuna i to:</w:t>
      </w:r>
    </w:p>
    <w:p w:rsidR="00171874" w:rsidRPr="00442B5B" w:rsidRDefault="00171874"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color w:val="FF0000"/>
          <w:sz w:val="24"/>
        </w:rPr>
      </w:pPr>
    </w:p>
    <w:p w:rsidR="00171874" w:rsidRPr="00B41334"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sz w:val="24"/>
        </w:rPr>
      </w:pPr>
      <w:r w:rsidRPr="00B41334">
        <w:rPr>
          <w:sz w:val="24"/>
        </w:rPr>
        <w:t xml:space="preserve">Pomoći unutar općeg proračuna </w:t>
      </w:r>
      <w:r>
        <w:rPr>
          <w:sz w:val="24"/>
        </w:rPr>
        <w:t xml:space="preserve">: </w:t>
      </w:r>
      <w:r w:rsidRPr="00B41334">
        <w:rPr>
          <w:sz w:val="24"/>
        </w:rPr>
        <w:t>tekuće  u iznosu od 5</w:t>
      </w:r>
      <w:r>
        <w:rPr>
          <w:sz w:val="24"/>
        </w:rPr>
        <w:t>45</w:t>
      </w:r>
      <w:r w:rsidRPr="00B41334">
        <w:rPr>
          <w:sz w:val="24"/>
        </w:rPr>
        <w:t>.</w:t>
      </w:r>
      <w:r>
        <w:rPr>
          <w:sz w:val="24"/>
        </w:rPr>
        <w:t>554</w:t>
      </w:r>
      <w:r w:rsidRPr="00B41334">
        <w:rPr>
          <w:sz w:val="24"/>
        </w:rPr>
        <w:t xml:space="preserve"> kn i kapitalne u iznosu od </w:t>
      </w:r>
      <w:r>
        <w:rPr>
          <w:sz w:val="24"/>
        </w:rPr>
        <w:t>12</w:t>
      </w:r>
      <w:r w:rsidRPr="00B41334">
        <w:rPr>
          <w:sz w:val="24"/>
        </w:rPr>
        <w:t>.</w:t>
      </w:r>
      <w:r>
        <w:rPr>
          <w:sz w:val="24"/>
        </w:rPr>
        <w:t>466</w:t>
      </w:r>
      <w:r w:rsidRPr="00B41334">
        <w:rPr>
          <w:sz w:val="24"/>
        </w:rPr>
        <w:t>.</w:t>
      </w:r>
      <w:r>
        <w:rPr>
          <w:sz w:val="24"/>
        </w:rPr>
        <w:t>096</w:t>
      </w:r>
      <w:r w:rsidRPr="00B41334">
        <w:rPr>
          <w:sz w:val="24"/>
        </w:rPr>
        <w:t xml:space="preserve"> kuna.</w:t>
      </w:r>
    </w:p>
    <w:p w:rsidR="00171874" w:rsidRPr="003E03EB"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sz w:val="24"/>
        </w:rPr>
      </w:pPr>
      <w:r w:rsidRPr="003E03EB">
        <w:rPr>
          <w:sz w:val="24"/>
        </w:rPr>
        <w:t>Pomoći inoz</w:t>
      </w:r>
      <w:r>
        <w:rPr>
          <w:sz w:val="24"/>
        </w:rPr>
        <w:t xml:space="preserve">emnim vladama i to vladama u EU-tekuće pomoći </w:t>
      </w:r>
      <w:r w:rsidRPr="003E03EB">
        <w:rPr>
          <w:sz w:val="24"/>
        </w:rPr>
        <w:t>u iznosu od 2.</w:t>
      </w:r>
      <w:r>
        <w:rPr>
          <w:sz w:val="24"/>
        </w:rPr>
        <w:t>670</w:t>
      </w:r>
      <w:r w:rsidRPr="003E03EB">
        <w:rPr>
          <w:sz w:val="24"/>
        </w:rPr>
        <w:t>.</w:t>
      </w:r>
      <w:r>
        <w:rPr>
          <w:sz w:val="24"/>
        </w:rPr>
        <w:t>090</w:t>
      </w:r>
      <w:r w:rsidRPr="003E03EB">
        <w:rPr>
          <w:sz w:val="24"/>
        </w:rPr>
        <w:t xml:space="preserve"> kn</w:t>
      </w:r>
      <w:r>
        <w:rPr>
          <w:sz w:val="24"/>
        </w:rPr>
        <w:t>,</w:t>
      </w:r>
      <w:r w:rsidRPr="003E03EB">
        <w:rPr>
          <w:sz w:val="24"/>
        </w:rPr>
        <w:t xml:space="preserve"> </w:t>
      </w:r>
      <w:r>
        <w:rPr>
          <w:sz w:val="24"/>
        </w:rPr>
        <w:t>a</w:t>
      </w:r>
      <w:r w:rsidRPr="003E03EB">
        <w:rPr>
          <w:sz w:val="24"/>
        </w:rPr>
        <w:t xml:space="preserve"> vladama izvan EU  </w:t>
      </w:r>
      <w:r>
        <w:rPr>
          <w:sz w:val="24"/>
        </w:rPr>
        <w:t>nisu isplaćivane pomoći</w:t>
      </w:r>
      <w:r w:rsidRPr="003E03EB">
        <w:rPr>
          <w:sz w:val="24"/>
        </w:rPr>
        <w:t>.</w:t>
      </w:r>
    </w:p>
    <w:p w:rsidR="00171874"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sz w:val="24"/>
        </w:rPr>
      </w:pPr>
      <w:r w:rsidRPr="00545BFF">
        <w:rPr>
          <w:sz w:val="24"/>
        </w:rPr>
        <w:t>Pomoći proračunskim korisnicima drugih proračuna: tekuće u iznosu od 1.26</w:t>
      </w:r>
      <w:r>
        <w:rPr>
          <w:sz w:val="24"/>
        </w:rPr>
        <w:t>7</w:t>
      </w:r>
      <w:r w:rsidRPr="00545BFF">
        <w:rPr>
          <w:sz w:val="24"/>
        </w:rPr>
        <w:t>.</w:t>
      </w:r>
      <w:r>
        <w:rPr>
          <w:sz w:val="24"/>
        </w:rPr>
        <w:t>693</w:t>
      </w:r>
      <w:r w:rsidRPr="00545BFF">
        <w:rPr>
          <w:sz w:val="24"/>
        </w:rPr>
        <w:t xml:space="preserve"> kn i kapitalne </w:t>
      </w:r>
      <w:r>
        <w:rPr>
          <w:sz w:val="24"/>
        </w:rPr>
        <w:t>1</w:t>
      </w:r>
      <w:r w:rsidRPr="00545BFF">
        <w:rPr>
          <w:sz w:val="24"/>
        </w:rPr>
        <w:t>.</w:t>
      </w:r>
      <w:r>
        <w:rPr>
          <w:sz w:val="24"/>
        </w:rPr>
        <w:t>560</w:t>
      </w:r>
      <w:r w:rsidRPr="00545BFF">
        <w:rPr>
          <w:sz w:val="24"/>
        </w:rPr>
        <w:t>.</w:t>
      </w:r>
      <w:r>
        <w:rPr>
          <w:sz w:val="24"/>
        </w:rPr>
        <w:t>511</w:t>
      </w:r>
      <w:r w:rsidRPr="00545BFF">
        <w:rPr>
          <w:sz w:val="24"/>
        </w:rPr>
        <w:t xml:space="preserve"> kn.</w:t>
      </w:r>
    </w:p>
    <w:p w:rsidR="00171874" w:rsidRPr="00545BFF"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sz w:val="24"/>
        </w:rPr>
      </w:pPr>
      <w:r w:rsidRPr="00545BFF">
        <w:rPr>
          <w:sz w:val="24"/>
        </w:rPr>
        <w:t xml:space="preserve">Pomoći temeljem prijenosa EU sredstava u iznosu od </w:t>
      </w:r>
      <w:r>
        <w:rPr>
          <w:sz w:val="24"/>
        </w:rPr>
        <w:t>200</w:t>
      </w:r>
      <w:r w:rsidRPr="00545BFF">
        <w:rPr>
          <w:sz w:val="24"/>
        </w:rPr>
        <w:t>.</w:t>
      </w:r>
      <w:r>
        <w:rPr>
          <w:sz w:val="24"/>
        </w:rPr>
        <w:t>895</w:t>
      </w:r>
      <w:r w:rsidRPr="00545BFF">
        <w:rPr>
          <w:sz w:val="24"/>
        </w:rPr>
        <w:t xml:space="preserve"> kuna.</w:t>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p>
    <w:p w:rsidR="00171874" w:rsidRPr="0099358B"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highlight w:val="yellow"/>
        </w:rPr>
      </w:pPr>
      <w:r>
        <w:rPr>
          <w:sz w:val="24"/>
        </w:rPr>
        <w:tab/>
      </w:r>
      <w:r w:rsidRPr="000B1BA8">
        <w:rPr>
          <w:b/>
          <w:sz w:val="24"/>
        </w:rPr>
        <w:t>Naknade građanima i kućanstvima</w:t>
      </w:r>
      <w:r w:rsidRPr="000B1BA8">
        <w:rPr>
          <w:sz w:val="24"/>
        </w:rPr>
        <w:t xml:space="preserve"> ostvarene su i iznosu od 22.942.787 kune odnosno  10,6</w:t>
      </w:r>
      <w:r>
        <w:rPr>
          <w:sz w:val="24"/>
        </w:rPr>
        <w:t>3</w:t>
      </w:r>
      <w:r w:rsidRPr="000B1BA8">
        <w:rPr>
          <w:sz w:val="24"/>
        </w:rPr>
        <w:t xml:space="preserve"> % više  nego 2016. Najveći dio sredstava dat je za sufinanciranje cijena prijevoza  (1,47 milijuna kuna), pomoći obiteljima i osobama s invaliditetom (2,4 milijun kuna),  prehrane (</w:t>
      </w:r>
      <w:r>
        <w:rPr>
          <w:sz w:val="24"/>
        </w:rPr>
        <w:t>2</w:t>
      </w:r>
      <w:r w:rsidRPr="000B1BA8">
        <w:rPr>
          <w:sz w:val="24"/>
        </w:rPr>
        <w:t>,</w:t>
      </w:r>
      <w:r>
        <w:rPr>
          <w:sz w:val="24"/>
        </w:rPr>
        <w:t>8</w:t>
      </w:r>
      <w:r w:rsidRPr="000B1BA8">
        <w:rPr>
          <w:sz w:val="24"/>
        </w:rPr>
        <w:t xml:space="preserve"> milijuna kuna) i stipendije i školarine (0,89 milijuna kuna), ostale naknade (13,3 milijuna kn i to za jednokratne pomoći, ogrjev, stipendije, zrakoplovne karte, cestarina, poboljšanje uvjeta stanovanja..). U ovu grupu rashoda svrstane su i ostale pomoći u novcu pomoć i njega u kući, prijevoz đaka, i ostale naknade u naravi (1,99 milijuna kuna).</w:t>
      </w:r>
    </w:p>
    <w:p w:rsidR="00171874" w:rsidRPr="0099358B"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highlight w:val="yellow"/>
        </w:rPr>
      </w:pPr>
    </w:p>
    <w:p w:rsidR="00171874" w:rsidRPr="000B1BA8"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0B1BA8">
        <w:rPr>
          <w:sz w:val="24"/>
        </w:rPr>
        <w:tab/>
      </w:r>
      <w:r w:rsidRPr="000B1BA8">
        <w:rPr>
          <w:b/>
          <w:sz w:val="24"/>
        </w:rPr>
        <w:t xml:space="preserve">Donacije i ostali rashodi </w:t>
      </w:r>
      <w:r w:rsidRPr="000B1BA8">
        <w:rPr>
          <w:sz w:val="24"/>
        </w:rPr>
        <w:t>ostvareni su u iznosu od 49.566.569 kuna, a sastoje se od tekućih donacija u novcu i kapitalnih donacija koje su ranije bile uključene u takozvane transfere sredstava korisnicima proračuna</w:t>
      </w:r>
      <w:r w:rsidRPr="000B1BA8">
        <w:rPr>
          <w:color w:val="FF0000"/>
          <w:sz w:val="24"/>
        </w:rPr>
        <w:t xml:space="preserve">. </w:t>
      </w:r>
      <w:r w:rsidRPr="000B1BA8">
        <w:rPr>
          <w:sz w:val="24"/>
        </w:rPr>
        <w:t xml:space="preserve">Tekuće donacije (42.202.459 kuna) davane su udrugama građana, neprofitnim organizacijama, političkim strankama, zakladama, građanima i kućanstvima. Kapitalne donacije iznosile su 1.746.639 kuna, dok su kapitalne pomoći trgovačkim društvima u javnom sektoru iznosile 4.971.097 kuna. </w:t>
      </w: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82DF1">
        <w:rPr>
          <w:sz w:val="24"/>
        </w:rPr>
        <w:tab/>
      </w:r>
      <w:r w:rsidRPr="00582DF1">
        <w:rPr>
          <w:b/>
          <w:sz w:val="24"/>
        </w:rPr>
        <w:t xml:space="preserve">Rashodi za nabavu ne proizvedene  dugotrajne imovine  </w:t>
      </w:r>
      <w:r w:rsidRPr="00582DF1">
        <w:rPr>
          <w:sz w:val="24"/>
        </w:rPr>
        <w:t>u 2017 nisu ostvareni</w:t>
      </w:r>
    </w:p>
    <w:p w:rsidR="00171874" w:rsidRPr="0099358B"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highlight w:val="yellow"/>
        </w:rPr>
      </w:pP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82DF1">
        <w:rPr>
          <w:sz w:val="24"/>
        </w:rPr>
        <w:tab/>
      </w:r>
      <w:r w:rsidRPr="00582DF1">
        <w:rPr>
          <w:b/>
          <w:sz w:val="24"/>
        </w:rPr>
        <w:t xml:space="preserve">Rashodi za nabavu proizvedene dugotrajne imovine </w:t>
      </w:r>
      <w:r w:rsidRPr="00582DF1">
        <w:rPr>
          <w:sz w:val="24"/>
        </w:rPr>
        <w:t xml:space="preserve">ostvareni su u iznosu od 12.392.059 kunu. Najveći dio sredstava, odnosno 7.068.184 kuna uloženo je u građevinske </w:t>
      </w:r>
      <w:r w:rsidRPr="00582DF1">
        <w:rPr>
          <w:sz w:val="24"/>
        </w:rPr>
        <w:lastRenderedPageBreak/>
        <w:t>objekte, u postrojenje i opremu 3.385.838 kuna u prijevozna sredstva 444.647 kuna, knjige, umjetnička djela i ostale izložbene vrijednosti 654.612 kuna te nematerijalna proizvedena imovina 640.770</w:t>
      </w:r>
      <w:r>
        <w:rPr>
          <w:sz w:val="24"/>
        </w:rPr>
        <w:t xml:space="preserve"> kuna</w:t>
      </w: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82DF1">
        <w:rPr>
          <w:sz w:val="24"/>
        </w:rPr>
        <w:tab/>
      </w:r>
      <w:r w:rsidRPr="00582DF1">
        <w:rPr>
          <w:b/>
          <w:sz w:val="24"/>
        </w:rPr>
        <w:t>Dodatna ulaganja</w:t>
      </w:r>
      <w:r w:rsidRPr="00582DF1">
        <w:rPr>
          <w:sz w:val="24"/>
        </w:rPr>
        <w:t xml:space="preserve"> na građevinskim objektima, postrojenju i opremi iznosila su 3.693.369 kuna.</w:t>
      </w:r>
    </w:p>
    <w:p w:rsidR="007D0CE0" w:rsidRPr="00582DF1" w:rsidRDefault="007D0CE0"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BF2B01" w:rsidRPr="00E41528" w:rsidRDefault="00171874" w:rsidP="00E415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F60A0">
        <w:rPr>
          <w:sz w:val="24"/>
        </w:rPr>
        <w:tab/>
      </w:r>
      <w:r w:rsidR="004F60A0" w:rsidRPr="004F60A0">
        <w:rPr>
          <w:b/>
          <w:sz w:val="24"/>
        </w:rPr>
        <w:t xml:space="preserve">Izdaci za financijsku imovinu i otplatu zajmova </w:t>
      </w:r>
      <w:r w:rsidR="004F60A0" w:rsidRPr="004F60A0">
        <w:rPr>
          <w:sz w:val="24"/>
        </w:rPr>
        <w:t>ostvareni su u iznosu od 12.091.628 kuna, a odnose se na o</w:t>
      </w:r>
      <w:r w:rsidRPr="004F60A0">
        <w:rPr>
          <w:sz w:val="24"/>
        </w:rPr>
        <w:t>tplatu dospjele glavnice po preuzetim kreditima Grada Dubro</w:t>
      </w:r>
      <w:r w:rsidR="004F60A0" w:rsidRPr="004F60A0">
        <w:rPr>
          <w:sz w:val="24"/>
        </w:rPr>
        <w:t>vnika (HBOR i Zagrebačka banka)</w:t>
      </w:r>
      <w:r w:rsidRPr="004F60A0">
        <w:rPr>
          <w:sz w:val="24"/>
        </w:rPr>
        <w:t xml:space="preserve"> u iznosima od 6.745.886 kuna i 3.159.896 kun</w:t>
      </w:r>
      <w:r w:rsidR="004F60A0" w:rsidRPr="004F60A0">
        <w:rPr>
          <w:sz w:val="24"/>
        </w:rPr>
        <w:t>a,</w:t>
      </w:r>
      <w:r w:rsidRPr="004F60A0">
        <w:rPr>
          <w:sz w:val="24"/>
        </w:rPr>
        <w:t xml:space="preserve"> te iznosa od 1.395.846 kuna koji i se odnosi na zajam dat agenciji za poticajnu stanogradnju</w:t>
      </w:r>
      <w:r w:rsidR="004F60A0" w:rsidRPr="004F60A0">
        <w:rPr>
          <w:sz w:val="24"/>
        </w:rPr>
        <w:t xml:space="preserve">, te pozajmica DURI u iznosu od </w:t>
      </w:r>
      <w:r w:rsidR="00485398" w:rsidRPr="004F60A0">
        <w:rPr>
          <w:sz w:val="24"/>
        </w:rPr>
        <w:t>790.000</w:t>
      </w:r>
      <w:bookmarkStart w:id="0" w:name="_Hlk511043239"/>
      <w:r w:rsidR="00E41528">
        <w:rPr>
          <w:sz w:val="24"/>
        </w:rPr>
        <w:t xml:space="preserve"> kn</w:t>
      </w:r>
    </w:p>
    <w:p w:rsidR="003F600A" w:rsidRDefault="003F600A" w:rsidP="00171874">
      <w:pPr>
        <w:pStyle w:val="BodyText21"/>
        <w:jc w:val="left"/>
      </w:pPr>
    </w:p>
    <w:p w:rsidR="00171874" w:rsidRPr="00BF2B01" w:rsidRDefault="00171874" w:rsidP="00171874">
      <w:pPr>
        <w:pStyle w:val="BodyText21"/>
        <w:jc w:val="left"/>
        <w:rPr>
          <w:b w:val="0"/>
          <w:sz w:val="20"/>
        </w:rPr>
      </w:pPr>
      <w:r w:rsidRPr="002D4053">
        <w:t xml:space="preserve">Tablica broj  15  Rashodi i izdaci po </w:t>
      </w:r>
      <w:r w:rsidR="0002379C">
        <w:t xml:space="preserve">upravnim odjelima </w:t>
      </w:r>
      <w:r>
        <w:t xml:space="preserve"> iz prethodnih godina</w:t>
      </w:r>
      <w:r w:rsidRPr="002D4053">
        <w:tab/>
      </w:r>
      <w:r w:rsidRPr="002D4053">
        <w:rPr>
          <w:b w:val="0"/>
          <w:sz w:val="20"/>
        </w:rPr>
        <w:tab/>
      </w:r>
      <w:r w:rsidRPr="002D4053">
        <w:rPr>
          <w:b w:val="0"/>
          <w:sz w:val="20"/>
        </w:rPr>
        <w:tab/>
      </w:r>
      <w:r w:rsidRPr="002D4053">
        <w:rPr>
          <w:b w:val="0"/>
          <w:sz w:val="20"/>
        </w:rPr>
        <w:tab/>
        <w:t xml:space="preserve">      (bez proračunskih korisnika)</w:t>
      </w:r>
      <w:bookmarkEnd w:id="0"/>
      <w:r w:rsidR="0002379C">
        <w:rPr>
          <w:b w:val="0"/>
          <w:sz w:val="20"/>
        </w:rPr>
        <w:t xml:space="preserve">  u</w:t>
      </w:r>
      <w:r w:rsidR="0002379C" w:rsidRPr="0002379C">
        <w:rPr>
          <w:sz w:val="20"/>
        </w:rPr>
        <w:t xml:space="preserve"> 000 kn</w:t>
      </w:r>
    </w:p>
    <w:tbl>
      <w:tblPr>
        <w:tblW w:w="76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851"/>
        <w:gridCol w:w="567"/>
        <w:gridCol w:w="850"/>
        <w:gridCol w:w="426"/>
        <w:gridCol w:w="850"/>
        <w:gridCol w:w="567"/>
        <w:gridCol w:w="851"/>
        <w:gridCol w:w="567"/>
      </w:tblGrid>
      <w:tr w:rsidR="00171874" w:rsidRPr="0099358B" w:rsidTr="00BD319B">
        <w:trPr>
          <w:trHeight w:val="375"/>
        </w:trPr>
        <w:tc>
          <w:tcPr>
            <w:tcW w:w="2160" w:type="dxa"/>
            <w:shd w:val="clear" w:color="auto" w:fill="auto"/>
            <w:vAlign w:val="center"/>
          </w:tcPr>
          <w:p w:rsidR="00171874" w:rsidRPr="00A63E67" w:rsidRDefault="00171874" w:rsidP="00A50B63">
            <w:pPr>
              <w:overflowPunct/>
              <w:autoSpaceDE/>
              <w:autoSpaceDN/>
              <w:adjustRightInd/>
              <w:textAlignment w:val="auto"/>
              <w:rPr>
                <w:b/>
                <w:bCs/>
              </w:rPr>
            </w:pPr>
            <w:r w:rsidRPr="00A63E67">
              <w:rPr>
                <w:b/>
                <w:bCs/>
              </w:rPr>
              <w:t>RAZDJEL</w:t>
            </w:r>
          </w:p>
        </w:tc>
        <w:tc>
          <w:tcPr>
            <w:tcW w:w="851" w:type="dxa"/>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2013.</w:t>
            </w:r>
          </w:p>
        </w:tc>
        <w:tc>
          <w:tcPr>
            <w:tcW w:w="567" w:type="dxa"/>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w:t>
            </w:r>
          </w:p>
        </w:tc>
        <w:tc>
          <w:tcPr>
            <w:tcW w:w="850" w:type="dxa"/>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2014.</w:t>
            </w:r>
          </w:p>
        </w:tc>
        <w:tc>
          <w:tcPr>
            <w:tcW w:w="426" w:type="dxa"/>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w:t>
            </w:r>
          </w:p>
        </w:tc>
        <w:tc>
          <w:tcPr>
            <w:tcW w:w="850" w:type="dxa"/>
            <w:tcBorders>
              <w:right w:val="single" w:sz="4" w:space="0" w:color="auto"/>
            </w:tcBorders>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2015.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2016.</w:t>
            </w:r>
          </w:p>
        </w:tc>
        <w:tc>
          <w:tcPr>
            <w:tcW w:w="567" w:type="dxa"/>
            <w:tcBorders>
              <w:left w:val="single" w:sz="4" w:space="0" w:color="auto"/>
            </w:tcBorders>
            <w:shd w:val="clear" w:color="auto" w:fill="auto"/>
            <w:noWrap/>
            <w:vAlign w:val="center"/>
          </w:tcPr>
          <w:p w:rsidR="00171874" w:rsidRPr="00A63E67" w:rsidRDefault="00171874" w:rsidP="00A50B63">
            <w:pPr>
              <w:overflowPunct/>
              <w:autoSpaceDE/>
              <w:autoSpaceDN/>
              <w:adjustRightInd/>
              <w:jc w:val="center"/>
              <w:textAlignment w:val="auto"/>
              <w:rPr>
                <w:b/>
                <w:bCs/>
                <w:sz w:val="18"/>
                <w:szCs w:val="18"/>
              </w:rPr>
            </w:pPr>
            <w:r w:rsidRPr="00A63E67">
              <w:rPr>
                <w:b/>
                <w:bCs/>
                <w:sz w:val="18"/>
                <w:szCs w:val="18"/>
              </w:rPr>
              <w:t>%</w:t>
            </w:r>
          </w:p>
        </w:tc>
      </w:tr>
      <w:tr w:rsidR="00171874" w:rsidRPr="0099358B" w:rsidTr="00BD319B">
        <w:trPr>
          <w:trHeight w:val="406"/>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poslove gradonačelnika</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49.215</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13</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50.622</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13</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47.668</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13</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51.003</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12</w:t>
            </w:r>
          </w:p>
        </w:tc>
      </w:tr>
      <w:tr w:rsidR="00171874" w:rsidRPr="0099358B" w:rsidTr="00BD319B">
        <w:trPr>
          <w:trHeight w:val="413"/>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gospodarenje nekretni</w:t>
            </w:r>
            <w:r>
              <w:rPr>
                <w:sz w:val="16"/>
                <w:szCs w:val="16"/>
              </w:rPr>
              <w:t>nama</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11.050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16.988</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6.660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9.144</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w:t>
            </w:r>
          </w:p>
        </w:tc>
      </w:tr>
      <w:tr w:rsidR="00171874" w:rsidRPr="0099358B" w:rsidTr="00BD319B">
        <w:trPr>
          <w:trHeight w:val="438"/>
        </w:trPr>
        <w:tc>
          <w:tcPr>
            <w:tcW w:w="2160" w:type="dxa"/>
            <w:shd w:val="clear" w:color="auto" w:fill="auto"/>
            <w:vAlign w:val="center"/>
          </w:tcPr>
          <w:p w:rsidR="00171874" w:rsidRPr="00A63E67" w:rsidRDefault="00171874" w:rsidP="00A50B63">
            <w:pPr>
              <w:overflowPunct/>
              <w:autoSpaceDE/>
              <w:autoSpaceDN/>
              <w:adjustRightInd/>
              <w:textAlignment w:val="auto"/>
              <w:rPr>
                <w:sz w:val="16"/>
                <w:szCs w:val="16"/>
              </w:rPr>
            </w:pPr>
            <w:r w:rsidRPr="00A63E67">
              <w:rPr>
                <w:sz w:val="16"/>
                <w:szCs w:val="16"/>
              </w:rPr>
              <w:t>Služba gradskog vijeća</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3.285</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3.121</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4.118</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4.360</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r>
      <w:tr w:rsidR="00171874" w:rsidRPr="0099358B" w:rsidTr="00BD319B">
        <w:trPr>
          <w:trHeight w:val="289"/>
        </w:trPr>
        <w:tc>
          <w:tcPr>
            <w:tcW w:w="2160" w:type="dxa"/>
            <w:shd w:val="clear" w:color="auto" w:fill="auto"/>
            <w:vAlign w:val="center"/>
          </w:tcPr>
          <w:p w:rsidR="00171874" w:rsidRPr="00A63E67" w:rsidRDefault="00171874" w:rsidP="00A50B63">
            <w:pPr>
              <w:overflowPunct/>
              <w:autoSpaceDE/>
              <w:autoSpaceDN/>
              <w:adjustRightInd/>
              <w:textAlignment w:val="auto"/>
              <w:rPr>
                <w:sz w:val="16"/>
                <w:szCs w:val="16"/>
              </w:rPr>
            </w:pPr>
            <w:r w:rsidRPr="00A63E67">
              <w:rPr>
                <w:sz w:val="16"/>
                <w:szCs w:val="16"/>
              </w:rPr>
              <w:t>Upravni odjel za financije</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0</w:t>
            </w:r>
          </w:p>
        </w:tc>
      </w:tr>
      <w:tr w:rsidR="00171874" w:rsidRPr="0099358B" w:rsidTr="00BD319B">
        <w:trPr>
          <w:trHeight w:val="619"/>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poduzetništvo, turizam i more</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20.420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22.446</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6</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20.528</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18.729</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w:t>
            </w:r>
          </w:p>
        </w:tc>
      </w:tr>
      <w:tr w:rsidR="00171874" w:rsidRPr="0099358B" w:rsidTr="00BD319B">
        <w:trPr>
          <w:trHeight w:val="397"/>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komunalne djelat. i mjesnu samoupravu</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76.965</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82.443</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75.256</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20</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80.053</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19</w:t>
            </w:r>
          </w:p>
        </w:tc>
      </w:tr>
      <w:tr w:rsidR="00171874" w:rsidRPr="0099358B" w:rsidTr="00BD319B">
        <w:trPr>
          <w:trHeight w:val="417"/>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prostorno uređenje i zaštitu okoliša</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2.743</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2.392</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1.668</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3.727</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w:t>
            </w:r>
          </w:p>
        </w:tc>
      </w:tr>
      <w:tr w:rsidR="00171874" w:rsidRPr="0099358B" w:rsidTr="00BD319B">
        <w:trPr>
          <w:trHeight w:val="564"/>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obraz., šport, socijalnu skrb i civilno društvo</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81.604</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22</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89.099</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22</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99.003</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27</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105.542</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26</w:t>
            </w:r>
          </w:p>
        </w:tc>
      </w:tr>
      <w:tr w:rsidR="00171874" w:rsidRPr="0099358B" w:rsidTr="00BD319B">
        <w:trPr>
          <w:trHeight w:val="345"/>
        </w:trPr>
        <w:tc>
          <w:tcPr>
            <w:tcW w:w="2160" w:type="dxa"/>
            <w:shd w:val="clear" w:color="auto" w:fill="auto"/>
            <w:vAlign w:val="center"/>
          </w:tcPr>
          <w:p w:rsidR="00171874" w:rsidRPr="00A63E67" w:rsidRDefault="00171874" w:rsidP="00A50B63">
            <w:pPr>
              <w:overflowPunct/>
              <w:autoSpaceDE/>
              <w:autoSpaceDN/>
              <w:adjustRightInd/>
              <w:textAlignment w:val="auto"/>
              <w:rPr>
                <w:sz w:val="16"/>
                <w:szCs w:val="16"/>
              </w:rPr>
            </w:pPr>
            <w:r w:rsidRPr="00A63E67">
              <w:rPr>
                <w:sz w:val="16"/>
                <w:szCs w:val="16"/>
              </w:rPr>
              <w:t>Upravni odjel za kulturu i baštinu</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50.973</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14</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62.651</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16</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68.290</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18</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85.087</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21</w:t>
            </w:r>
          </w:p>
        </w:tc>
      </w:tr>
      <w:tr w:rsidR="00171874" w:rsidRPr="0099358B" w:rsidTr="00BD319B">
        <w:trPr>
          <w:trHeight w:val="464"/>
        </w:trPr>
        <w:tc>
          <w:tcPr>
            <w:tcW w:w="2160" w:type="dxa"/>
            <w:shd w:val="clear" w:color="auto" w:fill="auto"/>
            <w:vAlign w:val="bottom"/>
          </w:tcPr>
          <w:p w:rsidR="00171874" w:rsidRPr="00A63E67" w:rsidRDefault="00171874" w:rsidP="00A50B63">
            <w:pPr>
              <w:overflowPunct/>
              <w:autoSpaceDE/>
              <w:autoSpaceDN/>
              <w:adjustRightInd/>
              <w:textAlignment w:val="auto"/>
              <w:rPr>
                <w:sz w:val="16"/>
                <w:szCs w:val="16"/>
              </w:rPr>
            </w:pPr>
            <w:r w:rsidRPr="00A63E67">
              <w:rPr>
                <w:sz w:val="16"/>
                <w:szCs w:val="16"/>
              </w:rPr>
              <w:t>Upravni odjel za promet, stanogradnju i razvojne projekte</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78.026</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21</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70.920</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18</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48.006</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13</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52.513</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13</w:t>
            </w:r>
          </w:p>
        </w:tc>
      </w:tr>
      <w:tr w:rsidR="00171874" w:rsidRPr="0099358B" w:rsidTr="00BD319B">
        <w:trPr>
          <w:trHeight w:val="420"/>
        </w:trPr>
        <w:tc>
          <w:tcPr>
            <w:tcW w:w="2160" w:type="dxa"/>
            <w:shd w:val="clear" w:color="auto" w:fill="auto"/>
            <w:vAlign w:val="center"/>
          </w:tcPr>
          <w:p w:rsidR="00171874" w:rsidRPr="00A63E67" w:rsidRDefault="00171874" w:rsidP="00A50B63">
            <w:pPr>
              <w:overflowPunct/>
              <w:autoSpaceDE/>
              <w:autoSpaceDN/>
              <w:adjustRightInd/>
              <w:textAlignment w:val="auto"/>
              <w:rPr>
                <w:sz w:val="16"/>
                <w:szCs w:val="16"/>
              </w:rPr>
            </w:pPr>
            <w:r w:rsidRPr="00A63E67">
              <w:rPr>
                <w:sz w:val="16"/>
                <w:szCs w:val="16"/>
              </w:rPr>
              <w:t>U K U P N O</w:t>
            </w:r>
          </w:p>
        </w:tc>
        <w:tc>
          <w:tcPr>
            <w:tcW w:w="851"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374.281</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100</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397.682</w:t>
            </w:r>
          </w:p>
        </w:tc>
        <w:tc>
          <w:tcPr>
            <w:tcW w:w="426"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100</w:t>
            </w:r>
          </w:p>
        </w:tc>
        <w:tc>
          <w:tcPr>
            <w:tcW w:w="850"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371.197</w:t>
            </w:r>
          </w:p>
        </w:tc>
        <w:tc>
          <w:tcPr>
            <w:tcW w:w="567" w:type="dxa"/>
            <w:shd w:val="clear" w:color="auto" w:fill="auto"/>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100</w:t>
            </w:r>
          </w:p>
        </w:tc>
        <w:tc>
          <w:tcPr>
            <w:tcW w:w="851"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410.158</w:t>
            </w:r>
          </w:p>
        </w:tc>
        <w:tc>
          <w:tcPr>
            <w:tcW w:w="567" w:type="dxa"/>
            <w:shd w:val="clear" w:color="auto" w:fill="auto"/>
            <w:noWrap/>
            <w:vAlign w:val="center"/>
          </w:tcPr>
          <w:p w:rsidR="00171874" w:rsidRPr="00A63E67" w:rsidRDefault="00171874" w:rsidP="00A50B63">
            <w:pPr>
              <w:overflowPunct/>
              <w:autoSpaceDE/>
              <w:autoSpaceDN/>
              <w:adjustRightInd/>
              <w:jc w:val="right"/>
              <w:textAlignment w:val="auto"/>
              <w:rPr>
                <w:sz w:val="16"/>
                <w:szCs w:val="16"/>
              </w:rPr>
            </w:pPr>
            <w:r w:rsidRPr="00A63E67">
              <w:rPr>
                <w:sz w:val="16"/>
                <w:szCs w:val="16"/>
              </w:rPr>
              <w:t>100</w:t>
            </w:r>
          </w:p>
        </w:tc>
      </w:tr>
    </w:tbl>
    <w:p w:rsidR="00171874" w:rsidRPr="0099358B" w:rsidRDefault="00171874" w:rsidP="00171874">
      <w:pPr>
        <w:pStyle w:val="BodyText21"/>
        <w:jc w:val="left"/>
        <w:rPr>
          <w:b w:val="0"/>
          <w:sz w:val="20"/>
          <w:highlight w:val="yellow"/>
        </w:rPr>
      </w:pPr>
    </w:p>
    <w:p w:rsidR="0085527C" w:rsidRPr="00620130" w:rsidRDefault="0002379C" w:rsidP="00BF2B0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r w:rsidR="00171874" w:rsidRPr="00620130">
        <w:rPr>
          <w:sz w:val="22"/>
          <w:szCs w:val="22"/>
        </w:rPr>
        <w:t>U 2017. godini dolazi do preustroja Gradske uprave</w:t>
      </w:r>
      <w:r>
        <w:rPr>
          <w:sz w:val="22"/>
          <w:szCs w:val="22"/>
        </w:rPr>
        <w:t>,</w:t>
      </w:r>
      <w:r w:rsidR="00171874" w:rsidRPr="00620130">
        <w:rPr>
          <w:sz w:val="22"/>
          <w:szCs w:val="22"/>
        </w:rPr>
        <w:t xml:space="preserve"> te stvaranja novih odjela</w:t>
      </w:r>
      <w:r>
        <w:rPr>
          <w:sz w:val="22"/>
          <w:szCs w:val="22"/>
        </w:rPr>
        <w:t>. O</w:t>
      </w:r>
      <w:r w:rsidR="00171874" w:rsidRPr="00620130">
        <w:rPr>
          <w:sz w:val="22"/>
          <w:szCs w:val="22"/>
        </w:rPr>
        <w:t>stvareni rashodi po ustr</w:t>
      </w:r>
      <w:r>
        <w:rPr>
          <w:sz w:val="22"/>
          <w:szCs w:val="22"/>
        </w:rPr>
        <w:t xml:space="preserve">ojenim upravnim odjelima </w:t>
      </w:r>
      <w:r w:rsidR="00171874" w:rsidRPr="00620130">
        <w:rPr>
          <w:sz w:val="22"/>
          <w:szCs w:val="22"/>
        </w:rPr>
        <w:t>u 2017. godini prikazani su u slijedećoj tablici</w:t>
      </w:r>
      <w:r w:rsidR="0085527C" w:rsidRPr="00620130">
        <w:rPr>
          <w:sz w:val="22"/>
          <w:szCs w:val="22"/>
        </w:rPr>
        <w:t>:</w:t>
      </w:r>
    </w:p>
    <w:p w:rsidR="0085527C" w:rsidRPr="00620130" w:rsidRDefault="0085527C" w:rsidP="00BF2B0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71874" w:rsidRPr="00620130" w:rsidRDefault="00171874" w:rsidP="00171874">
      <w:pPr>
        <w:pStyle w:val="BodyText21"/>
        <w:jc w:val="left"/>
        <w:rPr>
          <w:sz w:val="22"/>
          <w:szCs w:val="22"/>
        </w:rPr>
      </w:pPr>
      <w:r w:rsidRPr="00620130">
        <w:rPr>
          <w:sz w:val="22"/>
          <w:szCs w:val="22"/>
        </w:rPr>
        <w:t xml:space="preserve">Tablica broj  16  Rashodi i izdaci po </w:t>
      </w:r>
      <w:r w:rsidR="00E41528" w:rsidRPr="00620130">
        <w:rPr>
          <w:sz w:val="22"/>
          <w:szCs w:val="22"/>
        </w:rPr>
        <w:t>upravnim odjelima</w:t>
      </w:r>
      <w:r w:rsidRPr="00620130">
        <w:rPr>
          <w:sz w:val="22"/>
          <w:szCs w:val="22"/>
        </w:rPr>
        <w:t xml:space="preserve">  za 2017.</w:t>
      </w:r>
    </w:p>
    <w:p w:rsidR="00171874" w:rsidRPr="00620130" w:rsidRDefault="00171874" w:rsidP="00BF2B01">
      <w:pPr>
        <w:pStyle w:val="BodyText21"/>
        <w:jc w:val="left"/>
        <w:rPr>
          <w:b w:val="0"/>
          <w:sz w:val="22"/>
          <w:szCs w:val="22"/>
        </w:rPr>
      </w:pPr>
      <w:r w:rsidRPr="00620130">
        <w:rPr>
          <w:sz w:val="22"/>
          <w:szCs w:val="22"/>
        </w:rPr>
        <w:tab/>
        <w:t>u 000 kuna</w:t>
      </w:r>
      <w:r w:rsidRPr="00620130">
        <w:rPr>
          <w:b w:val="0"/>
          <w:sz w:val="22"/>
          <w:szCs w:val="22"/>
        </w:rPr>
        <w:t xml:space="preserve"> (bez proračunskih korisnika)</w:t>
      </w:r>
    </w:p>
    <w:tbl>
      <w:tblPr>
        <w:tblW w:w="73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5"/>
        <w:gridCol w:w="1852"/>
        <w:gridCol w:w="1075"/>
      </w:tblGrid>
      <w:tr w:rsidR="00171874" w:rsidRPr="00620130" w:rsidTr="001301DB">
        <w:trPr>
          <w:trHeight w:val="338"/>
        </w:trPr>
        <w:tc>
          <w:tcPr>
            <w:tcW w:w="4435" w:type="dxa"/>
            <w:shd w:val="clear" w:color="auto" w:fill="auto"/>
            <w:vAlign w:val="center"/>
          </w:tcPr>
          <w:p w:rsidR="00171874" w:rsidRPr="00620130" w:rsidRDefault="00171874" w:rsidP="00A50B63">
            <w:pPr>
              <w:overflowPunct/>
              <w:autoSpaceDE/>
              <w:autoSpaceDN/>
              <w:adjustRightInd/>
              <w:textAlignment w:val="auto"/>
              <w:rPr>
                <w:b/>
                <w:bCs/>
                <w:sz w:val="22"/>
                <w:szCs w:val="22"/>
              </w:rPr>
            </w:pPr>
            <w:r w:rsidRPr="00620130">
              <w:rPr>
                <w:b/>
                <w:bCs/>
                <w:sz w:val="22"/>
                <w:szCs w:val="22"/>
              </w:rPr>
              <w:t>RAZDJEL</w:t>
            </w:r>
          </w:p>
        </w:tc>
        <w:tc>
          <w:tcPr>
            <w:tcW w:w="1852" w:type="dxa"/>
            <w:shd w:val="clear" w:color="auto" w:fill="auto"/>
            <w:vAlign w:val="center"/>
          </w:tcPr>
          <w:p w:rsidR="00171874" w:rsidRPr="00620130" w:rsidRDefault="00171874" w:rsidP="00A50B63">
            <w:pPr>
              <w:overflowPunct/>
              <w:autoSpaceDE/>
              <w:autoSpaceDN/>
              <w:adjustRightInd/>
              <w:jc w:val="center"/>
              <w:textAlignment w:val="auto"/>
              <w:rPr>
                <w:b/>
                <w:bCs/>
                <w:sz w:val="22"/>
                <w:szCs w:val="22"/>
              </w:rPr>
            </w:pPr>
            <w:r w:rsidRPr="00620130">
              <w:rPr>
                <w:b/>
                <w:bCs/>
                <w:sz w:val="22"/>
                <w:szCs w:val="22"/>
              </w:rPr>
              <w:t>2017.</w:t>
            </w:r>
          </w:p>
        </w:tc>
        <w:tc>
          <w:tcPr>
            <w:tcW w:w="1075" w:type="dxa"/>
            <w:shd w:val="clear" w:color="auto" w:fill="auto"/>
            <w:vAlign w:val="center"/>
          </w:tcPr>
          <w:p w:rsidR="00171874" w:rsidRPr="00620130" w:rsidRDefault="00171874" w:rsidP="00A50B63">
            <w:pPr>
              <w:overflowPunct/>
              <w:autoSpaceDE/>
              <w:autoSpaceDN/>
              <w:adjustRightInd/>
              <w:jc w:val="center"/>
              <w:textAlignment w:val="auto"/>
              <w:rPr>
                <w:b/>
                <w:bCs/>
                <w:sz w:val="22"/>
                <w:szCs w:val="22"/>
              </w:rPr>
            </w:pPr>
            <w:r w:rsidRPr="00620130">
              <w:rPr>
                <w:b/>
                <w:bCs/>
                <w:sz w:val="22"/>
                <w:szCs w:val="22"/>
              </w:rPr>
              <w:t>%</w:t>
            </w:r>
          </w:p>
        </w:tc>
      </w:tr>
      <w:tr w:rsidR="00171874" w:rsidRPr="001301DB" w:rsidTr="001301DB">
        <w:trPr>
          <w:trHeight w:val="271"/>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poslove gradonačelnika</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49.236</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13,0</w:t>
            </w:r>
          </w:p>
        </w:tc>
      </w:tr>
      <w:tr w:rsidR="00171874" w:rsidRPr="001301DB" w:rsidTr="001301DB">
        <w:trPr>
          <w:trHeight w:val="262"/>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gospodarenje gradskom  imovinom</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5.729</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1,5</w:t>
            </w:r>
          </w:p>
        </w:tc>
      </w:tr>
      <w:tr w:rsidR="00171874" w:rsidRPr="001301DB" w:rsidTr="001301DB">
        <w:trPr>
          <w:trHeight w:val="421"/>
        </w:trPr>
        <w:tc>
          <w:tcPr>
            <w:tcW w:w="4435" w:type="dxa"/>
            <w:shd w:val="clear" w:color="auto" w:fill="auto"/>
            <w:vAlign w:val="center"/>
          </w:tcPr>
          <w:p w:rsidR="00171874" w:rsidRPr="001301DB" w:rsidRDefault="00171874" w:rsidP="00A50B63">
            <w:pPr>
              <w:overflowPunct/>
              <w:autoSpaceDE/>
              <w:autoSpaceDN/>
              <w:adjustRightInd/>
              <w:textAlignment w:val="auto"/>
              <w:rPr>
                <w:szCs w:val="22"/>
              </w:rPr>
            </w:pPr>
            <w:r w:rsidRPr="001301DB">
              <w:rPr>
                <w:szCs w:val="22"/>
              </w:rPr>
              <w:t>Služba gradskog vijeća</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3.949</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1,0</w:t>
            </w:r>
          </w:p>
        </w:tc>
      </w:tr>
      <w:tr w:rsidR="00171874" w:rsidRPr="001301DB" w:rsidTr="00A50B63">
        <w:trPr>
          <w:trHeight w:val="289"/>
        </w:trPr>
        <w:tc>
          <w:tcPr>
            <w:tcW w:w="4435" w:type="dxa"/>
            <w:shd w:val="clear" w:color="auto" w:fill="auto"/>
            <w:vAlign w:val="center"/>
          </w:tcPr>
          <w:p w:rsidR="00171874" w:rsidRPr="001301DB" w:rsidRDefault="00171874" w:rsidP="00A50B63">
            <w:pPr>
              <w:overflowPunct/>
              <w:autoSpaceDE/>
              <w:autoSpaceDN/>
              <w:adjustRightInd/>
              <w:textAlignment w:val="auto"/>
              <w:rPr>
                <w:szCs w:val="22"/>
              </w:rPr>
            </w:pPr>
            <w:r w:rsidRPr="001301DB">
              <w:rPr>
                <w:szCs w:val="22"/>
              </w:rPr>
              <w:t>Upravni odjel za financije</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0</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0</w:t>
            </w:r>
          </w:p>
        </w:tc>
      </w:tr>
      <w:tr w:rsidR="00171874" w:rsidRPr="001301DB" w:rsidTr="00E41528">
        <w:trPr>
          <w:trHeight w:val="275"/>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turizam gospodarstvo i more</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10.728</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3,0</w:t>
            </w:r>
          </w:p>
        </w:tc>
      </w:tr>
      <w:tr w:rsidR="00171874" w:rsidRPr="001301DB" w:rsidTr="00A50B63">
        <w:trPr>
          <w:trHeight w:val="397"/>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komunalne djelat. i mjesnu samoupravu</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78.522</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20,7</w:t>
            </w:r>
          </w:p>
        </w:tc>
      </w:tr>
      <w:tr w:rsidR="00171874" w:rsidRPr="001301DB" w:rsidTr="00A50B63">
        <w:trPr>
          <w:trHeight w:val="417"/>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lastRenderedPageBreak/>
              <w:t>Upravni odjel za urbanizam prostorno planiranje  i zaštitu okoliša</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1.200</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0,3</w:t>
            </w:r>
          </w:p>
        </w:tc>
      </w:tr>
      <w:tr w:rsidR="00171874" w:rsidRPr="001301DB" w:rsidTr="00E41528">
        <w:trPr>
          <w:trHeight w:val="463"/>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obraz., šport, socijalnu skrb i civilno društvo</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100.467</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26,5</w:t>
            </w:r>
          </w:p>
        </w:tc>
      </w:tr>
      <w:tr w:rsidR="00171874" w:rsidRPr="001301DB" w:rsidTr="00A50B63">
        <w:trPr>
          <w:trHeight w:val="345"/>
        </w:trPr>
        <w:tc>
          <w:tcPr>
            <w:tcW w:w="4435" w:type="dxa"/>
            <w:shd w:val="clear" w:color="auto" w:fill="auto"/>
            <w:vAlign w:val="center"/>
          </w:tcPr>
          <w:p w:rsidR="00171874" w:rsidRPr="001301DB" w:rsidRDefault="00171874" w:rsidP="00A50B63">
            <w:pPr>
              <w:overflowPunct/>
              <w:autoSpaceDE/>
              <w:autoSpaceDN/>
              <w:adjustRightInd/>
              <w:textAlignment w:val="auto"/>
              <w:rPr>
                <w:szCs w:val="22"/>
              </w:rPr>
            </w:pPr>
            <w:r w:rsidRPr="001301DB">
              <w:rPr>
                <w:szCs w:val="22"/>
              </w:rPr>
              <w:t>Upravni odjel za kulturu i baštinu</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77.812</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20,5</w:t>
            </w:r>
          </w:p>
        </w:tc>
      </w:tr>
      <w:tr w:rsidR="00171874" w:rsidRPr="001301DB" w:rsidTr="00E41528">
        <w:trPr>
          <w:trHeight w:val="347"/>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izgradnju i upravljanje projektima</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32.154</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8,5</w:t>
            </w:r>
          </w:p>
        </w:tc>
      </w:tr>
      <w:tr w:rsidR="00171874" w:rsidRPr="001301DB" w:rsidTr="00E41528">
        <w:trPr>
          <w:trHeight w:val="267"/>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promet</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13.292</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3,5</w:t>
            </w:r>
          </w:p>
        </w:tc>
      </w:tr>
      <w:tr w:rsidR="001301DB" w:rsidRPr="001301DB" w:rsidTr="00A50B63">
        <w:trPr>
          <w:trHeight w:val="464"/>
        </w:trPr>
        <w:tc>
          <w:tcPr>
            <w:tcW w:w="4435" w:type="dxa"/>
            <w:shd w:val="clear" w:color="auto" w:fill="auto"/>
            <w:vAlign w:val="bottom"/>
          </w:tcPr>
          <w:p w:rsidR="001301DB" w:rsidRPr="001301DB" w:rsidRDefault="001301DB" w:rsidP="001301DB">
            <w:pPr>
              <w:overflowPunct/>
              <w:autoSpaceDE/>
              <w:autoSpaceDN/>
              <w:adjustRightInd/>
              <w:textAlignment w:val="auto"/>
              <w:rPr>
                <w:szCs w:val="22"/>
              </w:rPr>
            </w:pPr>
            <w:r w:rsidRPr="001301DB">
              <w:rPr>
                <w:szCs w:val="22"/>
              </w:rPr>
              <w:t>Upravni odjel za izdavannje i provedbu dok. i prostornog uređenja i gradnje</w:t>
            </w:r>
          </w:p>
        </w:tc>
        <w:tc>
          <w:tcPr>
            <w:tcW w:w="1852" w:type="dxa"/>
            <w:shd w:val="clear" w:color="auto" w:fill="auto"/>
            <w:vAlign w:val="center"/>
          </w:tcPr>
          <w:p w:rsidR="001301DB" w:rsidRPr="001301DB" w:rsidRDefault="001301DB" w:rsidP="00A50B63">
            <w:pPr>
              <w:overflowPunct/>
              <w:autoSpaceDE/>
              <w:autoSpaceDN/>
              <w:adjustRightInd/>
              <w:jc w:val="right"/>
              <w:textAlignment w:val="auto"/>
              <w:rPr>
                <w:szCs w:val="22"/>
              </w:rPr>
            </w:pPr>
            <w:r w:rsidRPr="001301DB">
              <w:rPr>
                <w:szCs w:val="22"/>
              </w:rPr>
              <w:t>0</w:t>
            </w:r>
          </w:p>
        </w:tc>
        <w:tc>
          <w:tcPr>
            <w:tcW w:w="1075" w:type="dxa"/>
            <w:shd w:val="clear" w:color="auto" w:fill="auto"/>
            <w:vAlign w:val="center"/>
          </w:tcPr>
          <w:p w:rsidR="001301DB" w:rsidRPr="001301DB" w:rsidRDefault="001301DB" w:rsidP="00A50B63">
            <w:pPr>
              <w:overflowPunct/>
              <w:autoSpaceDE/>
              <w:autoSpaceDN/>
              <w:adjustRightInd/>
              <w:jc w:val="right"/>
              <w:textAlignment w:val="auto"/>
              <w:rPr>
                <w:szCs w:val="22"/>
              </w:rPr>
            </w:pPr>
            <w:r w:rsidRPr="001301DB">
              <w:rPr>
                <w:szCs w:val="22"/>
              </w:rPr>
              <w:t>0</w:t>
            </w:r>
          </w:p>
        </w:tc>
      </w:tr>
      <w:tr w:rsidR="00171874" w:rsidRPr="001301DB" w:rsidTr="00A50B63">
        <w:trPr>
          <w:trHeight w:val="464"/>
        </w:trPr>
        <w:tc>
          <w:tcPr>
            <w:tcW w:w="4435" w:type="dxa"/>
            <w:shd w:val="clear" w:color="auto" w:fill="auto"/>
            <w:vAlign w:val="bottom"/>
          </w:tcPr>
          <w:p w:rsidR="00171874" w:rsidRPr="001301DB" w:rsidRDefault="00171874" w:rsidP="00A50B63">
            <w:pPr>
              <w:overflowPunct/>
              <w:autoSpaceDE/>
              <w:autoSpaceDN/>
              <w:adjustRightInd/>
              <w:textAlignment w:val="auto"/>
              <w:rPr>
                <w:szCs w:val="22"/>
              </w:rPr>
            </w:pPr>
            <w:r w:rsidRPr="001301DB">
              <w:rPr>
                <w:szCs w:val="22"/>
              </w:rPr>
              <w:t>Upravni odjel za eurospke fondove,regionalnu i međunarodnu suradnju</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5.700</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1,5</w:t>
            </w:r>
          </w:p>
        </w:tc>
      </w:tr>
      <w:tr w:rsidR="00171874" w:rsidRPr="001301DB" w:rsidTr="00E41528">
        <w:trPr>
          <w:trHeight w:val="313"/>
        </w:trPr>
        <w:tc>
          <w:tcPr>
            <w:tcW w:w="4435" w:type="dxa"/>
            <w:shd w:val="clear" w:color="auto" w:fill="auto"/>
            <w:vAlign w:val="center"/>
          </w:tcPr>
          <w:p w:rsidR="00171874" w:rsidRPr="001301DB" w:rsidRDefault="00171874" w:rsidP="00A50B63">
            <w:pPr>
              <w:overflowPunct/>
              <w:autoSpaceDE/>
              <w:autoSpaceDN/>
              <w:adjustRightInd/>
              <w:textAlignment w:val="auto"/>
              <w:rPr>
                <w:szCs w:val="22"/>
              </w:rPr>
            </w:pPr>
            <w:r w:rsidRPr="001301DB">
              <w:rPr>
                <w:szCs w:val="22"/>
              </w:rPr>
              <w:t>U K U P N O</w:t>
            </w:r>
          </w:p>
        </w:tc>
        <w:tc>
          <w:tcPr>
            <w:tcW w:w="1852"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378.789</w:t>
            </w:r>
          </w:p>
        </w:tc>
        <w:tc>
          <w:tcPr>
            <w:tcW w:w="1075" w:type="dxa"/>
            <w:shd w:val="clear" w:color="auto" w:fill="auto"/>
            <w:vAlign w:val="center"/>
          </w:tcPr>
          <w:p w:rsidR="00171874" w:rsidRPr="001301DB" w:rsidRDefault="00171874" w:rsidP="00A50B63">
            <w:pPr>
              <w:overflowPunct/>
              <w:autoSpaceDE/>
              <w:autoSpaceDN/>
              <w:adjustRightInd/>
              <w:jc w:val="right"/>
              <w:textAlignment w:val="auto"/>
              <w:rPr>
                <w:szCs w:val="22"/>
              </w:rPr>
            </w:pPr>
            <w:r w:rsidRPr="001301DB">
              <w:rPr>
                <w:szCs w:val="22"/>
              </w:rPr>
              <w:t>100</w:t>
            </w:r>
          </w:p>
        </w:tc>
      </w:tr>
    </w:tbl>
    <w:p w:rsidR="00171874" w:rsidRPr="001301DB" w:rsidRDefault="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2"/>
        </w:rPr>
      </w:pPr>
    </w:p>
    <w:p w:rsidR="00A37B29" w:rsidRPr="00120541" w:rsidRDefault="00E415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2"/>
        </w:rPr>
      </w:pPr>
      <w:r w:rsidRPr="00E41528">
        <w:rPr>
          <w:rFonts w:ascii="Times New" w:hAnsi="Times New"/>
          <w:b/>
          <w:noProof/>
          <w:sz w:val="22"/>
        </w:rPr>
        <w:drawing>
          <wp:inline distT="0" distB="0" distL="0" distR="0">
            <wp:extent cx="5743575" cy="6076950"/>
            <wp:effectExtent l="19050" t="0" r="9525" b="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7B29" w:rsidRDefault="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A510CE" w:rsidRDefault="00A510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A37B29" w:rsidRPr="001A6DA5" w:rsidRDefault="00CF7037" w:rsidP="001A6DA5">
      <w:pPr>
        <w:pStyle w:val="Odlomakpopisa"/>
        <w:numPr>
          <w:ilvl w:val="0"/>
          <w:numId w:val="4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1A6DA5">
        <w:rPr>
          <w:rFonts w:ascii="Arial" w:hAnsi="Arial" w:cs="Arial"/>
          <w:b/>
          <w:sz w:val="22"/>
          <w:szCs w:val="22"/>
        </w:rPr>
        <w:lastRenderedPageBreak/>
        <w:t xml:space="preserve">PRERASPODJELA </w:t>
      </w:r>
      <w:r w:rsidR="00A37B29" w:rsidRPr="001A6DA5">
        <w:rPr>
          <w:rFonts w:ascii="Arial" w:hAnsi="Arial" w:cs="Arial"/>
          <w:b/>
          <w:sz w:val="22"/>
          <w:szCs w:val="22"/>
        </w:rPr>
        <w:t xml:space="preserve"> sredstava unutar Proračuna </w:t>
      </w:r>
    </w:p>
    <w:p w:rsidR="00A37B29"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37B29"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37B29" w:rsidRPr="002E5555" w:rsidRDefault="00120541"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rFonts w:ascii="Arial" w:hAnsi="Arial" w:cs="Arial"/>
          <w:sz w:val="22"/>
          <w:szCs w:val="22"/>
        </w:rPr>
        <w:tab/>
      </w:r>
      <w:r w:rsidR="00A37B29" w:rsidRPr="002E5555">
        <w:rPr>
          <w:sz w:val="24"/>
          <w:szCs w:val="24"/>
        </w:rPr>
        <w:t>Budući je II rebalans proračuna Grada Dubrovnika bio usvojen</w:t>
      </w:r>
      <w:r w:rsidR="00BA2270" w:rsidRPr="002E5555">
        <w:rPr>
          <w:sz w:val="24"/>
          <w:szCs w:val="24"/>
        </w:rPr>
        <w:t xml:space="preserve"> dana </w:t>
      </w:r>
      <w:r w:rsidR="00A37B29" w:rsidRPr="002E5555">
        <w:rPr>
          <w:sz w:val="24"/>
          <w:szCs w:val="24"/>
        </w:rPr>
        <w:t>6. studenog 2017. godine, a u međuvremenu se pojavila potreba za kupnjom kombi vozila čije bi korištenje doprinijelo smanjenju putnih troškova</w:t>
      </w:r>
      <w:r w:rsidR="00BA2270" w:rsidRPr="002E5555">
        <w:rPr>
          <w:sz w:val="24"/>
          <w:szCs w:val="24"/>
        </w:rPr>
        <w:t xml:space="preserve"> gradske uprave</w:t>
      </w:r>
      <w:r w:rsidR="00A37B29" w:rsidRPr="002E5555">
        <w:rPr>
          <w:sz w:val="24"/>
          <w:szCs w:val="24"/>
        </w:rPr>
        <w:t>, pojavila se potreba za preraspodjelom novčanih sredstava unutar tri Upravna odjela.</w:t>
      </w:r>
      <w:r w:rsidR="0002379C" w:rsidRPr="002E5555">
        <w:rPr>
          <w:sz w:val="24"/>
          <w:szCs w:val="24"/>
        </w:rPr>
        <w:t>.</w:t>
      </w:r>
    </w:p>
    <w:p w:rsidR="00A37B29" w:rsidRPr="00620130"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37B29" w:rsidRPr="002E5555" w:rsidRDefault="00120541"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620130">
        <w:rPr>
          <w:sz w:val="22"/>
          <w:szCs w:val="22"/>
        </w:rPr>
        <w:tab/>
      </w:r>
      <w:r w:rsidR="00A37B29" w:rsidRPr="002E5555">
        <w:rPr>
          <w:sz w:val="24"/>
          <w:szCs w:val="24"/>
        </w:rPr>
        <w:t xml:space="preserve">Temeljem prethodne suglasnosti za predmetnom preraspodjelom novčanih sredstva, a koju je dao Upravni odjel za proračun, financije i naplatu (KLASA:400-06/16-02/01, URBROJ:2117/01-17-83 od 27.11.2017.), gradonačelnik Grada Dubrovnika donio je Odluku o preraspodjeli sredstava unutar Proračuna Grada Dubrovnika za 2017. </w:t>
      </w:r>
      <w:r w:rsidR="007D67AF">
        <w:rPr>
          <w:sz w:val="24"/>
          <w:szCs w:val="24"/>
        </w:rPr>
        <w:t>g</w:t>
      </w:r>
      <w:r w:rsidR="00A37B29" w:rsidRPr="002E5555">
        <w:rPr>
          <w:sz w:val="24"/>
          <w:szCs w:val="24"/>
        </w:rPr>
        <w:t>odinu</w:t>
      </w:r>
      <w:r w:rsidR="00C71752" w:rsidRPr="002E5555">
        <w:rPr>
          <w:sz w:val="24"/>
          <w:szCs w:val="24"/>
        </w:rPr>
        <w:t xml:space="preserve"> </w:t>
      </w:r>
      <w:r w:rsidR="00A37B29" w:rsidRPr="002E5555">
        <w:rPr>
          <w:sz w:val="24"/>
          <w:szCs w:val="24"/>
        </w:rPr>
        <w:t>(KLASA:400-06/16-02/01, URBROJ:2117/01-01-17-10 od 28. 11.2017.)</w:t>
      </w:r>
      <w:r w:rsidR="0002379C" w:rsidRPr="002E5555">
        <w:rPr>
          <w:sz w:val="24"/>
          <w:szCs w:val="24"/>
        </w:rPr>
        <w:t xml:space="preserve">, a </w:t>
      </w:r>
      <w:r w:rsidR="00C91AA9" w:rsidRPr="002E5555">
        <w:rPr>
          <w:sz w:val="24"/>
          <w:szCs w:val="24"/>
        </w:rPr>
        <w:t>čije je obrazloženje sastavni dio godišnjeg izvještaja o izvršenju proračuna.</w:t>
      </w:r>
      <w:r w:rsidR="0002379C" w:rsidRPr="002E5555">
        <w:rPr>
          <w:sz w:val="24"/>
          <w:szCs w:val="24"/>
        </w:rPr>
        <w:t>.</w:t>
      </w: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120541"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rFonts w:ascii="Arial" w:hAnsi="Arial" w:cs="Arial"/>
          <w:sz w:val="24"/>
          <w:szCs w:val="24"/>
        </w:rPr>
        <w:tab/>
      </w:r>
      <w:r w:rsidR="00A37B29" w:rsidRPr="002E5555">
        <w:rPr>
          <w:sz w:val="24"/>
          <w:szCs w:val="24"/>
        </w:rPr>
        <w:t>Preraspodjela na izvršena na sljedeći  način:</w:t>
      </w: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numPr>
          <w:ilvl w:val="0"/>
          <w:numId w:val="4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Upravni odjel za gospodarenje gradskom imovinom smanjio je sredstva na :</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Programu 037-zemljišta, projekt 037001-ostala zemljišta, konto 383-kazne, penali i naknade štete, tako da je od planiranih 2.300.000 kn smanjen iznos od 114.000 kn, a što je 4,95% stavke iz izvora11;</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Programu 037- zemljišta, projekt 037010-arena Lapad, konto 411-materijalna imovina-prirodna bogatstva, od planiranih 600.000 kn smanjen je iznos od 29.000 kn, a što je 4,83% stavke iz izvora 11;</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numPr>
          <w:ilvl w:val="0"/>
          <w:numId w:val="4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Upravni odjel za izgradnji i upravljanje projektima smanjio je sredstva na:</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Programu 139-društvena infrastruktura, projket139001 –Dječji vrtić Palčica, konto 451-dodatna ulaganja na građevinskim objektima, od planiranih 2.000.000 kn smanjen je iznos od 60.000 kn, a  što je 3% stavke  iz izvora 11;</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pStyle w:val="Odlomakpopisa"/>
        <w:numPr>
          <w:ilvl w:val="0"/>
          <w:numId w:val="4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Upravni odjel za poslove gradonačelnika sredstva je smanjio na:</w:t>
      </w: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2E5555">
        <w:rPr>
          <w:sz w:val="24"/>
          <w:szCs w:val="24"/>
        </w:rPr>
        <w:t>Programu 007-Oprema i namještaj za gradsku upravu, projekt 007001-Oprema i namještaj , konto 422 – postrojenja i opr</w:t>
      </w:r>
      <w:r w:rsidR="002D0EE5" w:rsidRPr="002E5555">
        <w:rPr>
          <w:sz w:val="24"/>
          <w:szCs w:val="24"/>
        </w:rPr>
        <w:t>e</w:t>
      </w:r>
      <w:r w:rsidRPr="002E5555">
        <w:rPr>
          <w:sz w:val="24"/>
          <w:szCs w:val="24"/>
        </w:rPr>
        <w:t>ma, od planiranih 1.048.000 kn smanjen je iznos od 47.000 kn, a što je 4,48% stavke iz izvora 11;</w:t>
      </w: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2E5555">
        <w:rPr>
          <w:sz w:val="24"/>
          <w:szCs w:val="24"/>
        </w:rPr>
        <w:t>Naveden</w:t>
      </w:r>
      <w:r w:rsidR="00AA3655" w:rsidRPr="002E5555">
        <w:rPr>
          <w:sz w:val="24"/>
          <w:szCs w:val="24"/>
        </w:rPr>
        <w:t>a</w:t>
      </w:r>
      <w:r w:rsidRPr="002E5555">
        <w:rPr>
          <w:sz w:val="24"/>
          <w:szCs w:val="24"/>
        </w:rPr>
        <w:t xml:space="preserve"> smanjenj</w:t>
      </w:r>
      <w:r w:rsidR="00AA3655" w:rsidRPr="002E5555">
        <w:rPr>
          <w:sz w:val="24"/>
          <w:szCs w:val="24"/>
        </w:rPr>
        <w:t>a</w:t>
      </w:r>
      <w:r w:rsidRPr="002E5555">
        <w:rPr>
          <w:sz w:val="24"/>
          <w:szCs w:val="24"/>
        </w:rPr>
        <w:t xml:space="preserve"> u ukupnom iznosu od 250.000 kn </w:t>
      </w:r>
      <w:r w:rsidR="00AA3655" w:rsidRPr="002E5555">
        <w:rPr>
          <w:sz w:val="24"/>
          <w:szCs w:val="24"/>
        </w:rPr>
        <w:t xml:space="preserve">, omogućila su </w:t>
      </w:r>
      <w:r w:rsidR="000C6EE0" w:rsidRPr="002E5555">
        <w:rPr>
          <w:sz w:val="24"/>
          <w:szCs w:val="24"/>
        </w:rPr>
        <w:t xml:space="preserve"> povećanje sredstva za isti iznos (250.000 kn) i to </w:t>
      </w:r>
      <w:r w:rsidRPr="002E5555">
        <w:rPr>
          <w:sz w:val="24"/>
          <w:szCs w:val="24"/>
        </w:rPr>
        <w:t>unutar Upravnog odjela za poslove gradonačelnika</w:t>
      </w:r>
      <w:r w:rsidR="000C6EE0" w:rsidRPr="002E5555">
        <w:rPr>
          <w:sz w:val="24"/>
          <w:szCs w:val="24"/>
        </w:rPr>
        <w:t xml:space="preserve"> </w:t>
      </w:r>
      <w:r w:rsidRPr="002E5555">
        <w:rPr>
          <w:sz w:val="24"/>
          <w:szCs w:val="24"/>
        </w:rPr>
        <w:t>na :</w:t>
      </w: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A37B29" w:rsidRPr="002E5555"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2E5555">
        <w:rPr>
          <w:sz w:val="24"/>
          <w:szCs w:val="24"/>
        </w:rPr>
        <w:t>Programu 007-Opr</w:t>
      </w:r>
      <w:r w:rsidR="000C6EE0" w:rsidRPr="002E5555">
        <w:rPr>
          <w:sz w:val="24"/>
          <w:szCs w:val="24"/>
        </w:rPr>
        <w:t>e</w:t>
      </w:r>
      <w:r w:rsidRPr="002E5555">
        <w:rPr>
          <w:sz w:val="24"/>
          <w:szCs w:val="24"/>
        </w:rPr>
        <w:t>ma i namještaj za gradsku upravu, projekt 007002-Prijevozna sredstva, konto 423-prijevozna sredstva u iznosu od 25</w:t>
      </w:r>
      <w:r w:rsidR="000C6EE0" w:rsidRPr="002E5555">
        <w:rPr>
          <w:sz w:val="24"/>
          <w:szCs w:val="24"/>
        </w:rPr>
        <w:t>0</w:t>
      </w:r>
      <w:r w:rsidRPr="002E5555">
        <w:rPr>
          <w:sz w:val="24"/>
          <w:szCs w:val="24"/>
        </w:rPr>
        <w:t>.000 kn.</w:t>
      </w:r>
    </w:p>
    <w:p w:rsidR="00A37B29" w:rsidRPr="002E5555" w:rsidRDefault="00A37B29" w:rsidP="00A37B29">
      <w:pPr>
        <w:pStyle w:val="Odlomakpopisa"/>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37B29" w:rsidRPr="002E5555" w:rsidRDefault="0012054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E5555">
        <w:rPr>
          <w:sz w:val="24"/>
          <w:szCs w:val="24"/>
        </w:rPr>
        <w:tab/>
      </w:r>
      <w:r w:rsidR="00A37B29" w:rsidRPr="002E5555">
        <w:rPr>
          <w:sz w:val="24"/>
          <w:szCs w:val="24"/>
        </w:rPr>
        <w:t xml:space="preserve">Ova preraspodjela sredstva između gore navedenih upravnih odjela,  provedena je u skladu s Odredbom članka 46. stavka 2. Zakona o proračunu i članka 11. Odluke o izvršavanu proračuna za 2017. godinu i istom se utvrđeni ukupni iznos Proračuna Grada </w:t>
      </w:r>
      <w:r w:rsidR="00A37B29" w:rsidRPr="002E5555">
        <w:rPr>
          <w:sz w:val="24"/>
          <w:szCs w:val="24"/>
        </w:rPr>
        <w:lastRenderedPageBreak/>
        <w:t>Dubrovnika za 2017. godinu nije izmijenio.</w:t>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r w:rsidR="00A37B29" w:rsidRPr="002E5555">
        <w:rPr>
          <w:sz w:val="24"/>
          <w:szCs w:val="24"/>
        </w:rPr>
        <w:tab/>
      </w:r>
    </w:p>
    <w:p w:rsidR="008A5DE5" w:rsidRPr="002E5555" w:rsidRDefault="008A5DE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2D0EE5" w:rsidRPr="002E5555" w:rsidRDefault="002D0EE5" w:rsidP="00B862B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p>
    <w:p w:rsidR="00757AEA" w:rsidRPr="000A46F7" w:rsidRDefault="002D0EE5" w:rsidP="00B862B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ab/>
      </w:r>
      <w:r w:rsidR="008B14C7">
        <w:rPr>
          <w:b/>
          <w:sz w:val="24"/>
        </w:rPr>
        <w:t>5</w:t>
      </w:r>
      <w:r w:rsidR="00757AEA" w:rsidRPr="000A46F7">
        <w:rPr>
          <w:b/>
          <w:sz w:val="24"/>
          <w:szCs w:val="24"/>
        </w:rPr>
        <w:t xml:space="preserve">. </w:t>
      </w:r>
      <w:r w:rsidR="00FF3EA7">
        <w:rPr>
          <w:b/>
          <w:sz w:val="24"/>
          <w:szCs w:val="24"/>
        </w:rPr>
        <w:t xml:space="preserve"> </w:t>
      </w:r>
      <w:r w:rsidR="002C3D6E" w:rsidRPr="000A46F7">
        <w:rPr>
          <w:b/>
          <w:sz w:val="24"/>
          <w:szCs w:val="24"/>
        </w:rPr>
        <w:t xml:space="preserve">VIŠAK  </w:t>
      </w:r>
      <w:r w:rsidR="002C3D6E">
        <w:rPr>
          <w:b/>
          <w:sz w:val="24"/>
          <w:szCs w:val="24"/>
        </w:rPr>
        <w:t>PRIHODA ZA PRIJENOS U NAREDNO RAZDOBLJE</w:t>
      </w:r>
    </w:p>
    <w:p w:rsidR="00757AEA" w:rsidRDefault="00757AE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27F5C" w:rsidRPr="00C36EA0" w:rsidRDefault="00827F5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4"/>
        </w:rPr>
      </w:pPr>
    </w:p>
    <w:p w:rsidR="003B0A62" w:rsidRPr="00B636E3" w:rsidRDefault="00757AEA" w:rsidP="005C5747">
      <w:pPr>
        <w:pStyle w:val="Tijeloteksta"/>
        <w:jc w:val="both"/>
        <w:rPr>
          <w:sz w:val="24"/>
        </w:rPr>
      </w:pPr>
      <w:r w:rsidRPr="00C36EA0">
        <w:rPr>
          <w:color w:val="FF0000"/>
          <w:sz w:val="24"/>
        </w:rPr>
        <w:tab/>
      </w:r>
      <w:r w:rsidR="000A46F7" w:rsidRPr="00B636E3">
        <w:rPr>
          <w:sz w:val="24"/>
        </w:rPr>
        <w:tab/>
      </w:r>
      <w:r w:rsidR="005C5747" w:rsidRPr="00B636E3">
        <w:rPr>
          <w:sz w:val="24"/>
        </w:rPr>
        <w:t>U 2017. godini ukupni prihodi i primici, te prenesena sredstva iz 2016. godine Grada Dubrovnika i njegovih proračunskih korisnika, ostvareni su u iznosu o d</w:t>
      </w:r>
      <w:r w:rsidR="0024773F" w:rsidRPr="00B636E3">
        <w:rPr>
          <w:sz w:val="24"/>
        </w:rPr>
        <w:t xml:space="preserve"> </w:t>
      </w:r>
      <w:r w:rsidR="005C5747" w:rsidRPr="00B636E3">
        <w:rPr>
          <w:sz w:val="24"/>
        </w:rPr>
        <w:t>447.643.545 kuna.</w:t>
      </w:r>
    </w:p>
    <w:p w:rsidR="005C5747" w:rsidRPr="00B636E3" w:rsidRDefault="005C5747" w:rsidP="005C5747">
      <w:pPr>
        <w:pStyle w:val="Tijeloteksta"/>
        <w:jc w:val="both"/>
        <w:rPr>
          <w:sz w:val="24"/>
        </w:rPr>
      </w:pPr>
      <w:r w:rsidRPr="00B636E3">
        <w:rPr>
          <w:sz w:val="24"/>
        </w:rPr>
        <w:tab/>
      </w:r>
      <w:r w:rsidRPr="00B636E3">
        <w:rPr>
          <w:sz w:val="24"/>
        </w:rPr>
        <w:tab/>
        <w:t>Ukupni rashodi i izdaci Grada Dubrovnika i njegovih proračunskih korisnika u 2017. godini ostvareni su u iznosu od 425.589.424 kn.</w:t>
      </w:r>
    </w:p>
    <w:p w:rsidR="00DE359A" w:rsidRPr="00B636E3" w:rsidRDefault="00DE359A" w:rsidP="005C5747">
      <w:pPr>
        <w:pStyle w:val="Tijeloteksta"/>
        <w:jc w:val="both"/>
        <w:rPr>
          <w:sz w:val="24"/>
        </w:rPr>
      </w:pPr>
      <w:r w:rsidRPr="00B636E3">
        <w:rPr>
          <w:sz w:val="24"/>
        </w:rPr>
        <w:tab/>
      </w:r>
      <w:r w:rsidRPr="00B636E3">
        <w:rPr>
          <w:sz w:val="24"/>
        </w:rPr>
        <w:tab/>
        <w:t>Slijedom navedenog proizlazi da je ostvaren višak prihoda za prijenos u naredno razdoblje (u konsolidiranom smislu) u iznosu od 22.054.120 kuna.</w:t>
      </w:r>
    </w:p>
    <w:p w:rsidR="00DE359A" w:rsidRPr="00B636E3" w:rsidRDefault="00DE359A" w:rsidP="005C5747">
      <w:pPr>
        <w:pStyle w:val="Tijeloteksta"/>
        <w:jc w:val="both"/>
        <w:rPr>
          <w:sz w:val="24"/>
        </w:rPr>
      </w:pPr>
      <w:r w:rsidRPr="00B636E3">
        <w:rPr>
          <w:sz w:val="24"/>
        </w:rPr>
        <w:tab/>
      </w:r>
      <w:r w:rsidRPr="00B636E3">
        <w:rPr>
          <w:sz w:val="24"/>
        </w:rPr>
        <w:tab/>
        <w:t>Grad Dubrovnik ostvario je višak u iznosu od 2</w:t>
      </w:r>
      <w:r w:rsidR="0024773F" w:rsidRPr="00B636E3">
        <w:rPr>
          <w:sz w:val="24"/>
        </w:rPr>
        <w:t>6</w:t>
      </w:r>
      <w:r w:rsidRPr="00B636E3">
        <w:rPr>
          <w:sz w:val="24"/>
        </w:rPr>
        <w:t xml:space="preserve">.103.532 kn, koji će biti raspoređen za trošenje sukladno Odluci o raspodjeli financijskog rezultata – viška iz 2017. godine, a koja će se razmatrati kao </w:t>
      </w:r>
      <w:r w:rsidR="007D73F4">
        <w:rPr>
          <w:sz w:val="24"/>
        </w:rPr>
        <w:t>zase</w:t>
      </w:r>
      <w:bookmarkStart w:id="1" w:name="_GoBack"/>
      <w:bookmarkEnd w:id="1"/>
      <w:r w:rsidR="007D73F4">
        <w:rPr>
          <w:sz w:val="24"/>
        </w:rPr>
        <w:t>bna</w:t>
      </w:r>
      <w:r w:rsidRPr="00B636E3">
        <w:rPr>
          <w:sz w:val="24"/>
        </w:rPr>
        <w:t xml:space="preserve"> točka  na sjednici Gradskog vijeća Grada Dubrovnika.</w:t>
      </w:r>
    </w:p>
    <w:p w:rsidR="00DE359A" w:rsidRPr="00B636E3" w:rsidRDefault="00DE359A" w:rsidP="005C5747">
      <w:pPr>
        <w:pStyle w:val="Tijeloteksta"/>
        <w:jc w:val="both"/>
        <w:rPr>
          <w:sz w:val="24"/>
        </w:rPr>
      </w:pPr>
      <w:r w:rsidRPr="00B636E3">
        <w:rPr>
          <w:sz w:val="24"/>
        </w:rPr>
        <w:tab/>
      </w:r>
      <w:r w:rsidRPr="00B636E3">
        <w:rPr>
          <w:sz w:val="24"/>
        </w:rPr>
        <w:tab/>
        <w:t>Kod proračunskih korisnika</w:t>
      </w:r>
      <w:r w:rsidR="00B636E3" w:rsidRPr="00B636E3">
        <w:rPr>
          <w:sz w:val="24"/>
        </w:rPr>
        <w:t>, njih sedamnaest</w:t>
      </w:r>
      <w:r w:rsidRPr="00B636E3">
        <w:rPr>
          <w:sz w:val="24"/>
        </w:rPr>
        <w:t xml:space="preserve"> je ostvarilo višak prihoda za prijenos u naredno razdoblje, a dva su ostvarila manjak koji se treba pokriti u narednim razdobljima (POS Agencija i Dječji vrtići)</w:t>
      </w:r>
      <w:r w:rsidR="00B636E3" w:rsidRPr="00B636E3">
        <w:rPr>
          <w:sz w:val="24"/>
        </w:rPr>
        <w:t>.</w:t>
      </w:r>
    </w:p>
    <w:p w:rsidR="005C5747" w:rsidRPr="00B636E3" w:rsidRDefault="00283134" w:rsidP="005C5747">
      <w:pPr>
        <w:pStyle w:val="Tijeloteksta"/>
        <w:jc w:val="both"/>
        <w:rPr>
          <w:sz w:val="24"/>
        </w:rPr>
      </w:pPr>
      <w:r w:rsidRPr="00B636E3">
        <w:rPr>
          <w:sz w:val="24"/>
        </w:rPr>
        <w:tab/>
      </w:r>
      <w:r w:rsidRPr="00B636E3">
        <w:rPr>
          <w:sz w:val="24"/>
        </w:rPr>
        <w:tab/>
        <w:t>Sukladno iznesenom, ukupan financijski rezultat proračunskih kori</w:t>
      </w:r>
      <w:r w:rsidR="00860B4E" w:rsidRPr="00B636E3">
        <w:rPr>
          <w:sz w:val="24"/>
        </w:rPr>
        <w:t>s</w:t>
      </w:r>
      <w:r w:rsidRPr="00B636E3">
        <w:rPr>
          <w:sz w:val="24"/>
        </w:rPr>
        <w:t>nika ostvaren je kao manjak</w:t>
      </w:r>
      <w:r w:rsidR="00860B4E" w:rsidRPr="00B636E3">
        <w:rPr>
          <w:sz w:val="24"/>
        </w:rPr>
        <w:t xml:space="preserve"> u iznosu od 4.049.414 kn, zbog čega je u rekapitulaciji konačan rezultat iskazan kao višak prihoda u iznosu od 22.054.120 kuna.</w:t>
      </w:r>
    </w:p>
    <w:p w:rsidR="0060404F" w:rsidRDefault="0060404F" w:rsidP="00AA6FCF">
      <w:pPr>
        <w:pStyle w:val="Tijeloteksta"/>
        <w:jc w:val="both"/>
        <w:rPr>
          <w:b/>
          <w:sz w:val="24"/>
        </w:rPr>
      </w:pPr>
    </w:p>
    <w:p w:rsidR="0060404F" w:rsidRDefault="0060404F" w:rsidP="0060404F">
      <w:pPr>
        <w:pStyle w:val="Tijeloteksta"/>
        <w:jc w:val="both"/>
        <w:rPr>
          <w:b/>
          <w:sz w:val="24"/>
        </w:rPr>
      </w:pPr>
    </w:p>
    <w:p w:rsidR="0060404F" w:rsidRDefault="0060404F" w:rsidP="0060404F">
      <w:pPr>
        <w:pStyle w:val="Tijeloteksta"/>
        <w:jc w:val="both"/>
        <w:rPr>
          <w:b/>
          <w:sz w:val="24"/>
        </w:rPr>
      </w:pPr>
    </w:p>
    <w:p w:rsidR="00A50B63" w:rsidRDefault="00FF3EA7" w:rsidP="00A50B63">
      <w:pPr>
        <w:ind w:firstLine="720"/>
        <w:jc w:val="both"/>
        <w:rPr>
          <w:b/>
          <w:sz w:val="24"/>
        </w:rPr>
      </w:pPr>
      <w:r>
        <w:rPr>
          <w:b/>
          <w:sz w:val="24"/>
        </w:rPr>
        <w:t>6</w:t>
      </w:r>
      <w:r w:rsidR="00A50B63">
        <w:rPr>
          <w:b/>
          <w:sz w:val="24"/>
        </w:rPr>
        <w:t xml:space="preserve">.  PREGLED POTRAŽIVANJA, NEPODMIRENIH OBVEZA </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 xml:space="preserve">   </w:t>
      </w:r>
      <w:r>
        <w:rPr>
          <w:b/>
          <w:sz w:val="24"/>
        </w:rPr>
        <w:tab/>
        <w:t xml:space="preserve">     I MOGUĆIH OBVEZA GRADA DUBROVNIKA</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B93E78" w:rsidRDefault="00B93E78"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A50B63" w:rsidRDefault="00F7666B"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ab/>
      </w:r>
      <w:r w:rsidR="00FF3EA7">
        <w:rPr>
          <w:b/>
          <w:sz w:val="24"/>
        </w:rPr>
        <w:t>6</w:t>
      </w:r>
      <w:r w:rsidR="00A50B63">
        <w:rPr>
          <w:b/>
          <w:sz w:val="24"/>
        </w:rPr>
        <w:t>.1. Pregled potraživanja</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Grad Dubrovnik vodi posebnu brigu o naplati potraživanja i provodi zakonima propisane mjere naplate (provodi kompenzacije i cesije, šalje opomene, odobrava obročne otplate, provodi postupke prisilne naplate, prijavljuje svoja potraživanja u postupcima predstečajnih nagodbi, stečaja i likvidacija). Za svako zakašnjelo plaćanje programski se zaračunavaju pripadajuće zakonske zatezne kamate. </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Svi dužnici, bilo da se radi o zakupima, porezima, naknadama ili doprinosima, mjesečno (odnosno godišnje) dobivaju opomene i opomene pred ovrhu. Redovito se, tijekom cijele godine, poduzimaju sve raspoložive mjere prisilne naplate dospjelih potraživanja čime Grad Dubrovnik dosljedno i u potpunosti ispunjava svoja zakonska prava i obveze. No, sadašnja određenja Ovršnog zakona, Općeg poreznog zakona, Zakona o obveznim odnosima, Zakona o trgovačkim društvima i drugih komplementarnih propisa više štite dužnika u odnosu na vjerovnika pa je naplata potraživanja opći problem financijskog poslovanja u Republici Hrvatskoj. </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b/>
          <w:bCs/>
          <w:sz w:val="24"/>
        </w:rPr>
        <w:t>I.:</w:t>
      </w:r>
      <w:r>
        <w:rPr>
          <w:sz w:val="24"/>
        </w:rPr>
        <w:tab/>
      </w:r>
      <w:r>
        <w:rPr>
          <w:b/>
          <w:bCs/>
          <w:sz w:val="24"/>
          <w:u w:val="single"/>
        </w:rPr>
        <w:t>Potraživanja Grada Dubrovnika iznose = 83.276.161,91 kunu.</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U tablici Pregled potraživanja Grada Dubrovnika na dan 31.12.2017.g. razvrstana su</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lastRenderedPageBreak/>
        <w:tab/>
        <w:t xml:space="preserve">u 37 grupa. Ovo je ukupan iznos potraživanja </w:t>
      </w:r>
      <w:r>
        <w:rPr>
          <w:sz w:val="24"/>
          <w:u w:val="single"/>
        </w:rPr>
        <w:t xml:space="preserve">od kojih se (38,06) % odnosi na </w:t>
      </w:r>
      <w:r>
        <w:rPr>
          <w:sz w:val="24"/>
        </w:rPr>
        <w:tab/>
      </w:r>
      <w:r>
        <w:rPr>
          <w:sz w:val="24"/>
          <w:u w:val="single"/>
        </w:rPr>
        <w:t>nedospjela potraživanja</w:t>
      </w:r>
      <w:r>
        <w:rPr>
          <w:sz w:val="24"/>
        </w:rPr>
        <w:t xml:space="preserve">. Da bi se lakše razumio Pregled u daljnjem tekstu </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naznačit će se razlika između dospjelih i nedospjelih potraživanja i, u priloženim</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Pr>
          <w:i/>
          <w:iCs/>
          <w:sz w:val="24"/>
        </w:rPr>
        <w:t>Tablicama Potraživanja A i B</w:t>
      </w:r>
      <w:r>
        <w:rPr>
          <w:sz w:val="24"/>
        </w:rPr>
        <w:t>,  navesti brojčane pokazatelje nedospjelih i</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dospjelih potraživanja, te dati podaci o poslanim opomenama i aktivnim ovrhama. </w:t>
      </w:r>
    </w:p>
    <w:p w:rsidR="00A50B63" w:rsidRDefault="00A50B63" w:rsidP="00A50B6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A50B63" w:rsidRDefault="00A50B63" w:rsidP="00A50B63">
      <w:pPr>
        <w:widowControl w:val="0"/>
        <w:suppressAutoHyphens/>
        <w:overflowPunct/>
        <w:autoSpaceDE/>
        <w:textAlignment w:val="auto"/>
        <w:rPr>
          <w:sz w:val="24"/>
          <w:szCs w:val="24"/>
        </w:rPr>
      </w:pPr>
      <w:r>
        <w:rPr>
          <w:b/>
          <w:bCs/>
          <w:sz w:val="24"/>
          <w:szCs w:val="24"/>
        </w:rPr>
        <w:t xml:space="preserve">II.: </w:t>
      </w:r>
      <w:r>
        <w:rPr>
          <w:b/>
          <w:bCs/>
          <w:sz w:val="24"/>
          <w:szCs w:val="24"/>
        </w:rPr>
        <w:tab/>
        <w:t>NEDOSPJELA potraživanja ukupno iznose = 31.691.859,22  kn</w:t>
      </w:r>
      <w:r>
        <w:rPr>
          <w:sz w:val="24"/>
          <w:szCs w:val="24"/>
        </w:rPr>
        <w:t>,</w:t>
      </w:r>
    </w:p>
    <w:p w:rsidR="00A50B63" w:rsidRDefault="00A50B63" w:rsidP="00A50B63">
      <w:pPr>
        <w:widowControl w:val="0"/>
        <w:suppressAutoHyphens/>
        <w:overflowPunct/>
        <w:autoSpaceDE/>
        <w:ind w:firstLine="720"/>
        <w:textAlignment w:val="auto"/>
        <w:rPr>
          <w:sz w:val="24"/>
          <w:szCs w:val="24"/>
        </w:rPr>
      </w:pPr>
      <w:r>
        <w:rPr>
          <w:sz w:val="24"/>
          <w:szCs w:val="24"/>
        </w:rPr>
        <w:t>a odnose se na financijska potraživanja budućih vremenskih razdoblja ali ih se</w:t>
      </w:r>
    </w:p>
    <w:p w:rsidR="00A50B63" w:rsidRDefault="00A50B63" w:rsidP="00A50B63">
      <w:pPr>
        <w:widowControl w:val="0"/>
        <w:suppressAutoHyphens/>
        <w:overflowPunct/>
        <w:autoSpaceDE/>
        <w:ind w:firstLine="720"/>
        <w:textAlignment w:val="auto"/>
        <w:rPr>
          <w:b/>
          <w:bCs/>
          <w:sz w:val="24"/>
          <w:szCs w:val="24"/>
        </w:rPr>
      </w:pPr>
      <w:r>
        <w:rPr>
          <w:sz w:val="24"/>
          <w:szCs w:val="24"/>
        </w:rPr>
        <w:t>radi zah</w:t>
      </w:r>
      <w:r w:rsidR="00F1331B">
        <w:rPr>
          <w:sz w:val="24"/>
          <w:szCs w:val="24"/>
        </w:rPr>
        <w:t>t</w:t>
      </w:r>
      <w:r>
        <w:rPr>
          <w:sz w:val="24"/>
          <w:szCs w:val="24"/>
        </w:rPr>
        <w:t>jeva revizije i financijskog poslovanja mora prikazati u izvješćima, a to su:</w:t>
      </w:r>
    </w:p>
    <w:p w:rsidR="00A50B63" w:rsidRDefault="00A50B63" w:rsidP="00A50B63">
      <w:pPr>
        <w:widowControl w:val="0"/>
        <w:suppressAutoHyphens/>
        <w:overflowPunct/>
        <w:autoSpaceDE/>
        <w:ind w:firstLine="720"/>
        <w:textAlignment w:val="auto"/>
        <w:rPr>
          <w:b/>
          <w:bCs/>
          <w:sz w:val="24"/>
          <w:szCs w:val="24"/>
        </w:rPr>
      </w:pPr>
    </w:p>
    <w:p w:rsidR="00A50B63" w:rsidRDefault="00A50B63" w:rsidP="00A50B63">
      <w:pPr>
        <w:rPr>
          <w:sz w:val="24"/>
          <w:szCs w:val="24"/>
        </w:rPr>
      </w:pPr>
      <w:r>
        <w:rPr>
          <w:sz w:val="24"/>
          <w:szCs w:val="24"/>
        </w:rPr>
        <w:t>Red.br. 11.:</w:t>
      </w:r>
      <w:r>
        <w:rPr>
          <w:sz w:val="24"/>
          <w:szCs w:val="24"/>
        </w:rPr>
        <w:tab/>
      </w:r>
      <w:r>
        <w:rPr>
          <w:i/>
          <w:iCs/>
          <w:sz w:val="24"/>
          <w:szCs w:val="24"/>
        </w:rPr>
        <w:t>Potraživanja za prihode od financijske imovine</w:t>
      </w:r>
    </w:p>
    <w:p w:rsidR="00A50B63" w:rsidRDefault="00A50B63" w:rsidP="00A50B63">
      <w:pPr>
        <w:rPr>
          <w:sz w:val="24"/>
          <w:szCs w:val="24"/>
        </w:rPr>
      </w:pPr>
      <w:r>
        <w:rPr>
          <w:sz w:val="24"/>
          <w:szCs w:val="24"/>
        </w:rPr>
        <w:tab/>
        <w:t>Potraživanje se odnosi na nedospjele kamate za prodane stanove Grada, 3 ugovora.</w:t>
      </w:r>
    </w:p>
    <w:p w:rsidR="00A50B63" w:rsidRDefault="00A50B63" w:rsidP="00A50B63">
      <w:pPr>
        <w:rPr>
          <w:sz w:val="24"/>
          <w:szCs w:val="24"/>
        </w:rPr>
      </w:pPr>
      <w:r>
        <w:rPr>
          <w:sz w:val="24"/>
          <w:szCs w:val="24"/>
        </w:rPr>
        <w:t>Red.br. 14.:</w:t>
      </w:r>
      <w:r>
        <w:rPr>
          <w:sz w:val="24"/>
          <w:szCs w:val="24"/>
        </w:rPr>
        <w:tab/>
      </w:r>
      <w:r>
        <w:rPr>
          <w:i/>
          <w:iCs/>
          <w:sz w:val="24"/>
          <w:szCs w:val="24"/>
        </w:rPr>
        <w:t>Potraživanja po osnovu stare devizne štednje</w:t>
      </w:r>
    </w:p>
    <w:p w:rsidR="00A50B63" w:rsidRDefault="00A50B63" w:rsidP="00A50B63">
      <w:pPr>
        <w:rPr>
          <w:sz w:val="24"/>
          <w:szCs w:val="24"/>
        </w:rPr>
      </w:pPr>
      <w:r>
        <w:rPr>
          <w:sz w:val="24"/>
          <w:szCs w:val="24"/>
        </w:rPr>
        <w:tab/>
        <w:t>Potraživanje se odnosi na potraživanje po obveznicama javnog duga s osnove</w:t>
      </w:r>
    </w:p>
    <w:p w:rsidR="00A50B63" w:rsidRDefault="00A50B63" w:rsidP="00A50B63">
      <w:pPr>
        <w:rPr>
          <w:sz w:val="24"/>
          <w:szCs w:val="24"/>
        </w:rPr>
      </w:pPr>
      <w:r>
        <w:rPr>
          <w:sz w:val="24"/>
          <w:szCs w:val="24"/>
        </w:rPr>
        <w:tab/>
        <w:t>prodaje stanova za staru deviznu štednju.</w:t>
      </w:r>
    </w:p>
    <w:p w:rsidR="00A50B63" w:rsidRDefault="00A50B63" w:rsidP="00A50B63">
      <w:pPr>
        <w:rPr>
          <w:sz w:val="24"/>
          <w:szCs w:val="24"/>
        </w:rPr>
      </w:pPr>
      <w:r>
        <w:rPr>
          <w:sz w:val="24"/>
          <w:szCs w:val="24"/>
        </w:rPr>
        <w:t>Red.br. 16.:</w:t>
      </w:r>
      <w:r>
        <w:rPr>
          <w:sz w:val="24"/>
          <w:szCs w:val="24"/>
        </w:rPr>
        <w:tab/>
      </w:r>
      <w:r>
        <w:rPr>
          <w:i/>
          <w:iCs/>
          <w:sz w:val="24"/>
          <w:szCs w:val="24"/>
        </w:rPr>
        <w:t>Potraživanja za nedostajuća parkirna mjesta – veći dio</w:t>
      </w:r>
    </w:p>
    <w:p w:rsidR="00A50B63" w:rsidRDefault="00A50B63" w:rsidP="00A50B63">
      <w:pPr>
        <w:rPr>
          <w:sz w:val="24"/>
          <w:szCs w:val="24"/>
        </w:rPr>
      </w:pPr>
      <w:r>
        <w:rPr>
          <w:sz w:val="24"/>
          <w:szCs w:val="24"/>
        </w:rPr>
        <w:tab/>
      </w:r>
      <w:r w:rsidRPr="00A20137">
        <w:rPr>
          <w:sz w:val="24"/>
          <w:szCs w:val="24"/>
        </w:rPr>
        <w:t>Obveze 3 obveznika su nedospjele jer se čeka potvrda na glavni projekt itd.</w:t>
      </w:r>
    </w:p>
    <w:p w:rsidR="00A50B63" w:rsidRDefault="00A50B63" w:rsidP="00A50B63">
      <w:pPr>
        <w:rPr>
          <w:sz w:val="24"/>
          <w:szCs w:val="24"/>
        </w:rPr>
      </w:pPr>
      <w:r>
        <w:rPr>
          <w:sz w:val="24"/>
          <w:szCs w:val="24"/>
        </w:rPr>
        <w:t>Red.br. 22.:</w:t>
      </w:r>
      <w:r>
        <w:rPr>
          <w:sz w:val="24"/>
          <w:szCs w:val="24"/>
        </w:rPr>
        <w:tab/>
      </w:r>
      <w:r>
        <w:rPr>
          <w:i/>
          <w:iCs/>
          <w:sz w:val="24"/>
          <w:szCs w:val="24"/>
        </w:rPr>
        <w:t>Potraživanja za stambene objekte</w:t>
      </w:r>
    </w:p>
    <w:p w:rsidR="00A50B63" w:rsidRDefault="00A50B63" w:rsidP="00A50B63">
      <w:pPr>
        <w:rPr>
          <w:sz w:val="24"/>
          <w:szCs w:val="24"/>
        </w:rPr>
      </w:pPr>
      <w:r>
        <w:rPr>
          <w:sz w:val="24"/>
          <w:szCs w:val="24"/>
        </w:rPr>
        <w:tab/>
        <w:t>Potraživanja smanjena, odnose se na anuitete prodanih stanova, koji posao radi</w:t>
      </w:r>
    </w:p>
    <w:p w:rsidR="00A50B63" w:rsidRDefault="00A50B63" w:rsidP="00A50B63">
      <w:pPr>
        <w:rPr>
          <w:sz w:val="24"/>
          <w:szCs w:val="24"/>
        </w:rPr>
      </w:pPr>
      <w:r>
        <w:rPr>
          <w:sz w:val="24"/>
          <w:szCs w:val="24"/>
        </w:rPr>
        <w:tab/>
        <w:t>Domouprava po ugovoru iz 1998.g. Nadalje, Agencija za pravni promet i</w:t>
      </w:r>
    </w:p>
    <w:p w:rsidR="00A50B63" w:rsidRDefault="00A50B63" w:rsidP="00A50B63">
      <w:pPr>
        <w:rPr>
          <w:sz w:val="24"/>
          <w:szCs w:val="24"/>
        </w:rPr>
      </w:pPr>
      <w:r>
        <w:rPr>
          <w:sz w:val="24"/>
          <w:szCs w:val="24"/>
        </w:rPr>
        <w:tab/>
        <w:t>posredovanje nekretninama, koja provodi program društveno poticane stanogradnje,</w:t>
      </w:r>
    </w:p>
    <w:p w:rsidR="00A50B63" w:rsidRPr="00F3287F" w:rsidRDefault="00A50B63" w:rsidP="00A50B63">
      <w:pPr>
        <w:rPr>
          <w:sz w:val="24"/>
          <w:szCs w:val="24"/>
        </w:rPr>
      </w:pPr>
      <w:r>
        <w:rPr>
          <w:sz w:val="24"/>
          <w:szCs w:val="24"/>
        </w:rPr>
        <w:tab/>
        <w:t xml:space="preserve">u 2010. g. je dostavila izvod otvorenih stavaka prema kojemu </w:t>
      </w:r>
      <w:r w:rsidRPr="00F3287F">
        <w:rPr>
          <w:sz w:val="24"/>
          <w:szCs w:val="24"/>
        </w:rPr>
        <w:t>Grad od APN-a</w:t>
      </w:r>
    </w:p>
    <w:p w:rsidR="00A50B63" w:rsidRPr="00F3287F" w:rsidRDefault="00A50B63" w:rsidP="00A50B63">
      <w:pPr>
        <w:rPr>
          <w:sz w:val="24"/>
          <w:szCs w:val="24"/>
        </w:rPr>
      </w:pPr>
      <w:r w:rsidRPr="00F3287F">
        <w:rPr>
          <w:sz w:val="24"/>
          <w:szCs w:val="24"/>
        </w:rPr>
        <w:tab/>
        <w:t>potražuje iznos od 6.034.347,28 kn a za uložena sredstva u zgrade poticane</w:t>
      </w:r>
    </w:p>
    <w:p w:rsidR="00A50B63" w:rsidRDefault="00A50B63" w:rsidP="00A50B63">
      <w:pPr>
        <w:rPr>
          <w:sz w:val="24"/>
          <w:szCs w:val="24"/>
        </w:rPr>
      </w:pPr>
      <w:r>
        <w:rPr>
          <w:sz w:val="24"/>
          <w:szCs w:val="24"/>
        </w:rPr>
        <w:tab/>
        <w:t>stanogradnje u Mokošici (prodani stanovi na rok od 10 – 20 g.).</w:t>
      </w:r>
    </w:p>
    <w:p w:rsidR="00A50B63" w:rsidRDefault="00A50B63" w:rsidP="00A50B63">
      <w:pPr>
        <w:rPr>
          <w:sz w:val="24"/>
          <w:szCs w:val="24"/>
        </w:rPr>
      </w:pPr>
      <w:r>
        <w:rPr>
          <w:sz w:val="24"/>
          <w:szCs w:val="24"/>
        </w:rPr>
        <w:tab/>
        <w:t xml:space="preserve">Taj se iznos računovodstveno evidentirao kao potraživanje, a sukladno </w:t>
      </w:r>
      <w:r>
        <w:rPr>
          <w:sz w:val="24"/>
          <w:szCs w:val="24"/>
        </w:rPr>
        <w:tab/>
        <w:t>sklopljenom ugovoru obročno će se naplaćivati u narednim godinama.</w:t>
      </w:r>
    </w:p>
    <w:p w:rsidR="00A50B63" w:rsidRDefault="00A50B63" w:rsidP="00A50B63">
      <w:pPr>
        <w:rPr>
          <w:sz w:val="24"/>
          <w:szCs w:val="24"/>
        </w:rPr>
      </w:pPr>
      <w:r>
        <w:rPr>
          <w:sz w:val="24"/>
          <w:szCs w:val="24"/>
        </w:rPr>
        <w:t>Red.br. 27.:</w:t>
      </w:r>
      <w:r>
        <w:rPr>
          <w:sz w:val="24"/>
          <w:szCs w:val="24"/>
        </w:rPr>
        <w:tab/>
      </w:r>
      <w:r>
        <w:rPr>
          <w:i/>
          <w:iCs/>
          <w:sz w:val="24"/>
          <w:szCs w:val="24"/>
        </w:rPr>
        <w:t>Potraživanja za dane višegodišnje koncesije –  HEP, Vodovod i dr.</w:t>
      </w:r>
    </w:p>
    <w:p w:rsidR="00A50B63" w:rsidRDefault="00A50B63" w:rsidP="00A50B63">
      <w:pPr>
        <w:rPr>
          <w:sz w:val="24"/>
          <w:szCs w:val="24"/>
        </w:rPr>
      </w:pPr>
      <w:r>
        <w:rPr>
          <w:sz w:val="24"/>
          <w:szCs w:val="24"/>
        </w:rPr>
        <w:tab/>
        <w:t>Potraživanja smanjena, veći dio potraživanja nedospio a manji dio plaćen.</w:t>
      </w:r>
    </w:p>
    <w:p w:rsidR="00A50B63" w:rsidRDefault="00A50B63" w:rsidP="00A50B63">
      <w:pPr>
        <w:rPr>
          <w:sz w:val="24"/>
          <w:szCs w:val="24"/>
        </w:rPr>
      </w:pPr>
      <w:r>
        <w:rPr>
          <w:sz w:val="24"/>
          <w:szCs w:val="24"/>
        </w:rPr>
        <w:t>Red.br. 36.:</w:t>
      </w:r>
      <w:r>
        <w:rPr>
          <w:sz w:val="24"/>
          <w:szCs w:val="24"/>
        </w:rPr>
        <w:tab/>
      </w:r>
      <w:r>
        <w:rPr>
          <w:i/>
          <w:iCs/>
          <w:sz w:val="24"/>
          <w:szCs w:val="24"/>
        </w:rPr>
        <w:t xml:space="preserve">Potraživanja za prava građenja  </w:t>
      </w:r>
    </w:p>
    <w:p w:rsidR="00A50B63" w:rsidRDefault="00A50B63" w:rsidP="00A50B63">
      <w:pPr>
        <w:rPr>
          <w:sz w:val="24"/>
          <w:szCs w:val="24"/>
        </w:rPr>
      </w:pPr>
      <w:r>
        <w:rPr>
          <w:sz w:val="24"/>
          <w:szCs w:val="24"/>
        </w:rPr>
        <w:tab/>
        <w:t>Potraživanje s osnove sklopljenog ugovora o osnivanju prava građenja za benzinsku</w:t>
      </w:r>
    </w:p>
    <w:p w:rsidR="00A50B63" w:rsidRDefault="00A50B63" w:rsidP="00A50B63">
      <w:pPr>
        <w:rPr>
          <w:sz w:val="24"/>
          <w:szCs w:val="24"/>
        </w:rPr>
      </w:pPr>
      <w:r>
        <w:rPr>
          <w:sz w:val="24"/>
          <w:szCs w:val="24"/>
        </w:rPr>
        <w:tab/>
      </w:r>
      <w:r w:rsidR="00A20137">
        <w:rPr>
          <w:sz w:val="24"/>
          <w:szCs w:val="24"/>
        </w:rPr>
        <w:t>P</w:t>
      </w:r>
      <w:r>
        <w:rPr>
          <w:sz w:val="24"/>
          <w:szCs w:val="24"/>
        </w:rPr>
        <w:t>ostaju</w:t>
      </w:r>
      <w:r w:rsidR="00A20137">
        <w:rPr>
          <w:sz w:val="24"/>
          <w:szCs w:val="24"/>
        </w:rPr>
        <w:t>“</w:t>
      </w:r>
      <w:r>
        <w:rPr>
          <w:sz w:val="24"/>
          <w:szCs w:val="24"/>
        </w:rPr>
        <w:t>Dub</w:t>
      </w:r>
      <w:r w:rsidR="00A20137">
        <w:rPr>
          <w:sz w:val="24"/>
          <w:szCs w:val="24"/>
        </w:rPr>
        <w:t>„</w:t>
      </w:r>
      <w:r>
        <w:rPr>
          <w:sz w:val="24"/>
          <w:szCs w:val="24"/>
        </w:rPr>
        <w:t>, s društvom INA d.d. Zagreb, mjesečno obročno na rok od 20 godina.</w:t>
      </w:r>
    </w:p>
    <w:p w:rsidR="00A50B63" w:rsidRDefault="00A50B63" w:rsidP="00A50B63">
      <w:pPr>
        <w:rPr>
          <w:sz w:val="24"/>
          <w:szCs w:val="24"/>
        </w:rPr>
      </w:pPr>
      <w:r>
        <w:rPr>
          <w:sz w:val="24"/>
          <w:szCs w:val="24"/>
        </w:rPr>
        <w:t xml:space="preserve"> </w:t>
      </w:r>
    </w:p>
    <w:p w:rsidR="00A50B63" w:rsidRDefault="00A50B63" w:rsidP="00A50B63">
      <w:pPr>
        <w:rPr>
          <w:i/>
          <w:iCs/>
          <w:sz w:val="24"/>
          <w:szCs w:val="24"/>
        </w:rPr>
      </w:pPr>
      <w:r>
        <w:rPr>
          <w:sz w:val="24"/>
          <w:szCs w:val="24"/>
        </w:rPr>
        <w:tab/>
      </w:r>
      <w:r>
        <w:rPr>
          <w:i/>
          <w:iCs/>
          <w:sz w:val="24"/>
          <w:szCs w:val="24"/>
        </w:rPr>
        <w:t>Ostala proknjižena</w:t>
      </w:r>
      <w:r w:rsidR="00C5052E">
        <w:rPr>
          <w:i/>
          <w:iCs/>
          <w:sz w:val="24"/>
          <w:szCs w:val="24"/>
        </w:rPr>
        <w:t>,</w:t>
      </w:r>
      <w:r>
        <w:rPr>
          <w:i/>
          <w:iCs/>
          <w:sz w:val="24"/>
          <w:szCs w:val="24"/>
        </w:rPr>
        <w:t xml:space="preserve"> a nedospjela potraživanja po zakonskim određenjima </w:t>
      </w:r>
    </w:p>
    <w:p w:rsidR="00A50B63" w:rsidRDefault="00A50B63" w:rsidP="00A50B63">
      <w:pPr>
        <w:rPr>
          <w:sz w:val="24"/>
          <w:szCs w:val="24"/>
        </w:rPr>
      </w:pPr>
      <w:r>
        <w:rPr>
          <w:i/>
          <w:iCs/>
          <w:sz w:val="24"/>
          <w:szCs w:val="24"/>
        </w:rPr>
        <w:tab/>
      </w:r>
      <w:r>
        <w:rPr>
          <w:sz w:val="24"/>
          <w:szCs w:val="24"/>
        </w:rPr>
        <w:t xml:space="preserve">prikazana u </w:t>
      </w:r>
      <w:r>
        <w:rPr>
          <w:i/>
          <w:iCs/>
          <w:sz w:val="24"/>
          <w:szCs w:val="24"/>
        </w:rPr>
        <w:t xml:space="preserve">Tabeli Potraživanja </w:t>
      </w:r>
      <w:r w:rsidR="006F0FD2">
        <w:rPr>
          <w:i/>
          <w:iCs/>
          <w:sz w:val="24"/>
          <w:szCs w:val="24"/>
        </w:rPr>
        <w:t>br 19</w:t>
      </w:r>
      <w:r>
        <w:rPr>
          <w:sz w:val="24"/>
          <w:szCs w:val="24"/>
        </w:rPr>
        <w:t>, podrazum</w:t>
      </w:r>
      <w:r w:rsidR="00F1331B">
        <w:rPr>
          <w:sz w:val="24"/>
          <w:szCs w:val="24"/>
        </w:rPr>
        <w:t>i</w:t>
      </w:r>
      <w:r>
        <w:rPr>
          <w:sz w:val="24"/>
          <w:szCs w:val="24"/>
        </w:rPr>
        <w:t>jevaju proknjižena zaduženja na</w:t>
      </w:r>
    </w:p>
    <w:p w:rsidR="00A50B63" w:rsidRDefault="00A50B63" w:rsidP="00A50B63">
      <w:pPr>
        <w:rPr>
          <w:sz w:val="24"/>
          <w:szCs w:val="24"/>
        </w:rPr>
      </w:pPr>
      <w:r>
        <w:rPr>
          <w:sz w:val="24"/>
          <w:szCs w:val="24"/>
        </w:rPr>
        <w:tab/>
        <w:t>31.12.2017. ali reprogramirana po zakonskim određenjima, obročnim otplatama i sl.</w:t>
      </w:r>
    </w:p>
    <w:p w:rsidR="00A50B63" w:rsidRDefault="00A50B63" w:rsidP="00A50B63">
      <w:pPr>
        <w:rPr>
          <w:sz w:val="24"/>
          <w:szCs w:val="24"/>
        </w:rPr>
      </w:pPr>
      <w:r>
        <w:rPr>
          <w:sz w:val="24"/>
          <w:szCs w:val="24"/>
        </w:rPr>
        <w:tab/>
        <w:t xml:space="preserve">postupcima, a odnose se na više vrsta gradskih prihoda (s nedospjelim </w:t>
      </w:r>
    </w:p>
    <w:p w:rsidR="00F3287F" w:rsidRDefault="00A50B63" w:rsidP="00A50B63">
      <w:pPr>
        <w:rPr>
          <w:sz w:val="24"/>
          <w:szCs w:val="24"/>
        </w:rPr>
      </w:pPr>
      <w:r>
        <w:rPr>
          <w:sz w:val="24"/>
          <w:szCs w:val="24"/>
        </w:rPr>
        <w:tab/>
        <w:t>potraživanjima od 2.075.171,48 kn), najvećim dijelom na obročnu otplatu</w:t>
      </w:r>
      <w:r>
        <w:rPr>
          <w:sz w:val="24"/>
          <w:szCs w:val="24"/>
        </w:rPr>
        <w:tab/>
        <w:t>kom</w:t>
      </w:r>
      <w:r w:rsidR="00F3287F">
        <w:rPr>
          <w:sz w:val="24"/>
          <w:szCs w:val="24"/>
        </w:rPr>
        <w:t xml:space="preserve">unalnog </w:t>
      </w:r>
      <w:r>
        <w:rPr>
          <w:sz w:val="24"/>
          <w:szCs w:val="24"/>
        </w:rPr>
        <w:t>doprinosa, kom</w:t>
      </w:r>
      <w:r w:rsidR="00F3287F">
        <w:rPr>
          <w:sz w:val="24"/>
          <w:szCs w:val="24"/>
        </w:rPr>
        <w:t>unalne n</w:t>
      </w:r>
      <w:r>
        <w:rPr>
          <w:sz w:val="24"/>
          <w:szCs w:val="24"/>
        </w:rPr>
        <w:t xml:space="preserve">aknade i naknade za zadržavanje zgrada u </w:t>
      </w:r>
      <w:r w:rsidR="00F3287F">
        <w:rPr>
          <w:sz w:val="24"/>
          <w:szCs w:val="24"/>
        </w:rPr>
        <w:t xml:space="preserve"> </w:t>
      </w:r>
    </w:p>
    <w:p w:rsidR="00A50B63" w:rsidRDefault="00F3287F" w:rsidP="00A50B63">
      <w:pPr>
        <w:rPr>
          <w:sz w:val="24"/>
          <w:szCs w:val="24"/>
        </w:rPr>
      </w:pPr>
      <w:r>
        <w:rPr>
          <w:sz w:val="24"/>
          <w:szCs w:val="24"/>
        </w:rPr>
        <w:t xml:space="preserve">            </w:t>
      </w:r>
      <w:r w:rsidR="00A50B63">
        <w:rPr>
          <w:sz w:val="24"/>
          <w:szCs w:val="24"/>
        </w:rPr>
        <w:t>prostoru.</w:t>
      </w:r>
    </w:p>
    <w:p w:rsidR="00A50B63" w:rsidRDefault="00A50B63" w:rsidP="00A50B63">
      <w:pPr>
        <w:rPr>
          <w:sz w:val="24"/>
          <w:szCs w:val="24"/>
        </w:rPr>
      </w:pPr>
    </w:p>
    <w:p w:rsidR="00A50B63" w:rsidRDefault="00A50B63" w:rsidP="00A50B63">
      <w:pPr>
        <w:widowControl w:val="0"/>
        <w:suppressAutoHyphens/>
        <w:overflowPunct/>
        <w:autoSpaceDE/>
        <w:textAlignment w:val="auto"/>
        <w:rPr>
          <w:b/>
          <w:bCs/>
          <w:sz w:val="24"/>
          <w:szCs w:val="24"/>
        </w:rPr>
      </w:pPr>
      <w:r>
        <w:rPr>
          <w:b/>
          <w:bCs/>
          <w:sz w:val="24"/>
          <w:szCs w:val="24"/>
        </w:rPr>
        <w:t>III.:</w:t>
      </w:r>
      <w:r>
        <w:rPr>
          <w:b/>
          <w:bCs/>
          <w:sz w:val="24"/>
          <w:szCs w:val="24"/>
        </w:rPr>
        <w:tab/>
        <w:t>DOSPJELA potraživanja ukupno iznose = 51.584.302,69 kn,</w:t>
      </w:r>
    </w:p>
    <w:p w:rsidR="00A50B63" w:rsidRDefault="00A50B63" w:rsidP="00A50B63">
      <w:pPr>
        <w:widowControl w:val="0"/>
        <w:suppressAutoHyphens/>
        <w:overflowPunct/>
        <w:autoSpaceDE/>
        <w:textAlignment w:val="auto"/>
        <w:rPr>
          <w:sz w:val="24"/>
          <w:szCs w:val="24"/>
        </w:rPr>
      </w:pPr>
      <w:r>
        <w:rPr>
          <w:b/>
          <w:bCs/>
          <w:sz w:val="24"/>
          <w:szCs w:val="24"/>
        </w:rPr>
        <w:tab/>
        <w:t xml:space="preserve"> (Tablica potraživanja </w:t>
      </w:r>
      <w:r w:rsidR="006F0FD2">
        <w:rPr>
          <w:b/>
          <w:bCs/>
          <w:sz w:val="24"/>
          <w:szCs w:val="24"/>
        </w:rPr>
        <w:t>broj 18</w:t>
      </w:r>
      <w:r>
        <w:rPr>
          <w:b/>
          <w:bCs/>
          <w:sz w:val="24"/>
          <w:szCs w:val="24"/>
        </w:rPr>
        <w:t>)</w:t>
      </w:r>
      <w:r>
        <w:rPr>
          <w:sz w:val="24"/>
          <w:szCs w:val="24"/>
        </w:rPr>
        <w:t>; odnose se na:</w:t>
      </w:r>
    </w:p>
    <w:p w:rsidR="00A50B63" w:rsidRDefault="00A50B63" w:rsidP="00A50B63">
      <w:pPr>
        <w:widowControl w:val="0"/>
        <w:suppressAutoHyphens/>
        <w:overflowPunct/>
        <w:autoSpaceDE/>
        <w:ind w:firstLine="720"/>
        <w:textAlignment w:val="auto"/>
        <w:rPr>
          <w:sz w:val="24"/>
          <w:szCs w:val="24"/>
        </w:rPr>
      </w:pPr>
    </w:p>
    <w:p w:rsidR="00A50B63" w:rsidRDefault="00A50B63" w:rsidP="00A50B63">
      <w:pPr>
        <w:rPr>
          <w:sz w:val="24"/>
          <w:szCs w:val="24"/>
        </w:rPr>
      </w:pPr>
      <w:r>
        <w:rPr>
          <w:sz w:val="24"/>
          <w:szCs w:val="24"/>
        </w:rPr>
        <w:t>Red.br. 1.:</w:t>
      </w:r>
      <w:r>
        <w:rPr>
          <w:sz w:val="24"/>
          <w:szCs w:val="24"/>
        </w:rPr>
        <w:tab/>
      </w:r>
      <w:r>
        <w:rPr>
          <w:i/>
          <w:iCs/>
          <w:sz w:val="24"/>
          <w:szCs w:val="24"/>
        </w:rPr>
        <w:t>Komunalna naknada</w:t>
      </w:r>
    </w:p>
    <w:p w:rsidR="00A50B63" w:rsidRDefault="00A50B63" w:rsidP="00A50B63">
      <w:pPr>
        <w:rPr>
          <w:sz w:val="24"/>
          <w:szCs w:val="24"/>
        </w:rPr>
      </w:pPr>
      <w:r>
        <w:rPr>
          <w:sz w:val="24"/>
          <w:szCs w:val="24"/>
        </w:rPr>
        <w:tab/>
        <w:t xml:space="preserve">Potraživanje povećano radi neplaćanja hotelskih kuća za koje idu korekcije </w:t>
      </w:r>
    </w:p>
    <w:p w:rsidR="00A50B63" w:rsidRDefault="00A50B63" w:rsidP="00A50B63">
      <w:pPr>
        <w:rPr>
          <w:sz w:val="24"/>
          <w:szCs w:val="24"/>
        </w:rPr>
      </w:pPr>
      <w:r>
        <w:rPr>
          <w:sz w:val="24"/>
          <w:szCs w:val="24"/>
        </w:rPr>
        <w:tab/>
        <w:t>zaduženja po godišnjem prihodu i kasnije plaćanje po tom novom obračunu.</w:t>
      </w:r>
    </w:p>
    <w:p w:rsidR="00A50B63" w:rsidRDefault="00A50B63" w:rsidP="00A50B63">
      <w:pPr>
        <w:rPr>
          <w:sz w:val="24"/>
          <w:szCs w:val="24"/>
        </w:rPr>
      </w:pPr>
      <w:r>
        <w:rPr>
          <w:sz w:val="24"/>
          <w:szCs w:val="24"/>
        </w:rPr>
        <w:t>Red.br. 2.:</w:t>
      </w:r>
      <w:r>
        <w:rPr>
          <w:sz w:val="24"/>
          <w:szCs w:val="24"/>
        </w:rPr>
        <w:tab/>
      </w:r>
      <w:r>
        <w:rPr>
          <w:i/>
          <w:iCs/>
          <w:sz w:val="24"/>
          <w:szCs w:val="24"/>
        </w:rPr>
        <w:t>Komunalni doprinos</w:t>
      </w:r>
    </w:p>
    <w:p w:rsidR="00A50B63" w:rsidRDefault="00A50B63" w:rsidP="00A50B63">
      <w:pPr>
        <w:rPr>
          <w:sz w:val="24"/>
          <w:szCs w:val="24"/>
        </w:rPr>
      </w:pPr>
      <w:r>
        <w:rPr>
          <w:sz w:val="24"/>
          <w:szCs w:val="24"/>
        </w:rPr>
        <w:tab/>
        <w:t>Ukupno potraživanje smanjeno a dospjelo potraživanje malo povećano radi više</w:t>
      </w:r>
    </w:p>
    <w:p w:rsidR="00A50B63" w:rsidRDefault="00A50B63" w:rsidP="00A50B63">
      <w:pPr>
        <w:rPr>
          <w:sz w:val="24"/>
          <w:szCs w:val="24"/>
        </w:rPr>
      </w:pPr>
      <w:r>
        <w:rPr>
          <w:sz w:val="24"/>
          <w:szCs w:val="24"/>
        </w:rPr>
        <w:tab/>
        <w:t xml:space="preserve">novih zaduženja dospjelih do 31.prosinca 2017.g. </w:t>
      </w:r>
    </w:p>
    <w:p w:rsidR="00A50B63" w:rsidRDefault="00A50B63" w:rsidP="00A50B63">
      <w:pPr>
        <w:rPr>
          <w:sz w:val="24"/>
          <w:szCs w:val="24"/>
        </w:rPr>
      </w:pPr>
      <w:r>
        <w:rPr>
          <w:sz w:val="24"/>
          <w:szCs w:val="24"/>
        </w:rPr>
        <w:lastRenderedPageBreak/>
        <w:t>Red.br. 3.:</w:t>
      </w:r>
      <w:r>
        <w:rPr>
          <w:sz w:val="24"/>
          <w:szCs w:val="24"/>
        </w:rPr>
        <w:tab/>
      </w:r>
      <w:r>
        <w:rPr>
          <w:i/>
          <w:iCs/>
          <w:sz w:val="24"/>
          <w:szCs w:val="24"/>
        </w:rPr>
        <w:t>Spomenička renta</w:t>
      </w:r>
    </w:p>
    <w:p w:rsidR="00A50B63" w:rsidRDefault="00A50B63" w:rsidP="00A50B63">
      <w:pPr>
        <w:rPr>
          <w:sz w:val="24"/>
          <w:szCs w:val="24"/>
        </w:rPr>
      </w:pPr>
      <w:r>
        <w:rPr>
          <w:sz w:val="24"/>
          <w:szCs w:val="24"/>
        </w:rPr>
        <w:tab/>
        <w:t>Potraživanje znatnije smanjeno radi otpisa potraživanja Ragusa parking d.o.o.</w:t>
      </w:r>
    </w:p>
    <w:p w:rsidR="00A50B63" w:rsidRDefault="00A50B63" w:rsidP="00A50B63">
      <w:pPr>
        <w:rPr>
          <w:sz w:val="24"/>
          <w:szCs w:val="24"/>
        </w:rPr>
      </w:pPr>
      <w:r>
        <w:rPr>
          <w:sz w:val="24"/>
          <w:szCs w:val="24"/>
        </w:rPr>
        <w:t>Red.br. 4.:</w:t>
      </w:r>
      <w:r>
        <w:rPr>
          <w:sz w:val="24"/>
          <w:szCs w:val="24"/>
        </w:rPr>
        <w:tab/>
      </w:r>
      <w:r>
        <w:rPr>
          <w:i/>
          <w:iCs/>
          <w:sz w:val="24"/>
          <w:szCs w:val="24"/>
        </w:rPr>
        <w:t>Zakup javnih površina</w:t>
      </w:r>
    </w:p>
    <w:p w:rsidR="00A50B63" w:rsidRDefault="00A50B63" w:rsidP="00A50B63">
      <w:pPr>
        <w:rPr>
          <w:sz w:val="24"/>
          <w:szCs w:val="24"/>
        </w:rPr>
      </w:pPr>
      <w:r>
        <w:rPr>
          <w:sz w:val="24"/>
          <w:szCs w:val="24"/>
        </w:rPr>
        <w:tab/>
        <w:t xml:space="preserve">Potraživanje smanjeno radi bolje naplate tekućih potraživanja.  </w:t>
      </w:r>
    </w:p>
    <w:p w:rsidR="00A50B63" w:rsidRDefault="00A50B63" w:rsidP="00A50B63">
      <w:pPr>
        <w:rPr>
          <w:sz w:val="24"/>
          <w:szCs w:val="24"/>
        </w:rPr>
      </w:pPr>
      <w:r>
        <w:rPr>
          <w:sz w:val="24"/>
          <w:szCs w:val="24"/>
        </w:rPr>
        <w:t>Red.br. 5.:</w:t>
      </w:r>
      <w:r>
        <w:rPr>
          <w:sz w:val="24"/>
          <w:szCs w:val="24"/>
        </w:rPr>
        <w:tab/>
      </w:r>
      <w:r>
        <w:rPr>
          <w:i/>
          <w:iCs/>
          <w:sz w:val="24"/>
          <w:szCs w:val="24"/>
        </w:rPr>
        <w:t>Zakup poslovnog prostora</w:t>
      </w:r>
    </w:p>
    <w:p w:rsidR="00A50B63" w:rsidRDefault="00A50B63" w:rsidP="00A50B63">
      <w:pPr>
        <w:rPr>
          <w:sz w:val="24"/>
          <w:szCs w:val="24"/>
        </w:rPr>
      </w:pPr>
      <w:r>
        <w:rPr>
          <w:sz w:val="24"/>
          <w:szCs w:val="24"/>
        </w:rPr>
        <w:tab/>
        <w:t xml:space="preserve">Potraživanje smanjeno radi brisanja manjeg dijela obveznika iz sudskog registra, </w:t>
      </w:r>
    </w:p>
    <w:p w:rsidR="00A50B63" w:rsidRDefault="00A50B63" w:rsidP="00A50B63">
      <w:pPr>
        <w:rPr>
          <w:sz w:val="24"/>
          <w:szCs w:val="24"/>
        </w:rPr>
      </w:pPr>
      <w:r>
        <w:rPr>
          <w:sz w:val="24"/>
          <w:szCs w:val="24"/>
        </w:rPr>
        <w:tab/>
        <w:t>poboljšane naplate tekućih zaduženja ali i okončanja nekih postupaka prisilne</w:t>
      </w:r>
    </w:p>
    <w:p w:rsidR="00A50B63" w:rsidRDefault="00A50B63" w:rsidP="00A50B63">
      <w:pPr>
        <w:rPr>
          <w:sz w:val="24"/>
          <w:szCs w:val="24"/>
        </w:rPr>
      </w:pPr>
      <w:r>
        <w:rPr>
          <w:sz w:val="24"/>
          <w:szCs w:val="24"/>
        </w:rPr>
        <w:tab/>
        <w:t>naplate na financijskim sredstvima dužnika.</w:t>
      </w:r>
    </w:p>
    <w:p w:rsidR="00A50B63" w:rsidRDefault="00A50B63" w:rsidP="00A50B63">
      <w:pPr>
        <w:rPr>
          <w:sz w:val="24"/>
          <w:szCs w:val="24"/>
        </w:rPr>
      </w:pPr>
      <w:r>
        <w:rPr>
          <w:sz w:val="24"/>
          <w:szCs w:val="24"/>
        </w:rPr>
        <w:t>Red.br. 6.:</w:t>
      </w:r>
      <w:r>
        <w:rPr>
          <w:sz w:val="24"/>
          <w:szCs w:val="24"/>
        </w:rPr>
        <w:tab/>
      </w:r>
      <w:r>
        <w:rPr>
          <w:i/>
          <w:iCs/>
          <w:sz w:val="24"/>
          <w:szCs w:val="24"/>
        </w:rPr>
        <w:t>Najamnina stanova</w:t>
      </w:r>
    </w:p>
    <w:p w:rsidR="00A50B63" w:rsidRDefault="00A50B63" w:rsidP="00A50B63">
      <w:pPr>
        <w:rPr>
          <w:sz w:val="24"/>
          <w:szCs w:val="24"/>
        </w:rPr>
      </w:pPr>
      <w:r>
        <w:rPr>
          <w:sz w:val="24"/>
          <w:szCs w:val="24"/>
        </w:rPr>
        <w:tab/>
        <w:t>Potraživanje smanjeno radi bolje naplate tekućih i ovršenih potraživanja.</w:t>
      </w:r>
    </w:p>
    <w:p w:rsidR="00A50B63" w:rsidRDefault="00A50B63" w:rsidP="00A50B63">
      <w:pPr>
        <w:rPr>
          <w:sz w:val="24"/>
          <w:szCs w:val="24"/>
        </w:rPr>
      </w:pPr>
      <w:r>
        <w:rPr>
          <w:sz w:val="24"/>
          <w:szCs w:val="24"/>
        </w:rPr>
        <w:t>Red.br. 7.:</w:t>
      </w:r>
      <w:r>
        <w:rPr>
          <w:sz w:val="24"/>
          <w:szCs w:val="24"/>
        </w:rPr>
        <w:tab/>
      </w:r>
      <w:r>
        <w:rPr>
          <w:i/>
          <w:iCs/>
          <w:sz w:val="24"/>
          <w:szCs w:val="24"/>
        </w:rPr>
        <w:t>Porez na tvrtku</w:t>
      </w:r>
    </w:p>
    <w:p w:rsidR="00A50B63" w:rsidRDefault="00A50B63" w:rsidP="00A50B63">
      <w:pPr>
        <w:rPr>
          <w:sz w:val="24"/>
          <w:szCs w:val="24"/>
        </w:rPr>
      </w:pPr>
      <w:r>
        <w:rPr>
          <w:sz w:val="24"/>
          <w:szCs w:val="24"/>
        </w:rPr>
        <w:tab/>
        <w:t xml:space="preserve">Potraživanje smanjeno radi brisanja manjeg dijela obveznika iz sudskog registra, </w:t>
      </w:r>
      <w:r>
        <w:rPr>
          <w:sz w:val="24"/>
          <w:szCs w:val="24"/>
        </w:rPr>
        <w:tab/>
        <w:t xml:space="preserve">poboljšane naplate tekućih zaduženja ali i okončanja nekih postupaka prisilne </w:t>
      </w:r>
      <w:r>
        <w:rPr>
          <w:sz w:val="24"/>
          <w:szCs w:val="24"/>
        </w:rPr>
        <w:tab/>
        <w:t>naplate na financijskim sredstvima dužnika. Ovaj porez je uk</w:t>
      </w:r>
      <w:r w:rsidR="00F1331B">
        <w:rPr>
          <w:sz w:val="24"/>
          <w:szCs w:val="24"/>
        </w:rPr>
        <w:t>i</w:t>
      </w:r>
      <w:r>
        <w:rPr>
          <w:sz w:val="24"/>
          <w:szCs w:val="24"/>
        </w:rPr>
        <w:t>nut 1.1.2017.g.</w:t>
      </w:r>
    </w:p>
    <w:p w:rsidR="00A50B63" w:rsidRDefault="00A50B63" w:rsidP="00A50B63">
      <w:pPr>
        <w:rPr>
          <w:sz w:val="24"/>
          <w:szCs w:val="24"/>
        </w:rPr>
      </w:pPr>
      <w:r>
        <w:rPr>
          <w:sz w:val="24"/>
          <w:szCs w:val="24"/>
        </w:rPr>
        <w:t>Red.br. 8.:</w:t>
      </w:r>
      <w:r>
        <w:rPr>
          <w:sz w:val="24"/>
          <w:szCs w:val="24"/>
        </w:rPr>
        <w:tab/>
      </w:r>
      <w:r>
        <w:rPr>
          <w:i/>
          <w:iCs/>
          <w:sz w:val="24"/>
          <w:szCs w:val="24"/>
        </w:rPr>
        <w:t>Porez na kuće za odmor</w:t>
      </w:r>
    </w:p>
    <w:p w:rsidR="00A50B63" w:rsidRDefault="00A50B63" w:rsidP="00A50B63">
      <w:pPr>
        <w:rPr>
          <w:sz w:val="24"/>
          <w:szCs w:val="24"/>
        </w:rPr>
      </w:pPr>
      <w:r>
        <w:rPr>
          <w:sz w:val="24"/>
          <w:szCs w:val="24"/>
        </w:rPr>
        <w:tab/>
        <w:t>Dospjelo potraživanje malo povećano</w:t>
      </w:r>
      <w:r w:rsidR="00F1331B">
        <w:rPr>
          <w:sz w:val="24"/>
          <w:szCs w:val="24"/>
        </w:rPr>
        <w:t>,</w:t>
      </w:r>
      <w:r>
        <w:rPr>
          <w:sz w:val="24"/>
          <w:szCs w:val="24"/>
        </w:rPr>
        <w:t xml:space="preserve"> a ukupno potraživanje smanjeno jer su u</w:t>
      </w:r>
    </w:p>
    <w:p w:rsidR="00A50B63" w:rsidRDefault="00A50B63" w:rsidP="00A50B63">
      <w:pPr>
        <w:rPr>
          <w:sz w:val="24"/>
          <w:szCs w:val="24"/>
        </w:rPr>
      </w:pPr>
      <w:r>
        <w:rPr>
          <w:sz w:val="24"/>
          <w:szCs w:val="24"/>
        </w:rPr>
        <w:tab/>
        <w:t>međuvremenu r</w:t>
      </w:r>
      <w:r w:rsidR="00F1331B">
        <w:rPr>
          <w:sz w:val="24"/>
          <w:szCs w:val="24"/>
        </w:rPr>
        <w:t>i</w:t>
      </w:r>
      <w:r>
        <w:rPr>
          <w:sz w:val="24"/>
          <w:szCs w:val="24"/>
        </w:rPr>
        <w:t xml:space="preserve">ješeni odnosno naplaćeni stari predmeti a tekući predmeti 2017.g. </w:t>
      </w:r>
      <w:r>
        <w:rPr>
          <w:sz w:val="24"/>
          <w:szCs w:val="24"/>
        </w:rPr>
        <w:tab/>
        <w:t>tek idu u postupke prisilne naplate.</w:t>
      </w:r>
    </w:p>
    <w:p w:rsidR="00A50B63" w:rsidRDefault="00A50B63" w:rsidP="00A50B63">
      <w:pPr>
        <w:rPr>
          <w:sz w:val="24"/>
          <w:szCs w:val="24"/>
        </w:rPr>
      </w:pPr>
      <w:r>
        <w:rPr>
          <w:sz w:val="24"/>
          <w:szCs w:val="24"/>
        </w:rPr>
        <w:t>Red.br. 9.:</w:t>
      </w:r>
      <w:r>
        <w:rPr>
          <w:sz w:val="24"/>
          <w:szCs w:val="24"/>
        </w:rPr>
        <w:tab/>
      </w:r>
      <w:r>
        <w:rPr>
          <w:i/>
          <w:iCs/>
          <w:sz w:val="24"/>
          <w:szCs w:val="24"/>
        </w:rPr>
        <w:t>Porez na potrošnju</w:t>
      </w:r>
    </w:p>
    <w:p w:rsidR="00A50B63" w:rsidRDefault="00A50B63" w:rsidP="00A50B63">
      <w:pPr>
        <w:rPr>
          <w:sz w:val="24"/>
          <w:szCs w:val="24"/>
        </w:rPr>
      </w:pPr>
      <w:r>
        <w:rPr>
          <w:sz w:val="24"/>
          <w:szCs w:val="24"/>
        </w:rPr>
        <w:tab/>
        <w:t>Potraživanje smanjeno radi ažurnijeg praćenja obveznika i njihovog plaćanja.</w:t>
      </w:r>
    </w:p>
    <w:p w:rsidR="00A50B63" w:rsidRDefault="00A50B63" w:rsidP="00A50B63">
      <w:pPr>
        <w:rPr>
          <w:sz w:val="24"/>
          <w:szCs w:val="24"/>
        </w:rPr>
      </w:pPr>
      <w:r>
        <w:rPr>
          <w:sz w:val="24"/>
          <w:szCs w:val="24"/>
        </w:rPr>
        <w:t>Red.br. 10.:</w:t>
      </w:r>
      <w:r>
        <w:rPr>
          <w:sz w:val="24"/>
          <w:szCs w:val="24"/>
        </w:rPr>
        <w:tab/>
      </w:r>
      <w:r>
        <w:rPr>
          <w:i/>
          <w:iCs/>
          <w:sz w:val="24"/>
          <w:szCs w:val="24"/>
        </w:rPr>
        <w:t>HZZO naknade bolovanja</w:t>
      </w:r>
    </w:p>
    <w:p w:rsidR="00A50B63" w:rsidRDefault="00A50B63" w:rsidP="00A50B63">
      <w:pPr>
        <w:rPr>
          <w:sz w:val="24"/>
          <w:szCs w:val="24"/>
        </w:rPr>
      </w:pPr>
      <w:r>
        <w:rPr>
          <w:sz w:val="24"/>
          <w:szCs w:val="24"/>
        </w:rPr>
        <w:tab/>
        <w:t>Potraživanje smanjeno jer je HZZO ažurirao plaćanja naknade.</w:t>
      </w:r>
    </w:p>
    <w:p w:rsidR="00A50B63" w:rsidRDefault="00A50B63" w:rsidP="00A50B63">
      <w:pPr>
        <w:rPr>
          <w:sz w:val="24"/>
          <w:szCs w:val="24"/>
        </w:rPr>
      </w:pPr>
      <w:r>
        <w:rPr>
          <w:sz w:val="24"/>
          <w:szCs w:val="24"/>
        </w:rPr>
        <w:t>Red.br. 12.:</w:t>
      </w:r>
      <w:r>
        <w:rPr>
          <w:sz w:val="24"/>
          <w:szCs w:val="24"/>
        </w:rPr>
        <w:tab/>
      </w:r>
      <w:r>
        <w:rPr>
          <w:i/>
          <w:iCs/>
          <w:sz w:val="24"/>
          <w:szCs w:val="24"/>
        </w:rPr>
        <w:t>Potraživanja za kamate po danim zajmovima</w:t>
      </w:r>
    </w:p>
    <w:p w:rsidR="00A50B63" w:rsidRDefault="00A50B63" w:rsidP="00A50B63">
      <w:pPr>
        <w:rPr>
          <w:sz w:val="24"/>
          <w:szCs w:val="24"/>
        </w:rPr>
      </w:pPr>
      <w:r>
        <w:rPr>
          <w:sz w:val="24"/>
          <w:szCs w:val="24"/>
        </w:rPr>
        <w:tab/>
        <w:t>Znatno smanjeno jer je potraživanje prema UTD Ragusa pretvoreno u vlasnički</w:t>
      </w:r>
    </w:p>
    <w:p w:rsidR="00A50B63" w:rsidRDefault="00A50B63" w:rsidP="00A50B63">
      <w:pPr>
        <w:rPr>
          <w:sz w:val="24"/>
          <w:szCs w:val="24"/>
        </w:rPr>
      </w:pPr>
      <w:r>
        <w:rPr>
          <w:sz w:val="24"/>
          <w:szCs w:val="24"/>
        </w:rPr>
        <w:tab/>
        <w:t>udjel.</w:t>
      </w:r>
    </w:p>
    <w:p w:rsidR="00A50B63" w:rsidRDefault="00A50B63" w:rsidP="00A50B63">
      <w:pPr>
        <w:rPr>
          <w:sz w:val="24"/>
          <w:szCs w:val="24"/>
        </w:rPr>
      </w:pPr>
      <w:r>
        <w:rPr>
          <w:sz w:val="24"/>
          <w:szCs w:val="24"/>
        </w:rPr>
        <w:t>Red.br. 13.:</w:t>
      </w:r>
      <w:r>
        <w:rPr>
          <w:sz w:val="24"/>
          <w:szCs w:val="24"/>
        </w:rPr>
        <w:tab/>
      </w:r>
      <w:r>
        <w:rPr>
          <w:i/>
          <w:iCs/>
          <w:sz w:val="24"/>
          <w:szCs w:val="24"/>
        </w:rPr>
        <w:t>Potraživanja po akontacijama putnih naloga</w:t>
      </w:r>
    </w:p>
    <w:p w:rsidR="00A50B63" w:rsidRDefault="00A50B63" w:rsidP="00A50B63">
      <w:pPr>
        <w:rPr>
          <w:sz w:val="24"/>
          <w:szCs w:val="24"/>
        </w:rPr>
      </w:pPr>
      <w:r>
        <w:rPr>
          <w:sz w:val="24"/>
          <w:szCs w:val="24"/>
        </w:rPr>
        <w:tab/>
        <w:t xml:space="preserve">Nema potraživanja jer su u međuvremenu naplaćena.   </w:t>
      </w:r>
    </w:p>
    <w:p w:rsidR="00A50B63" w:rsidRDefault="00A50B63" w:rsidP="00A50B63">
      <w:pPr>
        <w:rPr>
          <w:i/>
          <w:iCs/>
          <w:sz w:val="24"/>
          <w:szCs w:val="24"/>
        </w:rPr>
      </w:pPr>
      <w:r>
        <w:rPr>
          <w:sz w:val="24"/>
          <w:szCs w:val="24"/>
        </w:rPr>
        <w:t>Red.br. 15.:</w:t>
      </w:r>
      <w:r>
        <w:rPr>
          <w:sz w:val="24"/>
          <w:szCs w:val="24"/>
        </w:rPr>
        <w:tab/>
      </w:r>
      <w:r>
        <w:rPr>
          <w:i/>
          <w:iCs/>
          <w:sz w:val="24"/>
          <w:szCs w:val="24"/>
        </w:rPr>
        <w:t>Potraživanja za ostale pristojbe – boravišna pristojba</w:t>
      </w:r>
    </w:p>
    <w:p w:rsidR="00A50B63" w:rsidRDefault="00A50B63" w:rsidP="00A50B63">
      <w:pPr>
        <w:rPr>
          <w:sz w:val="24"/>
          <w:szCs w:val="24"/>
        </w:rPr>
      </w:pPr>
      <w:r>
        <w:rPr>
          <w:i/>
          <w:iCs/>
          <w:sz w:val="24"/>
          <w:szCs w:val="24"/>
        </w:rPr>
        <w:tab/>
      </w:r>
      <w:r>
        <w:rPr>
          <w:sz w:val="24"/>
          <w:szCs w:val="24"/>
        </w:rPr>
        <w:t>Potraživanje od Turističke zajednice Grada Dubrovnika minimalno.</w:t>
      </w:r>
    </w:p>
    <w:p w:rsidR="00A50B63" w:rsidRDefault="00A50B63" w:rsidP="00A50B63">
      <w:pPr>
        <w:rPr>
          <w:sz w:val="24"/>
          <w:szCs w:val="24"/>
        </w:rPr>
      </w:pPr>
      <w:r>
        <w:rPr>
          <w:sz w:val="24"/>
          <w:szCs w:val="24"/>
        </w:rPr>
        <w:t>Red.br. 16.:</w:t>
      </w:r>
      <w:r>
        <w:rPr>
          <w:sz w:val="24"/>
          <w:szCs w:val="24"/>
        </w:rPr>
        <w:tab/>
      </w:r>
      <w:r>
        <w:rPr>
          <w:i/>
          <w:iCs/>
          <w:sz w:val="24"/>
          <w:szCs w:val="24"/>
        </w:rPr>
        <w:t xml:space="preserve">Potraživanja za nedostajuća parking mjesta – dio  </w:t>
      </w:r>
    </w:p>
    <w:p w:rsidR="00A50B63" w:rsidRDefault="00A50B63" w:rsidP="00A50B63">
      <w:pPr>
        <w:rPr>
          <w:sz w:val="24"/>
          <w:szCs w:val="24"/>
        </w:rPr>
      </w:pPr>
      <w:r>
        <w:rPr>
          <w:sz w:val="24"/>
          <w:szCs w:val="24"/>
        </w:rPr>
        <w:tab/>
        <w:t>Dospjelo potraživanje smanjeno jer je dio obveznika platio.</w:t>
      </w:r>
    </w:p>
    <w:p w:rsidR="00A50B63" w:rsidRDefault="00A50B63" w:rsidP="00A50B63">
      <w:pPr>
        <w:rPr>
          <w:sz w:val="24"/>
          <w:szCs w:val="24"/>
        </w:rPr>
      </w:pPr>
      <w:r>
        <w:rPr>
          <w:sz w:val="24"/>
          <w:szCs w:val="24"/>
        </w:rPr>
        <w:t>Red.br. 17.:</w:t>
      </w:r>
      <w:r>
        <w:rPr>
          <w:sz w:val="24"/>
          <w:szCs w:val="24"/>
        </w:rPr>
        <w:tab/>
      </w:r>
      <w:r>
        <w:rPr>
          <w:i/>
          <w:iCs/>
          <w:sz w:val="24"/>
          <w:szCs w:val="24"/>
        </w:rPr>
        <w:t>Potraživanja za zatezne kamate</w:t>
      </w:r>
    </w:p>
    <w:p w:rsidR="00A50B63" w:rsidRDefault="00A50B63" w:rsidP="00A50B63">
      <w:pPr>
        <w:rPr>
          <w:sz w:val="24"/>
          <w:szCs w:val="24"/>
        </w:rPr>
      </w:pPr>
      <w:r>
        <w:rPr>
          <w:sz w:val="24"/>
          <w:szCs w:val="24"/>
        </w:rPr>
        <w:tab/>
        <w:t>Potraživanje smanjeno a odnosi se na programski obračunate i zadužene zatezne</w:t>
      </w:r>
    </w:p>
    <w:p w:rsidR="00A50B63" w:rsidRDefault="00A50B63" w:rsidP="00A50B63">
      <w:pPr>
        <w:rPr>
          <w:sz w:val="24"/>
          <w:szCs w:val="24"/>
        </w:rPr>
      </w:pPr>
      <w:r>
        <w:rPr>
          <w:sz w:val="24"/>
          <w:szCs w:val="24"/>
        </w:rPr>
        <w:tab/>
        <w:t>kamate svih vrsta gradskih prihoda (komunalne naknade, komunalnog doprinosa,</w:t>
      </w:r>
    </w:p>
    <w:p w:rsidR="00A50B63" w:rsidRDefault="00A50B63" w:rsidP="00A50B63">
      <w:pPr>
        <w:rPr>
          <w:sz w:val="24"/>
          <w:szCs w:val="24"/>
        </w:rPr>
      </w:pPr>
      <w:r>
        <w:rPr>
          <w:sz w:val="24"/>
          <w:szCs w:val="24"/>
        </w:rPr>
        <w:tab/>
        <w:t>spomeničke rente, zakupa poslovnih prostora, zakupa javnih površina, svih vrsta</w:t>
      </w:r>
    </w:p>
    <w:p w:rsidR="00A50B63" w:rsidRDefault="00A50B63" w:rsidP="00A50B63">
      <w:pPr>
        <w:rPr>
          <w:sz w:val="24"/>
          <w:szCs w:val="24"/>
        </w:rPr>
      </w:pPr>
      <w:r>
        <w:rPr>
          <w:sz w:val="24"/>
          <w:szCs w:val="24"/>
        </w:rPr>
        <w:tab/>
        <w:t>gradskih poreza i dr.) prema obveznicima koji kasne s plaćanjima svojih obveza.</w:t>
      </w:r>
    </w:p>
    <w:p w:rsidR="00A50B63" w:rsidRDefault="00A50B63" w:rsidP="00A50B63">
      <w:pPr>
        <w:rPr>
          <w:sz w:val="24"/>
          <w:szCs w:val="24"/>
        </w:rPr>
      </w:pPr>
      <w:r>
        <w:rPr>
          <w:sz w:val="24"/>
          <w:szCs w:val="24"/>
        </w:rPr>
        <w:tab/>
        <w:t xml:space="preserve">Prisilne naplate zateznih kamata su u postupcima prisilnih naplata glavnica svih </w:t>
      </w:r>
      <w:r>
        <w:rPr>
          <w:sz w:val="24"/>
          <w:szCs w:val="24"/>
        </w:rPr>
        <w:tab/>
        <w:t>vrsta gradskih prihoda.</w:t>
      </w:r>
    </w:p>
    <w:p w:rsidR="00A50B63" w:rsidRDefault="00A50B63" w:rsidP="00A50B63">
      <w:pPr>
        <w:rPr>
          <w:sz w:val="24"/>
          <w:szCs w:val="24"/>
        </w:rPr>
      </w:pPr>
      <w:r>
        <w:rPr>
          <w:sz w:val="24"/>
          <w:szCs w:val="24"/>
        </w:rPr>
        <w:t>Red.br. 18.:</w:t>
      </w:r>
      <w:r>
        <w:rPr>
          <w:sz w:val="24"/>
          <w:szCs w:val="24"/>
        </w:rPr>
        <w:tab/>
      </w:r>
      <w:r>
        <w:rPr>
          <w:i/>
          <w:iCs/>
          <w:sz w:val="24"/>
          <w:szCs w:val="24"/>
        </w:rPr>
        <w:t>Potraživanja za ostale pristojbe – legalizacija objekata u prostoru</w:t>
      </w:r>
    </w:p>
    <w:p w:rsidR="00A50B63" w:rsidRDefault="00A50B63" w:rsidP="00A50B63">
      <w:pPr>
        <w:rPr>
          <w:sz w:val="24"/>
          <w:szCs w:val="24"/>
        </w:rPr>
      </w:pPr>
      <w:r>
        <w:rPr>
          <w:sz w:val="24"/>
          <w:szCs w:val="24"/>
        </w:rPr>
        <w:tab/>
        <w:t>Potraživanje smanjeno radi ažurnijeg plaćanja obveznika.</w:t>
      </w:r>
    </w:p>
    <w:p w:rsidR="00A50B63" w:rsidRDefault="00A50B63" w:rsidP="00A50B63">
      <w:pPr>
        <w:rPr>
          <w:sz w:val="24"/>
          <w:szCs w:val="24"/>
        </w:rPr>
      </w:pPr>
      <w:r>
        <w:rPr>
          <w:sz w:val="24"/>
          <w:szCs w:val="24"/>
        </w:rPr>
        <w:t>Red.br. 19.:</w:t>
      </w:r>
      <w:r>
        <w:rPr>
          <w:sz w:val="24"/>
          <w:szCs w:val="24"/>
        </w:rPr>
        <w:tab/>
      </w:r>
      <w:r>
        <w:rPr>
          <w:i/>
          <w:iCs/>
          <w:sz w:val="24"/>
          <w:szCs w:val="24"/>
        </w:rPr>
        <w:t>Potraživanja za depozite u tuzemnim bankama</w:t>
      </w:r>
    </w:p>
    <w:p w:rsidR="00A50B63" w:rsidRDefault="00A50B63" w:rsidP="00A50B63">
      <w:pPr>
        <w:rPr>
          <w:sz w:val="24"/>
          <w:szCs w:val="24"/>
        </w:rPr>
      </w:pPr>
      <w:r>
        <w:rPr>
          <w:sz w:val="24"/>
          <w:szCs w:val="24"/>
        </w:rPr>
        <w:tab/>
        <w:t>Potraživanje se odnosi na projekt stipendija i kredita za školovanje kod Zagr.banke.</w:t>
      </w:r>
    </w:p>
    <w:p w:rsidR="00A50B63" w:rsidRDefault="00A50B63" w:rsidP="00A50B63">
      <w:pPr>
        <w:rPr>
          <w:sz w:val="24"/>
          <w:szCs w:val="24"/>
        </w:rPr>
      </w:pPr>
      <w:r>
        <w:rPr>
          <w:sz w:val="24"/>
          <w:szCs w:val="24"/>
        </w:rPr>
        <w:t>Red.br. 20.:</w:t>
      </w:r>
      <w:r>
        <w:rPr>
          <w:sz w:val="24"/>
          <w:szCs w:val="24"/>
        </w:rPr>
        <w:tab/>
      </w:r>
      <w:r>
        <w:rPr>
          <w:i/>
          <w:iCs/>
          <w:sz w:val="24"/>
          <w:szCs w:val="24"/>
        </w:rPr>
        <w:t>Potraživanja od Hrvatskih voda</w:t>
      </w:r>
    </w:p>
    <w:p w:rsidR="00A50B63" w:rsidRDefault="00A50B63" w:rsidP="00A50B63">
      <w:pPr>
        <w:rPr>
          <w:sz w:val="24"/>
          <w:szCs w:val="24"/>
        </w:rPr>
      </w:pPr>
      <w:r>
        <w:rPr>
          <w:sz w:val="24"/>
          <w:szCs w:val="24"/>
        </w:rPr>
        <w:tab/>
        <w:t>Potraživanje smanjeno, naplaćuje se prijebojima međusobnih obveza.</w:t>
      </w:r>
    </w:p>
    <w:p w:rsidR="00A50B63" w:rsidRDefault="00A50B63" w:rsidP="00A50B63">
      <w:pPr>
        <w:rPr>
          <w:sz w:val="24"/>
          <w:szCs w:val="24"/>
        </w:rPr>
      </w:pPr>
      <w:r>
        <w:rPr>
          <w:sz w:val="24"/>
          <w:szCs w:val="24"/>
        </w:rPr>
        <w:t>Red.br. 21.:</w:t>
      </w:r>
      <w:r>
        <w:rPr>
          <w:sz w:val="24"/>
          <w:szCs w:val="24"/>
        </w:rPr>
        <w:tab/>
      </w:r>
      <w:r>
        <w:rPr>
          <w:i/>
          <w:iCs/>
          <w:sz w:val="24"/>
          <w:szCs w:val="24"/>
        </w:rPr>
        <w:t>Potraživanja za zemljišta</w:t>
      </w:r>
    </w:p>
    <w:p w:rsidR="00A50B63" w:rsidRDefault="00A50B63" w:rsidP="00A50B63">
      <w:pPr>
        <w:rPr>
          <w:sz w:val="24"/>
          <w:szCs w:val="24"/>
        </w:rPr>
      </w:pPr>
      <w:r>
        <w:rPr>
          <w:sz w:val="24"/>
          <w:szCs w:val="24"/>
        </w:rPr>
        <w:tab/>
        <w:t>Potraživanje smanjeno, plaćen manji dio, u tijeku 2 postupka prisilne naplate.</w:t>
      </w:r>
    </w:p>
    <w:p w:rsidR="00A50B63" w:rsidRPr="00F3286A" w:rsidRDefault="00A50B63" w:rsidP="00A50B63">
      <w:pPr>
        <w:rPr>
          <w:sz w:val="24"/>
          <w:szCs w:val="24"/>
        </w:rPr>
      </w:pPr>
      <w:r w:rsidRPr="00F3286A">
        <w:rPr>
          <w:sz w:val="24"/>
          <w:szCs w:val="24"/>
        </w:rPr>
        <w:t>Red.br. 23.:</w:t>
      </w:r>
      <w:r w:rsidRPr="00F3286A">
        <w:rPr>
          <w:sz w:val="24"/>
          <w:szCs w:val="24"/>
        </w:rPr>
        <w:tab/>
      </w:r>
      <w:r w:rsidRPr="00F3286A">
        <w:rPr>
          <w:i/>
          <w:iCs/>
          <w:sz w:val="24"/>
          <w:szCs w:val="24"/>
        </w:rPr>
        <w:t>Potraživanja za pogrešna terećenja žiro - računa</w:t>
      </w:r>
    </w:p>
    <w:p w:rsidR="00A50B63" w:rsidRPr="00F3286A" w:rsidRDefault="00A50B63" w:rsidP="00A50B63">
      <w:pPr>
        <w:rPr>
          <w:sz w:val="24"/>
          <w:szCs w:val="24"/>
        </w:rPr>
      </w:pPr>
      <w:r w:rsidRPr="00F3286A">
        <w:rPr>
          <w:sz w:val="24"/>
          <w:szCs w:val="24"/>
        </w:rPr>
        <w:tab/>
      </w:r>
      <w:r w:rsidR="00F3286A" w:rsidRPr="00F3286A">
        <w:rPr>
          <w:sz w:val="24"/>
          <w:szCs w:val="24"/>
        </w:rPr>
        <w:t>Prelazni konto za knjiženja pogrešnih uplata.</w:t>
      </w:r>
    </w:p>
    <w:p w:rsidR="00A50B63" w:rsidRDefault="00A50B63" w:rsidP="00A50B63">
      <w:pPr>
        <w:rPr>
          <w:sz w:val="24"/>
          <w:szCs w:val="24"/>
        </w:rPr>
      </w:pPr>
      <w:r>
        <w:rPr>
          <w:sz w:val="24"/>
          <w:szCs w:val="24"/>
        </w:rPr>
        <w:t>Red.br. 24.:</w:t>
      </w:r>
      <w:r>
        <w:rPr>
          <w:sz w:val="24"/>
          <w:szCs w:val="24"/>
        </w:rPr>
        <w:tab/>
      </w:r>
      <w:r>
        <w:rPr>
          <w:i/>
          <w:iCs/>
          <w:sz w:val="24"/>
          <w:szCs w:val="24"/>
        </w:rPr>
        <w:t>Potraživanja od ostalih prihoda od nefinancijske imovine</w:t>
      </w:r>
    </w:p>
    <w:p w:rsidR="00A50B63" w:rsidRDefault="00A50B63" w:rsidP="00A50B63">
      <w:pPr>
        <w:rPr>
          <w:sz w:val="24"/>
          <w:szCs w:val="24"/>
        </w:rPr>
      </w:pPr>
      <w:r>
        <w:rPr>
          <w:sz w:val="24"/>
          <w:szCs w:val="24"/>
        </w:rPr>
        <w:lastRenderedPageBreak/>
        <w:tab/>
        <w:t>Potraživanja od D.P.D.S. i obveznika DUCARD  smanjena.</w:t>
      </w:r>
    </w:p>
    <w:p w:rsidR="00A50B63" w:rsidRDefault="00A50B63" w:rsidP="00A50B63">
      <w:pPr>
        <w:rPr>
          <w:sz w:val="24"/>
          <w:szCs w:val="24"/>
        </w:rPr>
      </w:pPr>
      <w:r>
        <w:rPr>
          <w:sz w:val="24"/>
          <w:szCs w:val="24"/>
        </w:rPr>
        <w:t>Red.br. 25.:</w:t>
      </w:r>
      <w:r>
        <w:rPr>
          <w:sz w:val="24"/>
          <w:szCs w:val="24"/>
        </w:rPr>
        <w:tab/>
      </w:r>
      <w:r>
        <w:rPr>
          <w:i/>
          <w:iCs/>
          <w:sz w:val="24"/>
          <w:szCs w:val="24"/>
        </w:rPr>
        <w:t>Ostala potraživanja za refundaciju</w:t>
      </w:r>
    </w:p>
    <w:p w:rsidR="00A50B63" w:rsidRDefault="00A50B63" w:rsidP="00A50B63">
      <w:pPr>
        <w:rPr>
          <w:sz w:val="24"/>
          <w:szCs w:val="24"/>
        </w:rPr>
      </w:pPr>
      <w:r>
        <w:rPr>
          <w:sz w:val="24"/>
          <w:szCs w:val="24"/>
        </w:rPr>
        <w:tab/>
        <w:t xml:space="preserve">Potraživanja malo povećana, odnose se na dio režijskih troškova zajedničkih trajnih </w:t>
      </w:r>
    </w:p>
    <w:p w:rsidR="00A50B63" w:rsidRDefault="00A50B63" w:rsidP="00A50B63">
      <w:pPr>
        <w:rPr>
          <w:sz w:val="24"/>
          <w:szCs w:val="24"/>
        </w:rPr>
      </w:pPr>
      <w:r>
        <w:rPr>
          <w:sz w:val="24"/>
          <w:szCs w:val="24"/>
        </w:rPr>
        <w:tab/>
        <w:t>korištenja objekata sa raznim korisnicima.</w:t>
      </w:r>
    </w:p>
    <w:p w:rsidR="00A50B63" w:rsidRDefault="00A50B63" w:rsidP="00A50B63">
      <w:pPr>
        <w:rPr>
          <w:sz w:val="24"/>
          <w:szCs w:val="24"/>
        </w:rPr>
      </w:pPr>
      <w:r>
        <w:rPr>
          <w:sz w:val="24"/>
          <w:szCs w:val="24"/>
        </w:rPr>
        <w:t xml:space="preserve">Red.br. 26.: </w:t>
      </w:r>
      <w:r>
        <w:rPr>
          <w:sz w:val="24"/>
          <w:szCs w:val="24"/>
        </w:rPr>
        <w:tab/>
      </w:r>
      <w:r>
        <w:rPr>
          <w:i/>
          <w:iCs/>
          <w:sz w:val="24"/>
          <w:szCs w:val="24"/>
        </w:rPr>
        <w:t>Potraživanja za vodovodne priključke</w:t>
      </w:r>
    </w:p>
    <w:p w:rsidR="00A50B63" w:rsidRDefault="00A50B63" w:rsidP="00A50B63">
      <w:pPr>
        <w:rPr>
          <w:sz w:val="24"/>
          <w:szCs w:val="24"/>
        </w:rPr>
      </w:pPr>
      <w:r>
        <w:rPr>
          <w:sz w:val="24"/>
          <w:szCs w:val="24"/>
        </w:rPr>
        <w:tab/>
        <w:t>Potraživanje smanjena, naplatni postupci u tijeku.</w:t>
      </w:r>
    </w:p>
    <w:p w:rsidR="00A50B63" w:rsidRDefault="00A50B63" w:rsidP="00A50B63">
      <w:pPr>
        <w:rPr>
          <w:sz w:val="24"/>
          <w:szCs w:val="24"/>
        </w:rPr>
      </w:pPr>
      <w:r>
        <w:rPr>
          <w:sz w:val="24"/>
          <w:szCs w:val="24"/>
        </w:rPr>
        <w:t>Red.br. 27.:</w:t>
      </w:r>
      <w:r>
        <w:rPr>
          <w:sz w:val="24"/>
          <w:szCs w:val="24"/>
        </w:rPr>
        <w:tab/>
      </w:r>
      <w:r>
        <w:rPr>
          <w:i/>
          <w:iCs/>
          <w:sz w:val="24"/>
          <w:szCs w:val="24"/>
        </w:rPr>
        <w:t>Potraživanja za dane višegodišnje koncesije –  HEP, Vodovod i sl.</w:t>
      </w:r>
    </w:p>
    <w:p w:rsidR="00A50B63" w:rsidRDefault="00A50B63" w:rsidP="00A50B63">
      <w:pPr>
        <w:rPr>
          <w:sz w:val="24"/>
          <w:szCs w:val="24"/>
        </w:rPr>
      </w:pPr>
      <w:r>
        <w:rPr>
          <w:sz w:val="24"/>
          <w:szCs w:val="24"/>
        </w:rPr>
        <w:tab/>
        <w:t>Potraživanja smanjena jer je veći dio potraživanja nedospio</w:t>
      </w:r>
      <w:r w:rsidR="00F3286A">
        <w:rPr>
          <w:sz w:val="24"/>
          <w:szCs w:val="24"/>
        </w:rPr>
        <w:t>,</w:t>
      </w:r>
      <w:r>
        <w:rPr>
          <w:sz w:val="24"/>
          <w:szCs w:val="24"/>
        </w:rPr>
        <w:t xml:space="preserve"> a manji dio plaćen.</w:t>
      </w:r>
    </w:p>
    <w:p w:rsidR="00A50B63" w:rsidRDefault="00A50B63" w:rsidP="00A50B63">
      <w:pPr>
        <w:rPr>
          <w:sz w:val="24"/>
          <w:szCs w:val="24"/>
        </w:rPr>
      </w:pPr>
      <w:r>
        <w:rPr>
          <w:sz w:val="24"/>
          <w:szCs w:val="24"/>
        </w:rPr>
        <w:t>Red.br. 28.:</w:t>
      </w:r>
      <w:r>
        <w:rPr>
          <w:sz w:val="24"/>
          <w:szCs w:val="24"/>
        </w:rPr>
        <w:tab/>
      </w:r>
      <w:r>
        <w:rPr>
          <w:i/>
          <w:iCs/>
          <w:sz w:val="24"/>
          <w:szCs w:val="24"/>
        </w:rPr>
        <w:t>Potraživanja od zaposlenika</w:t>
      </w:r>
    </w:p>
    <w:p w:rsidR="00A50B63" w:rsidRDefault="00A50B63" w:rsidP="00A50B63">
      <w:pPr>
        <w:rPr>
          <w:sz w:val="24"/>
          <w:szCs w:val="24"/>
        </w:rPr>
      </w:pPr>
      <w:r>
        <w:rPr>
          <w:sz w:val="24"/>
          <w:szCs w:val="24"/>
        </w:rPr>
        <w:tab/>
        <w:t>Minimalna potraživanja od zaposlenika.</w:t>
      </w:r>
    </w:p>
    <w:p w:rsidR="00A50B63" w:rsidRDefault="00A50B63" w:rsidP="00A50B63">
      <w:pPr>
        <w:rPr>
          <w:sz w:val="24"/>
          <w:szCs w:val="24"/>
        </w:rPr>
      </w:pPr>
      <w:r>
        <w:rPr>
          <w:sz w:val="24"/>
          <w:szCs w:val="24"/>
        </w:rPr>
        <w:t>Red.br. 29.:</w:t>
      </w:r>
      <w:r>
        <w:rPr>
          <w:sz w:val="24"/>
          <w:szCs w:val="24"/>
        </w:rPr>
        <w:tab/>
      </w:r>
      <w:r>
        <w:rPr>
          <w:i/>
          <w:iCs/>
          <w:sz w:val="24"/>
          <w:szCs w:val="24"/>
        </w:rPr>
        <w:t>Gradske pristojbe (autobusi Pile / Sanitat)</w:t>
      </w:r>
    </w:p>
    <w:p w:rsidR="00A50B63" w:rsidRDefault="00A50B63" w:rsidP="00A50B63">
      <w:pPr>
        <w:rPr>
          <w:sz w:val="24"/>
          <w:szCs w:val="24"/>
        </w:rPr>
      </w:pPr>
      <w:r>
        <w:rPr>
          <w:sz w:val="24"/>
          <w:szCs w:val="24"/>
        </w:rPr>
        <w:tab/>
        <w:t>Potraživanje smanjeno a odnosi se na pristojbu za zadržavanje turističkih</w:t>
      </w:r>
    </w:p>
    <w:p w:rsidR="00A50B63" w:rsidRDefault="00A50B63" w:rsidP="00A50B63">
      <w:pPr>
        <w:rPr>
          <w:sz w:val="24"/>
          <w:szCs w:val="24"/>
        </w:rPr>
      </w:pPr>
      <w:r>
        <w:rPr>
          <w:sz w:val="24"/>
          <w:szCs w:val="24"/>
        </w:rPr>
        <w:tab/>
        <w:t>autobusa na Pilama koje u ime i za račun Grada ubire javno poduzeće Sanitat</w:t>
      </w:r>
    </w:p>
    <w:p w:rsidR="00A50B63" w:rsidRDefault="00A50B63" w:rsidP="00A50B63">
      <w:pPr>
        <w:rPr>
          <w:sz w:val="24"/>
          <w:szCs w:val="24"/>
        </w:rPr>
      </w:pPr>
      <w:r>
        <w:rPr>
          <w:sz w:val="24"/>
          <w:szCs w:val="24"/>
        </w:rPr>
        <w:tab/>
        <w:t xml:space="preserve">Dubrovnik. Dio potraživanja je u ovršnim postupcima a dio u sudskim postupcima </w:t>
      </w:r>
    </w:p>
    <w:p w:rsidR="00A50B63" w:rsidRDefault="00A50B63" w:rsidP="00A50B63">
      <w:pPr>
        <w:rPr>
          <w:sz w:val="24"/>
          <w:szCs w:val="24"/>
        </w:rPr>
      </w:pPr>
      <w:r>
        <w:rPr>
          <w:sz w:val="24"/>
          <w:szCs w:val="24"/>
        </w:rPr>
        <w:tab/>
        <w:t xml:space="preserve">radi utvrđenja valjanosti pravne osnove naplate ove gradske pristojbe.  </w:t>
      </w:r>
    </w:p>
    <w:p w:rsidR="00A50B63" w:rsidRDefault="00A50B63" w:rsidP="00A50B63">
      <w:pPr>
        <w:rPr>
          <w:sz w:val="24"/>
          <w:szCs w:val="24"/>
        </w:rPr>
      </w:pPr>
      <w:r>
        <w:rPr>
          <w:sz w:val="24"/>
          <w:szCs w:val="24"/>
        </w:rPr>
        <w:t>Red.br. 30.:</w:t>
      </w:r>
      <w:r>
        <w:rPr>
          <w:i/>
          <w:iCs/>
          <w:sz w:val="24"/>
          <w:szCs w:val="24"/>
        </w:rPr>
        <w:tab/>
        <w:t xml:space="preserve">Ostali prihodi od nefinancijske imovine- refundacije </w:t>
      </w:r>
    </w:p>
    <w:p w:rsidR="00A50B63" w:rsidRDefault="00A50B63" w:rsidP="00A50B63">
      <w:pPr>
        <w:rPr>
          <w:sz w:val="24"/>
          <w:szCs w:val="24"/>
        </w:rPr>
      </w:pPr>
      <w:r>
        <w:rPr>
          <w:sz w:val="24"/>
          <w:szCs w:val="24"/>
        </w:rPr>
        <w:tab/>
        <w:t>Potraživanje smanjeno a odnosi se na refundiranje režijskih troškova od korisnika</w:t>
      </w:r>
    </w:p>
    <w:p w:rsidR="00A50B63" w:rsidRDefault="00A50B63" w:rsidP="00A50B63">
      <w:pPr>
        <w:rPr>
          <w:sz w:val="24"/>
          <w:szCs w:val="24"/>
        </w:rPr>
      </w:pPr>
      <w:r>
        <w:rPr>
          <w:sz w:val="24"/>
          <w:szCs w:val="24"/>
        </w:rPr>
        <w:tab/>
        <w:t>koji su određeno vrijeme (privremeno) koristili prostore Grada.</w:t>
      </w:r>
    </w:p>
    <w:p w:rsidR="00A50B63" w:rsidRDefault="00A50B63" w:rsidP="00A50B63">
      <w:pPr>
        <w:rPr>
          <w:sz w:val="24"/>
          <w:szCs w:val="24"/>
        </w:rPr>
      </w:pPr>
      <w:r>
        <w:rPr>
          <w:sz w:val="24"/>
          <w:szCs w:val="24"/>
        </w:rPr>
        <w:t>Red.br. 31.:</w:t>
      </w:r>
      <w:r>
        <w:rPr>
          <w:i/>
          <w:iCs/>
          <w:sz w:val="24"/>
          <w:szCs w:val="24"/>
        </w:rPr>
        <w:tab/>
        <w:t>Županijske i gradske pristojbe</w:t>
      </w:r>
    </w:p>
    <w:p w:rsidR="00A50B63" w:rsidRDefault="00A50B63" w:rsidP="00A50B63">
      <w:pPr>
        <w:rPr>
          <w:sz w:val="24"/>
          <w:szCs w:val="24"/>
        </w:rPr>
      </w:pPr>
      <w:r>
        <w:rPr>
          <w:sz w:val="24"/>
          <w:szCs w:val="24"/>
        </w:rPr>
        <w:tab/>
        <w:t>Potraživanje povećano, od obveznika naknade za reklame i obveznika naknade za</w:t>
      </w:r>
    </w:p>
    <w:p w:rsidR="00A50B63" w:rsidRDefault="00A50B63" w:rsidP="00A50B63">
      <w:pPr>
        <w:rPr>
          <w:sz w:val="24"/>
          <w:szCs w:val="24"/>
        </w:rPr>
      </w:pPr>
      <w:r>
        <w:rPr>
          <w:sz w:val="24"/>
          <w:szCs w:val="24"/>
        </w:rPr>
        <w:tab/>
        <w:t>odlagalište (putem Čistoće).</w:t>
      </w:r>
    </w:p>
    <w:p w:rsidR="00A50B63" w:rsidRDefault="00A50B63" w:rsidP="00A50B63">
      <w:pPr>
        <w:rPr>
          <w:sz w:val="24"/>
          <w:szCs w:val="24"/>
        </w:rPr>
      </w:pPr>
      <w:r>
        <w:rPr>
          <w:sz w:val="24"/>
          <w:szCs w:val="24"/>
        </w:rPr>
        <w:t>Red.br. 32.:</w:t>
      </w:r>
      <w:r>
        <w:rPr>
          <w:i/>
          <w:iCs/>
          <w:sz w:val="24"/>
          <w:szCs w:val="24"/>
        </w:rPr>
        <w:tab/>
        <w:t xml:space="preserve">Županijske i gradske naknade </w:t>
      </w:r>
    </w:p>
    <w:p w:rsidR="00A50B63" w:rsidRDefault="00A50B63" w:rsidP="00A50B63">
      <w:pPr>
        <w:rPr>
          <w:sz w:val="24"/>
          <w:szCs w:val="24"/>
        </w:rPr>
      </w:pPr>
      <w:r>
        <w:rPr>
          <w:sz w:val="24"/>
          <w:szCs w:val="24"/>
        </w:rPr>
        <w:tab/>
        <w:t>Smanjena potraživanja, plaćanja u tijeku.</w:t>
      </w:r>
    </w:p>
    <w:p w:rsidR="00A50B63" w:rsidRDefault="00A50B63" w:rsidP="00A50B63">
      <w:pPr>
        <w:rPr>
          <w:sz w:val="24"/>
          <w:szCs w:val="24"/>
        </w:rPr>
      </w:pPr>
      <w:r>
        <w:rPr>
          <w:sz w:val="24"/>
          <w:szCs w:val="24"/>
        </w:rPr>
        <w:t>Red.br. 33.:</w:t>
      </w:r>
      <w:r>
        <w:rPr>
          <w:i/>
          <w:iCs/>
          <w:sz w:val="24"/>
          <w:szCs w:val="24"/>
        </w:rPr>
        <w:tab/>
        <w:t>Naknada za uređenje voda (prihod Hrvatskih voda), uz plać. kom. naknade</w:t>
      </w:r>
    </w:p>
    <w:p w:rsidR="00A50B63" w:rsidRDefault="00A50B63" w:rsidP="00A50B63">
      <w:pPr>
        <w:rPr>
          <w:sz w:val="24"/>
          <w:szCs w:val="24"/>
        </w:rPr>
      </w:pPr>
      <w:r>
        <w:rPr>
          <w:sz w:val="24"/>
          <w:szCs w:val="24"/>
        </w:rPr>
        <w:tab/>
        <w:t>Potraživanje smanjeno, odnosi se na vodnu naknadu koja nije prihod Grada</w:t>
      </w:r>
      <w:r w:rsidR="00F3286A">
        <w:rPr>
          <w:sz w:val="24"/>
          <w:szCs w:val="24"/>
        </w:rPr>
        <w:t xml:space="preserve"> Dubrovnika, već ga naplaćujemo u ima i za račun Hrvatskih voda</w:t>
      </w:r>
    </w:p>
    <w:p w:rsidR="00A50B63" w:rsidRDefault="00A50B63" w:rsidP="00A50B63">
      <w:pPr>
        <w:rPr>
          <w:sz w:val="24"/>
          <w:szCs w:val="24"/>
        </w:rPr>
      </w:pPr>
      <w:r>
        <w:rPr>
          <w:sz w:val="24"/>
          <w:szCs w:val="24"/>
        </w:rPr>
        <w:t>Red.br. 34.:</w:t>
      </w:r>
      <w:r>
        <w:rPr>
          <w:i/>
          <w:iCs/>
          <w:sz w:val="24"/>
          <w:szCs w:val="24"/>
        </w:rPr>
        <w:tab/>
        <w:t>Potraživanja za više plaćene doprinose</w:t>
      </w:r>
    </w:p>
    <w:p w:rsidR="00A50B63" w:rsidRDefault="00A50B63" w:rsidP="00A50B63">
      <w:pPr>
        <w:rPr>
          <w:sz w:val="24"/>
          <w:szCs w:val="24"/>
        </w:rPr>
      </w:pPr>
      <w:r>
        <w:rPr>
          <w:sz w:val="24"/>
          <w:szCs w:val="24"/>
        </w:rPr>
        <w:tab/>
        <w:t>Minimalno potraživanje koje očekujemo naplatiti.</w:t>
      </w:r>
    </w:p>
    <w:p w:rsidR="00A50B63" w:rsidRDefault="00A50B63" w:rsidP="00A50B63">
      <w:pPr>
        <w:rPr>
          <w:sz w:val="24"/>
          <w:szCs w:val="24"/>
        </w:rPr>
      </w:pPr>
      <w:r>
        <w:rPr>
          <w:sz w:val="24"/>
          <w:szCs w:val="24"/>
        </w:rPr>
        <w:t>Red.br. 35.:</w:t>
      </w:r>
      <w:r>
        <w:rPr>
          <w:i/>
          <w:iCs/>
          <w:sz w:val="24"/>
          <w:szCs w:val="24"/>
        </w:rPr>
        <w:tab/>
        <w:t>Potraživanja za novčane kazne prometnog redarstva</w:t>
      </w:r>
    </w:p>
    <w:p w:rsidR="00A50B63" w:rsidRDefault="00A50B63" w:rsidP="00A50B63">
      <w:pPr>
        <w:rPr>
          <w:sz w:val="24"/>
          <w:szCs w:val="24"/>
        </w:rPr>
      </w:pPr>
      <w:r>
        <w:rPr>
          <w:sz w:val="24"/>
          <w:szCs w:val="24"/>
        </w:rPr>
        <w:tab/>
        <w:t>Povećano potraživanje službe prometnog redarstva Grada Dubrovnika koje je u</w:t>
      </w:r>
    </w:p>
    <w:p w:rsidR="00A50B63" w:rsidRDefault="00A50B63" w:rsidP="00A50B63">
      <w:pPr>
        <w:rPr>
          <w:sz w:val="24"/>
          <w:szCs w:val="24"/>
        </w:rPr>
      </w:pPr>
      <w:r>
        <w:rPr>
          <w:sz w:val="24"/>
          <w:szCs w:val="24"/>
        </w:rPr>
        <w:tab/>
        <w:t>posebnoj evidenciji i posebnim postupcima utvrđenja, naplate i prisilne naplate.</w:t>
      </w:r>
    </w:p>
    <w:p w:rsidR="00A50B63" w:rsidRDefault="00A50B63" w:rsidP="00A50B63">
      <w:pPr>
        <w:rPr>
          <w:sz w:val="24"/>
          <w:szCs w:val="24"/>
        </w:rPr>
      </w:pPr>
      <w:r>
        <w:rPr>
          <w:sz w:val="24"/>
          <w:szCs w:val="24"/>
        </w:rPr>
        <w:t>Red.br. 37.:</w:t>
      </w:r>
      <w:r>
        <w:rPr>
          <w:i/>
          <w:iCs/>
          <w:sz w:val="24"/>
          <w:szCs w:val="24"/>
        </w:rPr>
        <w:tab/>
        <w:t>Potraživanja od proračunskih korisnika za povrat u proračun</w:t>
      </w:r>
    </w:p>
    <w:p w:rsidR="00A50B63" w:rsidRDefault="00A50B63" w:rsidP="00A50B63">
      <w:pPr>
        <w:rPr>
          <w:sz w:val="24"/>
          <w:szCs w:val="24"/>
        </w:rPr>
      </w:pPr>
      <w:r>
        <w:rPr>
          <w:sz w:val="24"/>
          <w:szCs w:val="24"/>
        </w:rPr>
        <w:tab/>
        <w:t>Smanjeno potraživanje koje je u naravi</w:t>
      </w:r>
      <w:r w:rsidR="0014534E">
        <w:rPr>
          <w:sz w:val="24"/>
          <w:szCs w:val="24"/>
        </w:rPr>
        <w:t xml:space="preserve"> kratkoročno, budući se </w:t>
      </w:r>
      <w:r>
        <w:rPr>
          <w:sz w:val="24"/>
          <w:szCs w:val="24"/>
        </w:rPr>
        <w:t xml:space="preserve"> isto ukloni</w:t>
      </w:r>
      <w:r w:rsidR="0014534E">
        <w:rPr>
          <w:sz w:val="24"/>
          <w:szCs w:val="24"/>
        </w:rPr>
        <w:t xml:space="preserve">, </w:t>
      </w:r>
      <w:r>
        <w:rPr>
          <w:sz w:val="24"/>
          <w:szCs w:val="24"/>
        </w:rPr>
        <w:t>odnosno</w:t>
      </w:r>
    </w:p>
    <w:p w:rsidR="00A50B63" w:rsidRDefault="00A50B63" w:rsidP="00A50B63">
      <w:pPr>
        <w:rPr>
          <w:sz w:val="24"/>
          <w:szCs w:val="24"/>
        </w:rPr>
      </w:pPr>
      <w:r>
        <w:rPr>
          <w:sz w:val="24"/>
          <w:szCs w:val="24"/>
        </w:rPr>
        <w:tab/>
        <w:t>zatvori nakon izvješća proračunskih korisnika o realizacijama</w:t>
      </w:r>
      <w:r w:rsidR="0014534E">
        <w:rPr>
          <w:sz w:val="24"/>
          <w:szCs w:val="24"/>
        </w:rPr>
        <w:t xml:space="preserve"> namjena odnosnih </w:t>
      </w:r>
      <w:r w:rsidR="0014534E">
        <w:rPr>
          <w:sz w:val="24"/>
          <w:szCs w:val="24"/>
        </w:rPr>
        <w:tab/>
        <w:t>potraživanja , a koje se dostavlja naredni mjesec.</w:t>
      </w:r>
    </w:p>
    <w:p w:rsidR="00A50B63" w:rsidRDefault="00A50B63" w:rsidP="00A50B63">
      <w:pPr>
        <w:rPr>
          <w:sz w:val="24"/>
          <w:szCs w:val="24"/>
        </w:rPr>
      </w:pPr>
    </w:p>
    <w:p w:rsidR="00A50B63" w:rsidRDefault="00A50B63" w:rsidP="00A50B63">
      <w:pPr>
        <w:rPr>
          <w:sz w:val="24"/>
          <w:szCs w:val="24"/>
        </w:rPr>
      </w:pPr>
    </w:p>
    <w:p w:rsidR="00A50B63" w:rsidRDefault="00A50B63" w:rsidP="00A50B63">
      <w:pPr>
        <w:rPr>
          <w:sz w:val="24"/>
          <w:szCs w:val="24"/>
        </w:rPr>
      </w:pPr>
      <w:r>
        <w:rPr>
          <w:sz w:val="24"/>
          <w:szCs w:val="24"/>
        </w:rPr>
        <w:tab/>
        <w:t>Predmetna dospjela potraživanja Grada Dubrovnika su nenaplaćen</w:t>
      </w:r>
      <w:r w:rsidR="003D6780">
        <w:rPr>
          <w:sz w:val="24"/>
          <w:szCs w:val="24"/>
        </w:rPr>
        <w:t xml:space="preserve">a zbog nekoliko </w:t>
      </w:r>
      <w:r>
        <w:rPr>
          <w:sz w:val="24"/>
          <w:szCs w:val="24"/>
        </w:rPr>
        <w:t xml:space="preserve"> razloga:</w:t>
      </w:r>
    </w:p>
    <w:p w:rsidR="00A50B63" w:rsidRDefault="00A50B63" w:rsidP="00A50B63">
      <w:pPr>
        <w:ind w:left="709"/>
        <w:rPr>
          <w:sz w:val="24"/>
          <w:szCs w:val="24"/>
        </w:rPr>
      </w:pPr>
      <w:r>
        <w:rPr>
          <w:sz w:val="24"/>
          <w:szCs w:val="24"/>
        </w:rPr>
        <w:t>1. Nemogućnosti naplate potraživanja od najvećih dužnika, deset velikih tvrtki</w:t>
      </w:r>
    </w:p>
    <w:p w:rsidR="00A50B63" w:rsidRDefault="00A50B63" w:rsidP="00A50B63">
      <w:pPr>
        <w:ind w:left="709"/>
        <w:rPr>
          <w:sz w:val="24"/>
          <w:szCs w:val="24"/>
        </w:rPr>
      </w:pPr>
      <w:r>
        <w:rPr>
          <w:sz w:val="24"/>
          <w:szCs w:val="24"/>
        </w:rPr>
        <w:t xml:space="preserve">    duguju  7.929.129,88 kn;</w:t>
      </w:r>
    </w:p>
    <w:p w:rsidR="00A50B63" w:rsidRDefault="00A50B63" w:rsidP="00A50B63">
      <w:pPr>
        <w:ind w:left="705"/>
        <w:rPr>
          <w:sz w:val="24"/>
          <w:szCs w:val="24"/>
        </w:rPr>
      </w:pPr>
      <w:r>
        <w:rPr>
          <w:sz w:val="24"/>
          <w:szCs w:val="24"/>
        </w:rPr>
        <w:t xml:space="preserve">2. Nemogućnosti naplate potraživanja u brojnim ovršnim postupcima </w:t>
      </w:r>
    </w:p>
    <w:p w:rsidR="00A50B63" w:rsidRDefault="00A50B63" w:rsidP="00A50B63">
      <w:pPr>
        <w:ind w:left="705"/>
        <w:rPr>
          <w:sz w:val="24"/>
          <w:szCs w:val="24"/>
        </w:rPr>
      </w:pPr>
      <w:r>
        <w:rPr>
          <w:sz w:val="24"/>
          <w:szCs w:val="24"/>
        </w:rPr>
        <w:t xml:space="preserve">    (koji u većem broju predmeta traju više od 10 godina);</w:t>
      </w:r>
    </w:p>
    <w:p w:rsidR="00A50B63" w:rsidRDefault="00A50B63" w:rsidP="00A50B63">
      <w:pPr>
        <w:ind w:firstLine="709"/>
        <w:rPr>
          <w:sz w:val="24"/>
          <w:szCs w:val="24"/>
        </w:rPr>
      </w:pPr>
      <w:r>
        <w:rPr>
          <w:sz w:val="24"/>
          <w:szCs w:val="24"/>
        </w:rPr>
        <w:t>3. Vođenja cca 10-15% nenaplativih (spornih) potraživanja Grada;</w:t>
      </w:r>
    </w:p>
    <w:p w:rsidR="00A50B63" w:rsidRDefault="00A50B63" w:rsidP="00A50B63">
      <w:pPr>
        <w:ind w:firstLine="709"/>
        <w:rPr>
          <w:sz w:val="24"/>
          <w:szCs w:val="24"/>
        </w:rPr>
      </w:pPr>
      <w:r>
        <w:rPr>
          <w:sz w:val="24"/>
          <w:szCs w:val="24"/>
        </w:rPr>
        <w:t>4. Teške gospodarske i financijske situacije dijela pravnih i fizičkih osoba;</w:t>
      </w:r>
    </w:p>
    <w:p w:rsidR="00A50B63" w:rsidRDefault="00A50B63" w:rsidP="00A50B63">
      <w:pPr>
        <w:ind w:firstLine="709"/>
        <w:rPr>
          <w:sz w:val="24"/>
          <w:szCs w:val="24"/>
        </w:rPr>
      </w:pPr>
      <w:r>
        <w:rPr>
          <w:sz w:val="24"/>
          <w:szCs w:val="24"/>
        </w:rPr>
        <w:t>5. Teže naplate (novih) gradskih naknada i pristojbi.</w:t>
      </w:r>
    </w:p>
    <w:p w:rsidR="00A50B63" w:rsidRDefault="00A50B63" w:rsidP="00A50B63">
      <w:pPr>
        <w:ind w:firstLine="709"/>
        <w:rPr>
          <w:sz w:val="24"/>
          <w:szCs w:val="24"/>
        </w:rPr>
      </w:pPr>
    </w:p>
    <w:p w:rsidR="00A50B63" w:rsidRDefault="00A50B63" w:rsidP="00A50B63">
      <w:pPr>
        <w:jc w:val="both"/>
        <w:rPr>
          <w:sz w:val="24"/>
          <w:szCs w:val="24"/>
        </w:rPr>
      </w:pPr>
      <w:r>
        <w:rPr>
          <w:sz w:val="24"/>
          <w:szCs w:val="24"/>
        </w:rPr>
        <w:tab/>
        <w:t xml:space="preserve">Podaci o poduzetim mjerama za naplatu dospjelih potraživanja prikazani su u </w:t>
      </w:r>
      <w:r>
        <w:rPr>
          <w:i/>
          <w:iCs/>
          <w:sz w:val="24"/>
          <w:szCs w:val="24"/>
        </w:rPr>
        <w:t>Tablici</w:t>
      </w:r>
      <w:r>
        <w:rPr>
          <w:sz w:val="24"/>
          <w:szCs w:val="24"/>
        </w:rPr>
        <w:t xml:space="preserve"> </w:t>
      </w:r>
      <w:r>
        <w:rPr>
          <w:i/>
          <w:iCs/>
          <w:sz w:val="24"/>
          <w:szCs w:val="24"/>
        </w:rPr>
        <w:t xml:space="preserve">Potraživanja </w:t>
      </w:r>
      <w:r w:rsidR="00C5052E">
        <w:rPr>
          <w:i/>
          <w:iCs/>
          <w:sz w:val="24"/>
          <w:szCs w:val="24"/>
        </w:rPr>
        <w:t>br</w:t>
      </w:r>
      <w:r w:rsidR="005F4790">
        <w:rPr>
          <w:i/>
          <w:iCs/>
          <w:sz w:val="24"/>
          <w:szCs w:val="24"/>
        </w:rPr>
        <w:t>oj</w:t>
      </w:r>
      <w:r w:rsidR="00C5052E">
        <w:rPr>
          <w:i/>
          <w:iCs/>
          <w:sz w:val="24"/>
          <w:szCs w:val="24"/>
        </w:rPr>
        <w:t xml:space="preserve"> 18</w:t>
      </w:r>
      <w:r>
        <w:rPr>
          <w:sz w:val="24"/>
          <w:szCs w:val="24"/>
        </w:rPr>
        <w:t xml:space="preserve"> iz koje je vidljivo da su nadležne gradske službe uputile 9.178 </w:t>
      </w:r>
      <w:r>
        <w:rPr>
          <w:sz w:val="24"/>
          <w:szCs w:val="24"/>
        </w:rPr>
        <w:lastRenderedPageBreak/>
        <w:t>opomena za 12.931.273,57 kn potraživanja te da je na 31.12.2017.g. aktivno 4.030 postupaka (ovrha, predstečajnih / stečajnih prijava i dr.) radi zakonske (prisilne) naplate 33.979.903,02 kn dospjelih gradskih potraživanja glavnica i kamata.</w:t>
      </w:r>
    </w:p>
    <w:p w:rsidR="00BE349F" w:rsidRDefault="00A50B63" w:rsidP="00A50B63">
      <w:pPr>
        <w:jc w:val="both"/>
        <w:rPr>
          <w:sz w:val="24"/>
          <w:szCs w:val="24"/>
        </w:rPr>
      </w:pPr>
      <w:r>
        <w:rPr>
          <w:sz w:val="24"/>
          <w:szCs w:val="24"/>
        </w:rPr>
        <w:tab/>
        <w:t>Analiza stanja dospjelih potraživanja pokazuje urednu naplatu javnih i ugovornih davanja</w:t>
      </w:r>
      <w:r w:rsidR="005F4790">
        <w:rPr>
          <w:sz w:val="24"/>
          <w:szCs w:val="24"/>
        </w:rPr>
        <w:t>,</w:t>
      </w:r>
      <w:r>
        <w:rPr>
          <w:sz w:val="24"/>
          <w:szCs w:val="24"/>
        </w:rPr>
        <w:t xml:space="preserve"> a nešto lošiju naplatu novih gradskih pristojbi, posebno pristojbe za zaustavljanje i parkiranje vozila u posebnoj prometnoj zoni (na Pilama). Dio tih potraživanja je u ovršnim postupcima</w:t>
      </w:r>
      <w:r w:rsidR="005F4790">
        <w:rPr>
          <w:sz w:val="24"/>
          <w:szCs w:val="24"/>
        </w:rPr>
        <w:t>,</w:t>
      </w:r>
      <w:r>
        <w:rPr>
          <w:sz w:val="24"/>
          <w:szCs w:val="24"/>
        </w:rPr>
        <w:t xml:space="preserve"> a dio u sudskim postupcima radi utvrđenja valjanosti pravne osnove njihove naplate</w:t>
      </w:r>
    </w:p>
    <w:p w:rsidR="00A50B63" w:rsidRDefault="00A50B63" w:rsidP="00A50B63">
      <w:pPr>
        <w:jc w:val="both"/>
        <w:rPr>
          <w:sz w:val="24"/>
          <w:szCs w:val="24"/>
        </w:rPr>
      </w:pPr>
      <w:r>
        <w:rPr>
          <w:sz w:val="24"/>
          <w:szCs w:val="24"/>
        </w:rPr>
        <w:t xml:space="preserve"> </w:t>
      </w:r>
      <w:r>
        <w:rPr>
          <w:sz w:val="24"/>
          <w:szCs w:val="24"/>
        </w:rPr>
        <w:tab/>
        <w:t xml:space="preserve">Dio potraživanja je nemoguće naplatiti i zbog toga što neki dužnici svoje financijsko poslovanje obavljaju protivno zakonskim propisima tj. ne posluju preko svojih žiro računa. U takvim slučajevima je nemoguća prisilna naplata na financijskim sredstvima. Osim na financijskim sredstvima, Grad Dubrovnik provodi postupke prisilne naplate na nekretninama i vrijednosnim papirima (dionicama) dužnika. </w:t>
      </w:r>
    </w:p>
    <w:p w:rsidR="00A50B63" w:rsidRDefault="00A50B63" w:rsidP="00A50B63">
      <w:pPr>
        <w:jc w:val="both"/>
        <w:rPr>
          <w:sz w:val="24"/>
          <w:szCs w:val="24"/>
        </w:rPr>
      </w:pPr>
      <w:r>
        <w:rPr>
          <w:sz w:val="24"/>
          <w:szCs w:val="24"/>
        </w:rPr>
        <w:tab/>
        <w:t>Dio dospjelih potraživanja je nenaplativ (radi nemogućnosti dostave pismena, mogućeg gubitka sudskog spora, nemogućnosti naplate po ovrhama, skraćenog ili dugotrajnog stečajnog postupka, eventualnog otpisa po predstečajnim nagodbama, itd.) a ima i dijela koji je usprkos svim pokrenutim mjerama prisilne naplate i zastario.</w:t>
      </w:r>
    </w:p>
    <w:p w:rsidR="00A50B63" w:rsidRDefault="00A50B63" w:rsidP="00A50B63">
      <w:pPr>
        <w:jc w:val="both"/>
        <w:rPr>
          <w:sz w:val="24"/>
          <w:szCs w:val="24"/>
        </w:rPr>
      </w:pPr>
      <w:r>
        <w:rPr>
          <w:sz w:val="24"/>
          <w:szCs w:val="24"/>
        </w:rPr>
        <w:tab/>
        <w:t xml:space="preserve">Od kraja 2013.g. ponovno je zakonski moguće evidentirati sporno naplativa dugovanja obveznika. Stoga je Grad Dubrovnik pristupio izradi odgovarajućeg informacijskog programa koji je krajem prosinca omogućio unos dijela spornih potraživanja Grada. Tako smo, temeljem određenja Općeg poreznog zakona da se svako nenaplaćeno potraživanje starije od 5 godina može proglasiti sporno naplativim, zasad evidentirali </w:t>
      </w:r>
      <w:r>
        <w:rPr>
          <w:rFonts w:eastAsia="Arial"/>
          <w:sz w:val="24"/>
          <w:szCs w:val="24"/>
        </w:rPr>
        <w:t xml:space="preserve">1.199.543,17 </w:t>
      </w:r>
      <w:r>
        <w:rPr>
          <w:sz w:val="24"/>
          <w:szCs w:val="24"/>
        </w:rPr>
        <w:t xml:space="preserve">kn spornih potraživanja. </w:t>
      </w:r>
    </w:p>
    <w:p w:rsidR="00A50B63" w:rsidRDefault="00A50B63" w:rsidP="00A50B63">
      <w:pPr>
        <w:jc w:val="both"/>
        <w:rPr>
          <w:sz w:val="24"/>
          <w:szCs w:val="24"/>
        </w:rPr>
      </w:pPr>
      <w:r>
        <w:rPr>
          <w:sz w:val="24"/>
          <w:szCs w:val="24"/>
        </w:rPr>
        <w:tab/>
        <w:t>Prate se pravna i financijska kretanja u Republici Hrvatskoj, a u postupcima predstečajnih nagodbi obradili</w:t>
      </w:r>
      <w:r w:rsidR="008A68BA">
        <w:rPr>
          <w:sz w:val="24"/>
          <w:szCs w:val="24"/>
        </w:rPr>
        <w:t xml:space="preserve"> smo </w:t>
      </w:r>
      <w:r>
        <w:rPr>
          <w:sz w:val="24"/>
          <w:szCs w:val="24"/>
        </w:rPr>
        <w:t xml:space="preserve"> i izvršili ukupno 76 prijava od kojih je 38 nagodbi u vrijednosti od 2.212.830,50 kn aktivno. Dio prijava je završi</w:t>
      </w:r>
      <w:r w:rsidR="0052321E">
        <w:rPr>
          <w:sz w:val="24"/>
          <w:szCs w:val="24"/>
        </w:rPr>
        <w:t xml:space="preserve">o neuspješno (stečajem dužnika), </w:t>
      </w:r>
      <w:r>
        <w:rPr>
          <w:sz w:val="24"/>
          <w:szCs w:val="24"/>
        </w:rPr>
        <w:t>a pravomoćno zaključene nagodbe evidentiraju se u financijskim knjigama Grada.</w:t>
      </w:r>
    </w:p>
    <w:p w:rsidR="00A50B63" w:rsidRDefault="00A50B63" w:rsidP="00A50B63">
      <w:pPr>
        <w:jc w:val="both"/>
        <w:rPr>
          <w:rFonts w:eastAsia="Arial"/>
          <w:sz w:val="24"/>
          <w:szCs w:val="24"/>
        </w:rPr>
      </w:pPr>
      <w:r>
        <w:rPr>
          <w:sz w:val="24"/>
          <w:szCs w:val="24"/>
        </w:rPr>
        <w:tab/>
        <w:t xml:space="preserve">Grad Dubrovnik je, u postupku izvanredne uprave koncerna Agrokor d.d., na ime potraživanja prema 9 tvrtki koncerna ukupno prijavio 7.253.040,66 kn od čega se najveći dio odnosi na neplaćenu </w:t>
      </w:r>
      <w:r>
        <w:rPr>
          <w:rFonts w:eastAsia="Arial"/>
          <w:sz w:val="24"/>
          <w:szCs w:val="24"/>
        </w:rPr>
        <w:t xml:space="preserve">pristojbu za zaustavljanje i parkiranje turističkih autobusa u zoni posebnog prometnog režima (Pile) tvrtki Atlas d.d. i Gulliver travel d.d. Upravo  potraživanja prema ove dvije tvrtke nisu priznata i to u iznosu od 5.617.525,34 kn za što </w:t>
      </w:r>
      <w:r w:rsidR="0052321E">
        <w:rPr>
          <w:rFonts w:eastAsia="Arial"/>
          <w:sz w:val="24"/>
          <w:szCs w:val="24"/>
        </w:rPr>
        <w:t xml:space="preserve">je Grad Dubrovnik </w:t>
      </w:r>
      <w:r>
        <w:rPr>
          <w:rFonts w:eastAsia="Arial"/>
          <w:sz w:val="24"/>
          <w:szCs w:val="24"/>
        </w:rPr>
        <w:t xml:space="preserve"> u zakons</w:t>
      </w:r>
      <w:r w:rsidR="0052321E">
        <w:rPr>
          <w:rFonts w:eastAsia="Arial"/>
          <w:sz w:val="24"/>
          <w:szCs w:val="24"/>
        </w:rPr>
        <w:t xml:space="preserve">kom roku početkom 2018.g. izjavio </w:t>
      </w:r>
      <w:r>
        <w:rPr>
          <w:rFonts w:eastAsia="Arial"/>
          <w:sz w:val="24"/>
          <w:szCs w:val="24"/>
        </w:rPr>
        <w:t>žalbu Visokom Trgovačkom sudu Republike Hrvatske čije rješenje još očekujemo. Zakonsko određenje postupka izvanredne uprave zasad nam ne dozvoljava pokretanje bilo kakvih novih radnji prisilne naplate prema svim tvrtkama koncerna Agrokor, kako za prošla, tako i za nova potraživanja.</w:t>
      </w:r>
    </w:p>
    <w:p w:rsidR="00A50B63" w:rsidRDefault="00A50B63" w:rsidP="00A50B63">
      <w:pPr>
        <w:jc w:val="both"/>
        <w:rPr>
          <w:rFonts w:eastAsia="Arial"/>
          <w:sz w:val="24"/>
          <w:szCs w:val="24"/>
        </w:rPr>
      </w:pPr>
      <w:r>
        <w:rPr>
          <w:rFonts w:eastAsia="Arial"/>
          <w:sz w:val="24"/>
          <w:szCs w:val="24"/>
        </w:rPr>
        <w:tab/>
        <w:t>Porez na promet nekretnina (4%) od početka 2017.g. je u c</w:t>
      </w:r>
      <w:r w:rsidR="003E6D02">
        <w:rPr>
          <w:rFonts w:eastAsia="Arial"/>
          <w:sz w:val="24"/>
          <w:szCs w:val="24"/>
        </w:rPr>
        <w:t>i</w:t>
      </w:r>
      <w:r>
        <w:rPr>
          <w:rFonts w:eastAsia="Arial"/>
          <w:sz w:val="24"/>
          <w:szCs w:val="24"/>
        </w:rPr>
        <w:t>jelosti prihod jedinica lokalne samouprave</w:t>
      </w:r>
      <w:r w:rsidR="007B7BD9">
        <w:rPr>
          <w:rFonts w:eastAsia="Arial"/>
          <w:sz w:val="24"/>
          <w:szCs w:val="24"/>
        </w:rPr>
        <w:t>,</w:t>
      </w:r>
      <w:r>
        <w:rPr>
          <w:rFonts w:eastAsia="Arial"/>
          <w:sz w:val="24"/>
          <w:szCs w:val="24"/>
        </w:rPr>
        <w:t xml:space="preserve"> pa je stoga evidentirano uplata po ovoj vrsti prihoda u iznosu od 22.506.538,81 kn. Problem je što jedinice lokalne samouprave u RH još uvijek nemaju podatke o zaduženjima za ovaj porez jer zaduženja, temeljem izdanih rješenja, vodi Porezna uprava RH i ti poda</w:t>
      </w:r>
      <w:r w:rsidR="008A68BA">
        <w:rPr>
          <w:rFonts w:eastAsia="Arial"/>
          <w:sz w:val="24"/>
          <w:szCs w:val="24"/>
        </w:rPr>
        <w:t>ci nam još uvijek nisu dostupni,</w:t>
      </w:r>
      <w:r w:rsidR="007B7BD9">
        <w:rPr>
          <w:rFonts w:eastAsia="Arial"/>
          <w:sz w:val="24"/>
          <w:szCs w:val="24"/>
        </w:rPr>
        <w:t xml:space="preserve"> odnosno preneseni u  knjigovodstvene evidencije Grada.</w:t>
      </w:r>
    </w:p>
    <w:p w:rsidR="00A50B63" w:rsidRDefault="00A50B63" w:rsidP="00A50B63">
      <w:pPr>
        <w:jc w:val="both"/>
        <w:rPr>
          <w:sz w:val="24"/>
          <w:szCs w:val="24"/>
        </w:rPr>
      </w:pPr>
      <w:r>
        <w:rPr>
          <w:rFonts w:eastAsia="Arial"/>
          <w:sz w:val="24"/>
          <w:szCs w:val="24"/>
        </w:rPr>
        <w:tab/>
      </w: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A50B63" w:rsidRDefault="00A50B63" w:rsidP="007B3982">
      <w:pPr>
        <w:ind w:firstLine="720"/>
        <w:jc w:val="both"/>
        <w:rPr>
          <w:b/>
          <w:sz w:val="24"/>
          <w:szCs w:val="24"/>
        </w:rPr>
      </w:pPr>
    </w:p>
    <w:p w:rsidR="00C3419C" w:rsidRDefault="007B3982" w:rsidP="00A50B63">
      <w:pPr>
        <w:rPr>
          <w:sz w:val="24"/>
          <w:szCs w:val="24"/>
        </w:rPr>
      </w:pPr>
      <w:r>
        <w:rPr>
          <w:sz w:val="24"/>
          <w:szCs w:val="24"/>
        </w:rPr>
        <w:tab/>
      </w:r>
    </w:p>
    <w:p w:rsidR="00C3419C" w:rsidRDefault="00C3419C" w:rsidP="007B3982">
      <w:pPr>
        <w:jc w:val="both"/>
        <w:rPr>
          <w:sz w:val="24"/>
          <w:szCs w:val="24"/>
        </w:rPr>
      </w:pPr>
    </w:p>
    <w:p w:rsidR="00C3419C" w:rsidRDefault="00C3419C" w:rsidP="007B3982">
      <w:pPr>
        <w:jc w:val="both"/>
        <w:rPr>
          <w:sz w:val="24"/>
          <w:szCs w:val="24"/>
        </w:rPr>
      </w:pPr>
    </w:p>
    <w:p w:rsidR="00FF3EA7" w:rsidRDefault="00FF3EA7" w:rsidP="007B3982">
      <w:pPr>
        <w:jc w:val="both"/>
        <w:rPr>
          <w:sz w:val="24"/>
          <w:szCs w:val="24"/>
        </w:rPr>
      </w:pPr>
    </w:p>
    <w:p w:rsidR="00B93E78" w:rsidRDefault="00B93E78" w:rsidP="007B3982">
      <w:pPr>
        <w:jc w:val="both"/>
        <w:rPr>
          <w:sz w:val="24"/>
          <w:szCs w:val="24"/>
        </w:rPr>
      </w:pPr>
    </w:p>
    <w:p w:rsidR="00FD2B7C" w:rsidRDefault="00FD2B7C" w:rsidP="007B3982">
      <w:pPr>
        <w:jc w:val="both"/>
        <w:rPr>
          <w:sz w:val="24"/>
          <w:szCs w:val="24"/>
        </w:rPr>
      </w:pPr>
    </w:p>
    <w:p w:rsidR="00FD2B7C" w:rsidRDefault="00FD2B7C" w:rsidP="007B3982">
      <w:pPr>
        <w:jc w:val="both"/>
        <w:rPr>
          <w:sz w:val="24"/>
          <w:szCs w:val="24"/>
        </w:rPr>
      </w:pPr>
    </w:p>
    <w:p w:rsidR="00FD2B7C" w:rsidRDefault="00FD2B7C" w:rsidP="007B3982">
      <w:pPr>
        <w:jc w:val="both"/>
        <w:rPr>
          <w:sz w:val="24"/>
          <w:szCs w:val="24"/>
        </w:rPr>
      </w:pPr>
    </w:p>
    <w:p w:rsidR="00B93E78" w:rsidRDefault="00B93E78" w:rsidP="007B3982">
      <w:pPr>
        <w:jc w:val="both"/>
        <w:rPr>
          <w:sz w:val="24"/>
          <w:szCs w:val="24"/>
        </w:rPr>
      </w:pPr>
    </w:p>
    <w:tbl>
      <w:tblPr>
        <w:tblW w:w="8926" w:type="dxa"/>
        <w:tblLook w:val="04A0"/>
      </w:tblPr>
      <w:tblGrid>
        <w:gridCol w:w="741"/>
        <w:gridCol w:w="3780"/>
        <w:gridCol w:w="1478"/>
        <w:gridCol w:w="1577"/>
        <w:gridCol w:w="1351"/>
      </w:tblGrid>
      <w:tr w:rsidR="00A50B63" w:rsidRPr="00A50B63" w:rsidTr="00686E00">
        <w:trPr>
          <w:trHeight w:val="289"/>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50B63" w:rsidRPr="00A50B63" w:rsidRDefault="00A50B63" w:rsidP="00A50B63">
            <w:pPr>
              <w:overflowPunct/>
              <w:autoSpaceDE/>
              <w:autoSpaceDN/>
              <w:adjustRightInd/>
              <w:jc w:val="center"/>
              <w:textAlignment w:val="auto"/>
              <w:rPr>
                <w:rFonts w:ascii="Arial" w:hAnsi="Arial" w:cs="Arial"/>
                <w:sz w:val="22"/>
                <w:szCs w:val="22"/>
              </w:rPr>
            </w:pPr>
            <w:r w:rsidRPr="00A50B63">
              <w:rPr>
                <w:rFonts w:ascii="Arial" w:hAnsi="Arial" w:cs="Arial"/>
                <w:sz w:val="22"/>
                <w:szCs w:val="22"/>
              </w:rPr>
              <w:t>PREGLED POTRAŽIVANJA GRADA DUBROVNIKA NA DAN 31.12.2017.GODINE</w:t>
            </w:r>
          </w:p>
        </w:tc>
      </w:tr>
      <w:tr w:rsidR="00A50B63" w:rsidRPr="00A50B63" w:rsidTr="00686E00">
        <w:trPr>
          <w:trHeight w:val="300"/>
        </w:trPr>
        <w:tc>
          <w:tcPr>
            <w:tcW w:w="740" w:type="dxa"/>
            <w:tcBorders>
              <w:top w:val="nil"/>
              <w:left w:val="nil"/>
              <w:bottom w:val="nil"/>
              <w:right w:val="nil"/>
            </w:tcBorders>
            <w:shd w:val="clear" w:color="auto" w:fill="auto"/>
            <w:noWrap/>
            <w:vAlign w:val="bottom"/>
            <w:hideMark/>
          </w:tcPr>
          <w:p w:rsidR="00A50B63" w:rsidRPr="00A50B63" w:rsidRDefault="00A50B63" w:rsidP="00A50B63">
            <w:pPr>
              <w:overflowPunct/>
              <w:autoSpaceDE/>
              <w:autoSpaceDN/>
              <w:adjustRightInd/>
              <w:jc w:val="center"/>
              <w:textAlignment w:val="auto"/>
              <w:rPr>
                <w:rFonts w:ascii="Arial" w:hAnsi="Arial" w:cs="Arial"/>
                <w:sz w:val="22"/>
                <w:szCs w:val="22"/>
              </w:rPr>
            </w:pPr>
          </w:p>
        </w:tc>
        <w:tc>
          <w:tcPr>
            <w:tcW w:w="3780" w:type="dxa"/>
            <w:tcBorders>
              <w:top w:val="nil"/>
              <w:left w:val="nil"/>
              <w:bottom w:val="nil"/>
              <w:right w:val="nil"/>
            </w:tcBorders>
            <w:shd w:val="clear" w:color="auto" w:fill="auto"/>
            <w:noWrap/>
            <w:vAlign w:val="bottom"/>
            <w:hideMark/>
          </w:tcPr>
          <w:p w:rsidR="00A50B63" w:rsidRPr="00A50B63" w:rsidRDefault="00A50B63" w:rsidP="00A50B63">
            <w:pPr>
              <w:overflowPunct/>
              <w:autoSpaceDE/>
              <w:autoSpaceDN/>
              <w:adjustRightInd/>
              <w:textAlignment w:val="auto"/>
            </w:pPr>
          </w:p>
        </w:tc>
        <w:tc>
          <w:tcPr>
            <w:tcW w:w="1478" w:type="dxa"/>
            <w:tcBorders>
              <w:top w:val="nil"/>
              <w:left w:val="nil"/>
              <w:bottom w:val="nil"/>
              <w:right w:val="nil"/>
            </w:tcBorders>
            <w:shd w:val="clear" w:color="auto" w:fill="auto"/>
            <w:noWrap/>
            <w:vAlign w:val="bottom"/>
            <w:hideMark/>
          </w:tcPr>
          <w:p w:rsidR="00A50B63" w:rsidRPr="00A50B63" w:rsidRDefault="00A50B63" w:rsidP="00A50B63">
            <w:pPr>
              <w:overflowPunct/>
              <w:autoSpaceDE/>
              <w:autoSpaceDN/>
              <w:adjustRightInd/>
              <w:textAlignment w:val="auto"/>
            </w:pPr>
          </w:p>
        </w:tc>
        <w:tc>
          <w:tcPr>
            <w:tcW w:w="1577" w:type="dxa"/>
            <w:tcBorders>
              <w:top w:val="nil"/>
              <w:left w:val="nil"/>
              <w:bottom w:val="nil"/>
              <w:right w:val="nil"/>
            </w:tcBorders>
            <w:shd w:val="clear" w:color="auto" w:fill="auto"/>
            <w:noWrap/>
            <w:vAlign w:val="bottom"/>
            <w:hideMark/>
          </w:tcPr>
          <w:p w:rsidR="00A50B63" w:rsidRPr="00A50B63" w:rsidRDefault="00A50B63" w:rsidP="00A50B63">
            <w:pPr>
              <w:overflowPunct/>
              <w:autoSpaceDE/>
              <w:autoSpaceDN/>
              <w:adjustRightInd/>
              <w:textAlignment w:val="auto"/>
            </w:pPr>
          </w:p>
        </w:tc>
        <w:tc>
          <w:tcPr>
            <w:tcW w:w="1351" w:type="dxa"/>
            <w:tcBorders>
              <w:top w:val="nil"/>
              <w:left w:val="nil"/>
              <w:bottom w:val="nil"/>
              <w:right w:val="nil"/>
            </w:tcBorders>
            <w:shd w:val="clear" w:color="auto" w:fill="auto"/>
            <w:noWrap/>
            <w:vAlign w:val="bottom"/>
            <w:hideMark/>
          </w:tcPr>
          <w:p w:rsidR="00A50B63" w:rsidRPr="00A50B63" w:rsidRDefault="00A50B63" w:rsidP="00A50B63">
            <w:pPr>
              <w:overflowPunct/>
              <w:autoSpaceDE/>
              <w:autoSpaceDN/>
              <w:adjustRightInd/>
              <w:textAlignment w:val="auto"/>
            </w:pPr>
          </w:p>
        </w:tc>
      </w:tr>
      <w:tr w:rsidR="00A50B63" w:rsidRPr="00A50B63" w:rsidTr="00686E00">
        <w:trPr>
          <w:trHeight w:val="289"/>
        </w:trPr>
        <w:tc>
          <w:tcPr>
            <w:tcW w:w="8926" w:type="dxa"/>
            <w:gridSpan w:val="5"/>
            <w:tcBorders>
              <w:top w:val="nil"/>
              <w:left w:val="nil"/>
              <w:bottom w:val="nil"/>
              <w:right w:val="nil"/>
            </w:tcBorders>
            <w:shd w:val="clear" w:color="auto" w:fill="auto"/>
            <w:noWrap/>
            <w:vAlign w:val="bottom"/>
            <w:hideMark/>
          </w:tcPr>
          <w:p w:rsidR="00A50B63" w:rsidRPr="00A50B63" w:rsidRDefault="00A50B63" w:rsidP="00946190">
            <w:pPr>
              <w:overflowPunct/>
              <w:autoSpaceDE/>
              <w:autoSpaceDN/>
              <w:adjustRightInd/>
              <w:textAlignment w:val="auto"/>
              <w:rPr>
                <w:rFonts w:ascii="Arial" w:hAnsi="Arial" w:cs="Arial"/>
                <w:b/>
                <w:bCs/>
                <w:sz w:val="22"/>
                <w:szCs w:val="22"/>
              </w:rPr>
            </w:pPr>
            <w:r w:rsidRPr="00A50B63">
              <w:rPr>
                <w:rFonts w:ascii="Arial" w:hAnsi="Arial" w:cs="Arial"/>
                <w:b/>
                <w:bCs/>
                <w:sz w:val="22"/>
                <w:szCs w:val="22"/>
              </w:rPr>
              <w:t>Tablica broj 1</w:t>
            </w:r>
            <w:r w:rsidR="00946190">
              <w:rPr>
                <w:rFonts w:ascii="Arial" w:hAnsi="Arial" w:cs="Arial"/>
                <w:b/>
                <w:bCs/>
                <w:sz w:val="22"/>
                <w:szCs w:val="22"/>
              </w:rPr>
              <w:t>7</w:t>
            </w:r>
            <w:r w:rsidRPr="00A50B63">
              <w:rPr>
                <w:rFonts w:ascii="Arial" w:hAnsi="Arial" w:cs="Arial"/>
                <w:b/>
                <w:bCs/>
                <w:sz w:val="22"/>
                <w:szCs w:val="22"/>
              </w:rPr>
              <w:t xml:space="preserve">                                                            </w:t>
            </w:r>
          </w:p>
        </w:tc>
      </w:tr>
      <w:tr w:rsidR="00A50B63" w:rsidRPr="00A50B63" w:rsidTr="00686E00">
        <w:trPr>
          <w:trHeight w:val="428"/>
        </w:trPr>
        <w:tc>
          <w:tcPr>
            <w:tcW w:w="74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i/>
                <w:iCs/>
                <w:sz w:val="16"/>
                <w:szCs w:val="16"/>
              </w:rPr>
            </w:pPr>
            <w:r w:rsidRPr="00A50B63">
              <w:rPr>
                <w:rFonts w:ascii="Arial" w:hAnsi="Arial" w:cs="Arial"/>
                <w:i/>
                <w:iCs/>
                <w:sz w:val="16"/>
                <w:szCs w:val="16"/>
              </w:rPr>
              <w:t>Red.br.</w:t>
            </w:r>
          </w:p>
        </w:tc>
        <w:tc>
          <w:tcPr>
            <w:tcW w:w="3780" w:type="dxa"/>
            <w:tcBorders>
              <w:top w:val="double" w:sz="6" w:space="0" w:color="000000"/>
              <w:left w:val="nil"/>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i/>
                <w:iCs/>
                <w:sz w:val="16"/>
                <w:szCs w:val="16"/>
              </w:rPr>
            </w:pPr>
            <w:r w:rsidRPr="00A50B63">
              <w:rPr>
                <w:rFonts w:ascii="Arial" w:hAnsi="Arial" w:cs="Arial"/>
                <w:i/>
                <w:iCs/>
                <w:sz w:val="16"/>
                <w:szCs w:val="16"/>
              </w:rPr>
              <w:t>Opis potraživanja</w:t>
            </w:r>
          </w:p>
        </w:tc>
        <w:tc>
          <w:tcPr>
            <w:tcW w:w="1478" w:type="dxa"/>
            <w:tcBorders>
              <w:top w:val="double" w:sz="6" w:space="0" w:color="000000"/>
              <w:left w:val="nil"/>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i/>
                <w:iCs/>
                <w:sz w:val="16"/>
                <w:szCs w:val="16"/>
              </w:rPr>
            </w:pPr>
            <w:r w:rsidRPr="00A50B63">
              <w:rPr>
                <w:rFonts w:ascii="Arial" w:hAnsi="Arial" w:cs="Arial"/>
                <w:i/>
                <w:iCs/>
                <w:sz w:val="16"/>
                <w:szCs w:val="16"/>
              </w:rPr>
              <w:t>Stanje 30.6.2017.</w:t>
            </w:r>
          </w:p>
        </w:tc>
        <w:tc>
          <w:tcPr>
            <w:tcW w:w="1577" w:type="dxa"/>
            <w:tcBorders>
              <w:top w:val="double" w:sz="6" w:space="0" w:color="000000"/>
              <w:left w:val="nil"/>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i/>
                <w:iCs/>
                <w:sz w:val="16"/>
                <w:szCs w:val="16"/>
              </w:rPr>
            </w:pPr>
            <w:r w:rsidRPr="00A50B63">
              <w:rPr>
                <w:rFonts w:ascii="Arial" w:hAnsi="Arial" w:cs="Arial"/>
                <w:i/>
                <w:iCs/>
                <w:sz w:val="16"/>
                <w:szCs w:val="16"/>
              </w:rPr>
              <w:t>Stanje 31.12.2017.</w:t>
            </w:r>
          </w:p>
        </w:tc>
        <w:tc>
          <w:tcPr>
            <w:tcW w:w="1351" w:type="dxa"/>
            <w:tcBorders>
              <w:top w:val="double" w:sz="6" w:space="0" w:color="000000"/>
              <w:left w:val="nil"/>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i/>
                <w:iCs/>
                <w:sz w:val="16"/>
                <w:szCs w:val="16"/>
              </w:rPr>
            </w:pPr>
            <w:r w:rsidRPr="00A50B63">
              <w:rPr>
                <w:rFonts w:ascii="Arial" w:hAnsi="Arial" w:cs="Arial"/>
                <w:i/>
                <w:iCs/>
                <w:sz w:val="16"/>
                <w:szCs w:val="16"/>
              </w:rPr>
              <w:t>Razlika + ili -</w:t>
            </w:r>
          </w:p>
        </w:tc>
      </w:tr>
      <w:tr w:rsidR="00A50B63" w:rsidRPr="00A50B63" w:rsidTr="00686E00">
        <w:trPr>
          <w:trHeight w:val="289"/>
        </w:trPr>
        <w:tc>
          <w:tcPr>
            <w:tcW w:w="740" w:type="dxa"/>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w:t>
            </w:r>
          </w:p>
        </w:tc>
        <w:tc>
          <w:tcPr>
            <w:tcW w:w="3780" w:type="dxa"/>
            <w:tcBorders>
              <w:top w:val="double" w:sz="6" w:space="0" w:color="000000"/>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Komunalna naknada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8.549.600,87</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8.152.169,28</w:t>
            </w:r>
          </w:p>
        </w:tc>
        <w:tc>
          <w:tcPr>
            <w:tcW w:w="1351" w:type="dxa"/>
            <w:tcBorders>
              <w:top w:val="double" w:sz="6" w:space="0" w:color="000000"/>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-397.431,59</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Komunalni doprinos</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5.729.434,39</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4.582.241,09</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-1.147.193,30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Spomenička renta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6.710.501,20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2.387.673,36</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-4.322.827,84</w:t>
            </w:r>
          </w:p>
        </w:tc>
      </w:tr>
      <w:tr w:rsidR="00A50B63" w:rsidRPr="00A50B63" w:rsidTr="00686E00">
        <w:trPr>
          <w:trHeight w:val="270"/>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4.</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Zakup javnih površina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689.960,59</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387.248,05</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-302.712,54</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5.</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Zakup poslovnog prostora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3.535.310,38</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2.645.987,09</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-889.323,29</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6.</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Najamnina stanova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1.212.356,97</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1.176.836,53</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-35.520,44</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7.</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Porez na tvrtku</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1.650.966,28</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1.116.386,61</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-534.579,67</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8.</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Porez na kuće za odmor</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659.453,30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115.422,16</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-544.031,14</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9.</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Porez na potrošnju</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72.821,31</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44.964,24</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-27.857,07</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10.</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HZZO naknade bolovanja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22.292,43</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3.846,20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-18.446,23</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11.</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 za prihode od financijske imovine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90.764,51</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85.029,13</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-5.735,38</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12.</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Kamate po danim zajmovima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908.508,90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5.447,00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-903.061,90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13.</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 xml:space="preserve">Potraživanja po akontacij. putnih naloga </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5.675,00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0,00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-5.675,00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14.</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 xml:space="preserve">Potraživanja po osnovu stare devizne štednje  </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366.237,71</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364.108,76</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-2.128,95</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15.</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Ostale pristojbe – boravišna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56.184,41</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56.184,41</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16.</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Nedostajuća parkirališna mjesta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5.166.000,00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5.510.000,00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344.000,00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17.</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Zatezne kamate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6.601.323,12</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5.267.053,05</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-1.334.270,07</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18.</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Ostale pristojbe – legalizacija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521.946,18</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332.323,00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-189.623,18</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19.</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Depoziti u tuzemnim bankama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950.000,00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950.000,00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0,00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20.</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Hrvatske vode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137.804,95</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123.279,50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-14.525,45</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21.</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Zemljišta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1.423.680,00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1.408.680,00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-15.000,00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22.</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Stambeni objekti</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8.066.210,80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7.165.765,98</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-900.444,82</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23.</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Pogrešna terećenja žira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40.052,80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47.014,80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6.962,00</w:t>
            </w:r>
          </w:p>
        </w:tc>
      </w:tr>
      <w:tr w:rsidR="00A50B63" w:rsidRPr="00A50B63" w:rsidTr="00686E00">
        <w:trPr>
          <w:trHeight w:val="420"/>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24.</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 od ostalih prihoda od nefinancijske Imovine (DPDS, DUCARD)</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841.384,99</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640.499,99</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-200.885,00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25.</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Ostala potraživanja za refundaciju</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69.519,83</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69.754,83</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235,00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26.</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Potraživanja za vodovodne priključke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40.985,93</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19.893,96</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-21.091,97</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27.</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 xml:space="preserve">Dane višegodiš.koncesije (HEP, Vodovod i dr.) </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1.023.680,70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916.204,30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-107.476,40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28.</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Potraživanja od zaposlenika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578,20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578,20</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lastRenderedPageBreak/>
              <w:t>29.</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Gradske pristojbe (autobusi Pile / Sanitat)</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17.759.148,47</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15.877.982,00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-1.881.166,47</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30.</w:t>
            </w:r>
          </w:p>
        </w:tc>
        <w:tc>
          <w:tcPr>
            <w:tcW w:w="3780"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Ost.prih.od nefinancijske imovine – refundacije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675.316,91</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540.646,24</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-134.670,67</w:t>
            </w:r>
          </w:p>
        </w:tc>
      </w:tr>
      <w:tr w:rsidR="00A50B63" w:rsidRPr="00A50B63" w:rsidTr="00686E00">
        <w:trPr>
          <w:trHeight w:val="417"/>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31.</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Županij. i grad. pristojbe (za reklame, za odlagalište / Čistoća, za smještaj pasa)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1.498.528,96</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1.621.103,55</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122.574,59</w:t>
            </w:r>
          </w:p>
        </w:tc>
      </w:tr>
      <w:tr w:rsidR="00A50B63" w:rsidRPr="00A50B63" w:rsidTr="00686E00">
        <w:trPr>
          <w:trHeight w:val="417"/>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32.</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Županijske i gradske pristojbe i naknade - taxi stajališta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32.558,69</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29.558,69</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-3.000,00</w:t>
            </w:r>
          </w:p>
        </w:tc>
      </w:tr>
      <w:tr w:rsidR="00A50B63" w:rsidRPr="00A50B63" w:rsidTr="00686E00">
        <w:trPr>
          <w:trHeight w:val="435"/>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33.</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Naknada za uređenje voda (prihod Hrv.voda, uz plaćanje kom.naknade)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3.085.420,31</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2.445.104,80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-640.315,51</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34.</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Potraživanja za više plaćene doprinose</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406,03</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406,03</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0,00</w:t>
            </w:r>
          </w:p>
        </w:tc>
      </w:tr>
      <w:tr w:rsidR="00A50B63" w:rsidRPr="00A50B63" w:rsidTr="00686E00">
        <w:trPr>
          <w:trHeight w:val="300"/>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35.</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Novčane kazne prometnog redarstva</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928.008,69</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969.747,51</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41.738,82</w:t>
            </w:r>
          </w:p>
        </w:tc>
      </w:tr>
      <w:tr w:rsidR="00A50B63" w:rsidRPr="00A50B63" w:rsidTr="00686E00">
        <w:trPr>
          <w:trHeight w:val="289"/>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36.</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Potraživanja za prava građenja (INA d.d.)</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16.869.000,00</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16.387.200,00</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-481.800,00</w:t>
            </w:r>
          </w:p>
        </w:tc>
      </w:tr>
      <w:tr w:rsidR="00A50B63" w:rsidRPr="00A50B63" w:rsidTr="00686E00">
        <w:trPr>
          <w:trHeight w:val="424"/>
        </w:trPr>
        <w:tc>
          <w:tcPr>
            <w:tcW w:w="740" w:type="dxa"/>
            <w:tcBorders>
              <w:top w:val="nil"/>
              <w:left w:val="double" w:sz="6" w:space="0" w:color="000000"/>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37.</w:t>
            </w:r>
          </w:p>
        </w:tc>
        <w:tc>
          <w:tcPr>
            <w:tcW w:w="3780" w:type="dxa"/>
            <w:tcBorders>
              <w:top w:val="nil"/>
              <w:left w:val="nil"/>
              <w:bottom w:val="single" w:sz="4" w:space="0" w:color="000000"/>
              <w:right w:val="single" w:sz="4" w:space="0" w:color="000000"/>
            </w:tcBorders>
            <w:shd w:val="clear" w:color="auto" w:fill="auto"/>
            <w:vAlign w:val="center"/>
            <w:hideMark/>
          </w:tcPr>
          <w:p w:rsidR="00A50B63" w:rsidRPr="00A50B63" w:rsidRDefault="00A50B63" w:rsidP="00A50B63">
            <w:pPr>
              <w:overflowPunct/>
              <w:autoSpaceDE/>
              <w:autoSpaceDN/>
              <w:adjustRightInd/>
              <w:textAlignment w:val="auto"/>
              <w:rPr>
                <w:rFonts w:ascii="Arial" w:hAnsi="Arial" w:cs="Arial"/>
                <w:sz w:val="16"/>
                <w:szCs w:val="16"/>
              </w:rPr>
            </w:pPr>
            <w:r w:rsidRPr="00A50B63">
              <w:rPr>
                <w:rFonts w:ascii="Arial" w:hAnsi="Arial" w:cs="Arial"/>
                <w:sz w:val="16"/>
                <w:szCs w:val="16"/>
              </w:rPr>
              <w:t>Potraživanja od proračunskih korisnika za povrat u proračun</w:t>
            </w:r>
          </w:p>
        </w:tc>
        <w:tc>
          <w:tcPr>
            <w:tcW w:w="1478"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(2.645.240,63)</w:t>
            </w:r>
          </w:p>
        </w:tc>
        <w:tc>
          <w:tcPr>
            <w:tcW w:w="1577" w:type="dxa"/>
            <w:tcBorders>
              <w:top w:val="nil"/>
              <w:left w:val="nil"/>
              <w:bottom w:val="single" w:sz="4"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1.829.821,57</w:t>
            </w:r>
          </w:p>
        </w:tc>
        <w:tc>
          <w:tcPr>
            <w:tcW w:w="1351" w:type="dxa"/>
            <w:tcBorders>
              <w:top w:val="nil"/>
              <w:left w:val="nil"/>
              <w:bottom w:val="single" w:sz="4"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(-815.419,06)</w:t>
            </w:r>
          </w:p>
        </w:tc>
      </w:tr>
      <w:tr w:rsidR="00A50B63" w:rsidRPr="00A50B63" w:rsidTr="00686E00">
        <w:trPr>
          <w:trHeight w:val="390"/>
        </w:trPr>
        <w:tc>
          <w:tcPr>
            <w:tcW w:w="740" w:type="dxa"/>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38.</w:t>
            </w:r>
          </w:p>
        </w:tc>
        <w:tc>
          <w:tcPr>
            <w:tcW w:w="3780" w:type="dxa"/>
            <w:tcBorders>
              <w:top w:val="double" w:sz="6" w:space="0" w:color="000000"/>
              <w:left w:val="nil"/>
              <w:bottom w:val="double" w:sz="6"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center"/>
              <w:textAlignment w:val="auto"/>
              <w:rPr>
                <w:rFonts w:ascii="Arial" w:hAnsi="Arial" w:cs="Arial"/>
                <w:sz w:val="16"/>
                <w:szCs w:val="16"/>
              </w:rPr>
            </w:pPr>
            <w:r w:rsidRPr="00A50B63">
              <w:rPr>
                <w:rFonts w:ascii="Arial" w:hAnsi="Arial" w:cs="Arial"/>
                <w:sz w:val="16"/>
                <w:szCs w:val="16"/>
              </w:rPr>
              <w:t xml:space="preserve">U K U P N O </w:t>
            </w:r>
          </w:p>
        </w:tc>
        <w:tc>
          <w:tcPr>
            <w:tcW w:w="1478" w:type="dxa"/>
            <w:tcBorders>
              <w:top w:val="double" w:sz="6" w:space="0" w:color="000000"/>
              <w:left w:val="nil"/>
              <w:bottom w:val="double" w:sz="6"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95.934.861,20</w:t>
            </w:r>
          </w:p>
        </w:tc>
        <w:tc>
          <w:tcPr>
            <w:tcW w:w="1577" w:type="dxa"/>
            <w:tcBorders>
              <w:top w:val="double" w:sz="6" w:space="0" w:color="000000"/>
              <w:left w:val="nil"/>
              <w:bottom w:val="double" w:sz="6" w:space="0" w:color="000000"/>
              <w:right w:val="single" w:sz="4"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83.276.161,91</w:t>
            </w:r>
          </w:p>
        </w:tc>
        <w:tc>
          <w:tcPr>
            <w:tcW w:w="1351" w:type="dxa"/>
            <w:tcBorders>
              <w:top w:val="double" w:sz="6" w:space="0" w:color="000000"/>
              <w:left w:val="nil"/>
              <w:bottom w:val="double" w:sz="6" w:space="0" w:color="000000"/>
              <w:right w:val="double" w:sz="6" w:space="0" w:color="000000"/>
            </w:tcBorders>
            <w:shd w:val="clear" w:color="auto" w:fill="auto"/>
            <w:noWrap/>
            <w:vAlign w:val="center"/>
            <w:hideMark/>
          </w:tcPr>
          <w:p w:rsidR="00A50B63" w:rsidRPr="00A50B63" w:rsidRDefault="00A50B63" w:rsidP="00A50B63">
            <w:pPr>
              <w:overflowPunct/>
              <w:autoSpaceDE/>
              <w:autoSpaceDN/>
              <w:adjustRightInd/>
              <w:jc w:val="right"/>
              <w:textAlignment w:val="auto"/>
              <w:rPr>
                <w:rFonts w:ascii="Arial" w:hAnsi="Arial" w:cs="Arial"/>
                <w:sz w:val="16"/>
                <w:szCs w:val="16"/>
              </w:rPr>
            </w:pPr>
            <w:r w:rsidRPr="00A50B63">
              <w:rPr>
                <w:rFonts w:ascii="Arial" w:hAnsi="Arial" w:cs="Arial"/>
                <w:sz w:val="16"/>
                <w:szCs w:val="16"/>
              </w:rPr>
              <w:t>-12.658.699,29</w:t>
            </w:r>
          </w:p>
        </w:tc>
      </w:tr>
    </w:tbl>
    <w:p w:rsidR="00A50B63" w:rsidRPr="00946190" w:rsidRDefault="00946190" w:rsidP="007B3982">
      <w:pPr>
        <w:jc w:val="both"/>
        <w:rPr>
          <w:b/>
          <w:sz w:val="24"/>
          <w:szCs w:val="24"/>
        </w:rPr>
      </w:pPr>
      <w:r w:rsidRPr="00946190">
        <w:rPr>
          <w:b/>
          <w:sz w:val="24"/>
          <w:szCs w:val="24"/>
        </w:rPr>
        <w:t>Tablice broj 18</w:t>
      </w:r>
    </w:p>
    <w:p w:rsidR="00A50B63" w:rsidRDefault="00251E1F" w:rsidP="00251E1F">
      <w:pPr>
        <w:ind w:left="-567" w:right="-515"/>
        <w:jc w:val="both"/>
        <w:rPr>
          <w:sz w:val="24"/>
          <w:szCs w:val="24"/>
        </w:rPr>
      </w:pPr>
      <w:r>
        <w:rPr>
          <w:noProof/>
          <w:sz w:val="24"/>
          <w:szCs w:val="24"/>
        </w:rPr>
        <w:drawing>
          <wp:inline distT="0" distB="0" distL="0" distR="0">
            <wp:extent cx="6234975" cy="421005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6234975" cy="4210050"/>
                    </a:xfrm>
                    <a:prstGeom prst="rect">
                      <a:avLst/>
                    </a:prstGeom>
                    <a:noFill/>
                    <a:ln w="9525">
                      <a:noFill/>
                      <a:miter lim="800000"/>
                      <a:headEnd/>
                      <a:tailEnd/>
                    </a:ln>
                  </pic:spPr>
                </pic:pic>
              </a:graphicData>
            </a:graphic>
          </wp:inline>
        </w:drawing>
      </w:r>
    </w:p>
    <w:p w:rsidR="00A50B63" w:rsidRPr="00946190" w:rsidRDefault="00946190" w:rsidP="007B3982">
      <w:pPr>
        <w:jc w:val="both"/>
        <w:rPr>
          <w:b/>
          <w:sz w:val="24"/>
          <w:szCs w:val="24"/>
        </w:rPr>
      </w:pPr>
      <w:r w:rsidRPr="00946190">
        <w:rPr>
          <w:b/>
          <w:sz w:val="24"/>
          <w:szCs w:val="24"/>
        </w:rPr>
        <w:t>Tablica br</w:t>
      </w:r>
      <w:r>
        <w:rPr>
          <w:b/>
          <w:sz w:val="24"/>
          <w:szCs w:val="24"/>
        </w:rPr>
        <w:t>oj</w:t>
      </w:r>
      <w:r w:rsidRPr="00946190">
        <w:rPr>
          <w:b/>
          <w:sz w:val="24"/>
          <w:szCs w:val="24"/>
        </w:rPr>
        <w:t xml:space="preserve"> 19</w:t>
      </w:r>
    </w:p>
    <w:p w:rsidR="00A50B63" w:rsidRDefault="00C803C6" w:rsidP="00251E1F">
      <w:pPr>
        <w:ind w:left="-426"/>
        <w:jc w:val="both"/>
        <w:rPr>
          <w:sz w:val="24"/>
          <w:szCs w:val="24"/>
        </w:rPr>
      </w:pPr>
      <w:r>
        <w:rPr>
          <w:noProof/>
          <w:sz w:val="24"/>
          <w:szCs w:val="24"/>
        </w:rPr>
        <w:lastRenderedPageBreak/>
        <w:drawing>
          <wp:inline distT="0" distB="0" distL="0" distR="0">
            <wp:extent cx="6019800" cy="3924300"/>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020748" cy="3924918"/>
                    </a:xfrm>
                    <a:prstGeom prst="rect">
                      <a:avLst/>
                    </a:prstGeom>
                    <a:noFill/>
                    <a:ln w="9525">
                      <a:noFill/>
                      <a:miter lim="800000"/>
                      <a:headEnd/>
                      <a:tailEnd/>
                    </a:ln>
                  </pic:spPr>
                </pic:pic>
              </a:graphicData>
            </a:graphic>
          </wp:inline>
        </w:drawing>
      </w:r>
    </w:p>
    <w:p w:rsidR="00A50B63" w:rsidRDefault="00A50B63" w:rsidP="007B3982">
      <w:pPr>
        <w:jc w:val="both"/>
        <w:rPr>
          <w:sz w:val="24"/>
          <w:szCs w:val="24"/>
        </w:rPr>
      </w:pPr>
      <w:bookmarkStart w:id="2" w:name="RANGE!A1:J32"/>
      <w:bookmarkEnd w:id="2"/>
    </w:p>
    <w:p w:rsidR="00D21613" w:rsidRDefault="00D21613" w:rsidP="00D21613">
      <w:pPr>
        <w:pStyle w:val="Naslov4"/>
        <w:rPr>
          <w:b/>
          <w:sz w:val="24"/>
          <w:szCs w:val="24"/>
        </w:rPr>
      </w:pPr>
      <w:r w:rsidRPr="005A6A5D">
        <w:rPr>
          <w:b/>
          <w:sz w:val="24"/>
          <w:szCs w:val="24"/>
        </w:rPr>
        <w:t>PREGLED  NEPODMIRENIH  OBVEZA  GRADA  DUBROVNIKA</w:t>
      </w:r>
    </w:p>
    <w:p w:rsidR="00A50B63" w:rsidRDefault="00A50B63" w:rsidP="007B3982">
      <w:pPr>
        <w:jc w:val="both"/>
        <w:rPr>
          <w:sz w:val="24"/>
          <w:szCs w:val="24"/>
        </w:rPr>
      </w:pPr>
    </w:p>
    <w:p w:rsidR="006A65CC" w:rsidRDefault="006A65CC" w:rsidP="004C337B">
      <w:pPr>
        <w:ind w:firstLine="720"/>
        <w:rPr>
          <w:b/>
          <w:sz w:val="24"/>
        </w:rPr>
      </w:pPr>
      <w:r>
        <w:rPr>
          <w:b/>
          <w:sz w:val="24"/>
        </w:rPr>
        <w:t>6.</w:t>
      </w:r>
      <w:r w:rsidR="002F4069">
        <w:rPr>
          <w:b/>
          <w:sz w:val="24"/>
        </w:rPr>
        <w:t>2</w:t>
      </w:r>
      <w:r>
        <w:rPr>
          <w:b/>
          <w:sz w:val="24"/>
        </w:rPr>
        <w:t>. Nepodmirene obveze</w:t>
      </w:r>
    </w:p>
    <w:p w:rsidR="00A50B63" w:rsidRPr="00E877E5" w:rsidRDefault="006A65CC" w:rsidP="007B3982">
      <w:pPr>
        <w:jc w:val="both"/>
        <w:rPr>
          <w:sz w:val="24"/>
        </w:rPr>
      </w:pPr>
      <w:r w:rsidRPr="002242F6">
        <w:rPr>
          <w:sz w:val="24"/>
        </w:rPr>
        <w:tab/>
      </w:r>
      <w:r w:rsidRPr="00490421">
        <w:rPr>
          <w:sz w:val="24"/>
        </w:rPr>
        <w:t>Grad Dubrovnik je na 31. 12. 201</w:t>
      </w:r>
      <w:r w:rsidR="00490421" w:rsidRPr="00490421">
        <w:rPr>
          <w:sz w:val="24"/>
        </w:rPr>
        <w:t>7</w:t>
      </w:r>
      <w:r w:rsidRPr="00490421">
        <w:rPr>
          <w:sz w:val="24"/>
        </w:rPr>
        <w:t>. godine imao 2</w:t>
      </w:r>
      <w:r w:rsidR="00490421" w:rsidRPr="00490421">
        <w:rPr>
          <w:sz w:val="24"/>
        </w:rPr>
        <w:t>7.932.034</w:t>
      </w:r>
      <w:r w:rsidRPr="00490421">
        <w:rPr>
          <w:sz w:val="24"/>
        </w:rPr>
        <w:t xml:space="preserve"> kun</w:t>
      </w:r>
      <w:r w:rsidR="00490421" w:rsidRPr="00490421">
        <w:rPr>
          <w:sz w:val="24"/>
        </w:rPr>
        <w:t>a</w:t>
      </w:r>
      <w:r w:rsidRPr="00490421">
        <w:rPr>
          <w:sz w:val="24"/>
        </w:rPr>
        <w:t xml:space="preserve"> nepodmirenih </w:t>
      </w:r>
      <w:r w:rsidRPr="00D65AFF">
        <w:rPr>
          <w:sz w:val="24"/>
        </w:rPr>
        <w:t>obveza. Iskazane nepodmirene obveze plaćene su tijekom siječnja 201</w:t>
      </w:r>
      <w:r w:rsidR="00490421" w:rsidRPr="00D65AFF">
        <w:rPr>
          <w:sz w:val="24"/>
        </w:rPr>
        <w:t>8</w:t>
      </w:r>
      <w:r w:rsidRPr="00D65AFF">
        <w:rPr>
          <w:sz w:val="24"/>
        </w:rPr>
        <w:t>. godine. Predmetne obveze odnose se na plaće za prosinac 201</w:t>
      </w:r>
      <w:r w:rsidR="00D65AFF" w:rsidRPr="00D65AFF">
        <w:rPr>
          <w:sz w:val="24"/>
        </w:rPr>
        <w:t>7</w:t>
      </w:r>
      <w:r w:rsidRPr="00D65AFF">
        <w:rPr>
          <w:sz w:val="24"/>
        </w:rPr>
        <w:t>. i na račune za robu i usluge koji su stizali u siječnju, a odnosili su se na troškove poslovanja uglavnom iz prosinca 201</w:t>
      </w:r>
      <w:r w:rsidR="00D65AFF" w:rsidRPr="00D65AFF">
        <w:rPr>
          <w:sz w:val="24"/>
        </w:rPr>
        <w:t>7</w:t>
      </w:r>
      <w:r w:rsidRPr="00D65AFF">
        <w:rPr>
          <w:sz w:val="24"/>
        </w:rPr>
        <w:t>. godine</w:t>
      </w:r>
      <w:r w:rsidRPr="003D5B54">
        <w:rPr>
          <w:color w:val="FF0000"/>
          <w:sz w:val="24"/>
        </w:rPr>
        <w:t>.</w:t>
      </w:r>
      <w:r w:rsidRPr="00655E0E">
        <w:rPr>
          <w:sz w:val="24"/>
        </w:rPr>
        <w:t xml:space="preserve"> Ako usporedimo predmetne  nepodmirene obveze Grada Dubrovnika s onima na dan 31. prosinca 201</w:t>
      </w:r>
      <w:r w:rsidR="00D65AFF" w:rsidRPr="00655E0E">
        <w:rPr>
          <w:sz w:val="24"/>
        </w:rPr>
        <w:t>6</w:t>
      </w:r>
      <w:r w:rsidRPr="00655E0E">
        <w:rPr>
          <w:sz w:val="24"/>
        </w:rPr>
        <w:t>. godine koje su iznosile 29.</w:t>
      </w:r>
      <w:r w:rsidR="00D65AFF" w:rsidRPr="00655E0E">
        <w:rPr>
          <w:sz w:val="24"/>
        </w:rPr>
        <w:t>208.774</w:t>
      </w:r>
      <w:r w:rsidRPr="00655E0E">
        <w:rPr>
          <w:sz w:val="24"/>
        </w:rPr>
        <w:t xml:space="preserve"> kn, možemo zaključiti da radi o  sličnom iznosu, odnosno da su obveze iz 201</w:t>
      </w:r>
      <w:r w:rsidR="00D65AFF" w:rsidRPr="00655E0E">
        <w:rPr>
          <w:sz w:val="24"/>
        </w:rPr>
        <w:t>7</w:t>
      </w:r>
      <w:r w:rsidRPr="00655E0E">
        <w:rPr>
          <w:sz w:val="24"/>
        </w:rPr>
        <w:t xml:space="preserve">.  manje za </w:t>
      </w:r>
      <w:r w:rsidR="00D65AFF" w:rsidRPr="00655E0E">
        <w:rPr>
          <w:sz w:val="24"/>
        </w:rPr>
        <w:t>1.276.740</w:t>
      </w:r>
      <w:r w:rsidRPr="00655E0E">
        <w:rPr>
          <w:sz w:val="24"/>
        </w:rPr>
        <w:t xml:space="preserve"> kun</w:t>
      </w:r>
      <w:r w:rsidR="00D65AFF" w:rsidRPr="00655E0E">
        <w:rPr>
          <w:sz w:val="24"/>
        </w:rPr>
        <w:t>a</w:t>
      </w:r>
      <w:r w:rsidRPr="00655E0E">
        <w:rPr>
          <w:sz w:val="24"/>
        </w:rPr>
        <w:t xml:space="preserve"> u odnosu na obveze iz 201</w:t>
      </w:r>
      <w:r w:rsidR="00D65AFF" w:rsidRPr="00655E0E">
        <w:rPr>
          <w:sz w:val="24"/>
        </w:rPr>
        <w:t>6</w:t>
      </w:r>
      <w:r w:rsidRPr="00655E0E">
        <w:rPr>
          <w:sz w:val="24"/>
        </w:rPr>
        <w:t>. godine.</w:t>
      </w:r>
    </w:p>
    <w:p w:rsidR="00374097" w:rsidRPr="0062107D" w:rsidRDefault="0062107D" w:rsidP="00B216D9">
      <w:pPr>
        <w:jc w:val="both"/>
        <w:rPr>
          <w:b/>
          <w:sz w:val="22"/>
          <w:szCs w:val="22"/>
        </w:rPr>
      </w:pPr>
      <w:bookmarkStart w:id="3" w:name="RANGE!A1:J31"/>
      <w:bookmarkEnd w:id="3"/>
      <w:r>
        <w:t xml:space="preserve">  </w:t>
      </w:r>
      <w:r w:rsidRPr="0062107D">
        <w:rPr>
          <w:b/>
          <w:sz w:val="22"/>
          <w:szCs w:val="22"/>
        </w:rPr>
        <w:t>Tablica broj 20</w:t>
      </w:r>
    </w:p>
    <w:tbl>
      <w:tblPr>
        <w:tblW w:w="7660" w:type="dxa"/>
        <w:tblLook w:val="04A0"/>
      </w:tblPr>
      <w:tblGrid>
        <w:gridCol w:w="960"/>
        <w:gridCol w:w="4800"/>
        <w:gridCol w:w="1900"/>
      </w:tblGrid>
      <w:tr w:rsidR="001D377C" w:rsidRPr="001D377C" w:rsidTr="001D377C">
        <w:trPr>
          <w:trHeight w:val="315"/>
        </w:trPr>
        <w:tc>
          <w:tcPr>
            <w:tcW w:w="960" w:type="dxa"/>
            <w:tcBorders>
              <w:top w:val="single" w:sz="8" w:space="0" w:color="auto"/>
              <w:left w:val="single" w:sz="8" w:space="0" w:color="auto"/>
              <w:bottom w:val="nil"/>
              <w:right w:val="single" w:sz="8" w:space="0" w:color="auto"/>
            </w:tcBorders>
            <w:shd w:val="clear" w:color="000000" w:fill="FFFFFF"/>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R.br.</w:t>
            </w:r>
          </w:p>
        </w:tc>
        <w:tc>
          <w:tcPr>
            <w:tcW w:w="4800" w:type="dxa"/>
            <w:tcBorders>
              <w:top w:val="single" w:sz="8" w:space="0" w:color="auto"/>
              <w:left w:val="nil"/>
              <w:bottom w:val="nil"/>
              <w:right w:val="single" w:sz="8" w:space="0" w:color="auto"/>
            </w:tcBorders>
            <w:shd w:val="clear" w:color="000000" w:fill="FFFFFF"/>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Opis nepodmirene obveze</w:t>
            </w:r>
          </w:p>
        </w:tc>
        <w:tc>
          <w:tcPr>
            <w:tcW w:w="1900" w:type="dxa"/>
            <w:tcBorders>
              <w:top w:val="single" w:sz="8" w:space="0" w:color="auto"/>
              <w:left w:val="nil"/>
              <w:bottom w:val="nil"/>
              <w:right w:val="single" w:sz="8" w:space="0" w:color="auto"/>
            </w:tcBorders>
            <w:shd w:val="clear" w:color="auto" w:fill="auto"/>
            <w:noWrap/>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Stanje 31.12.2017.</w:t>
            </w:r>
          </w:p>
        </w:tc>
      </w:tr>
      <w:tr w:rsidR="001D377C" w:rsidRPr="001D377C" w:rsidTr="001D377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1.</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zaposlene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3.344.794,30</w:t>
            </w:r>
          </w:p>
        </w:tc>
      </w:tr>
      <w:tr w:rsidR="001D377C" w:rsidRPr="001D377C" w:rsidTr="001D377C">
        <w:trPr>
          <w:trHeight w:val="315"/>
        </w:trPr>
        <w:tc>
          <w:tcPr>
            <w:tcW w:w="960" w:type="dxa"/>
            <w:tcBorders>
              <w:top w:val="nil"/>
              <w:left w:val="single" w:sz="4" w:space="0" w:color="auto"/>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1.1.</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Obveze za zaposlene u upravi Grada</w:t>
            </w:r>
          </w:p>
        </w:tc>
        <w:tc>
          <w:tcPr>
            <w:tcW w:w="1900" w:type="dxa"/>
            <w:tcBorders>
              <w:top w:val="nil"/>
              <w:left w:val="nil"/>
              <w:bottom w:val="nil"/>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3.344.794,30</w:t>
            </w:r>
          </w:p>
        </w:tc>
      </w:tr>
      <w:tr w:rsidR="001D377C" w:rsidRPr="001D377C" w:rsidTr="001D377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2.</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materijalne rashode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10.385.535,42</w:t>
            </w:r>
          </w:p>
        </w:tc>
      </w:tr>
      <w:tr w:rsidR="001D377C" w:rsidRPr="001D377C" w:rsidTr="001D377C">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2.1.</w:t>
            </w:r>
          </w:p>
        </w:tc>
        <w:tc>
          <w:tcPr>
            <w:tcW w:w="4800" w:type="dxa"/>
            <w:tcBorders>
              <w:top w:val="nil"/>
              <w:left w:val="nil"/>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Naknade troškova zaposlenima</w:t>
            </w:r>
          </w:p>
        </w:tc>
        <w:tc>
          <w:tcPr>
            <w:tcW w:w="1900" w:type="dxa"/>
            <w:tcBorders>
              <w:top w:val="nil"/>
              <w:left w:val="nil"/>
              <w:bottom w:val="single" w:sz="4"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71.012,00</w:t>
            </w:r>
          </w:p>
        </w:tc>
      </w:tr>
      <w:tr w:rsidR="001D377C" w:rsidRPr="001D377C" w:rsidTr="001D377C">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2.2.</w:t>
            </w:r>
          </w:p>
        </w:tc>
        <w:tc>
          <w:tcPr>
            <w:tcW w:w="4800" w:type="dxa"/>
            <w:tcBorders>
              <w:top w:val="nil"/>
              <w:left w:val="nil"/>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Rashodi za materijal i energiju</w:t>
            </w:r>
          </w:p>
        </w:tc>
        <w:tc>
          <w:tcPr>
            <w:tcW w:w="1900" w:type="dxa"/>
            <w:tcBorders>
              <w:top w:val="nil"/>
              <w:left w:val="nil"/>
              <w:bottom w:val="single" w:sz="4"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2.014.762,69</w:t>
            </w:r>
          </w:p>
        </w:tc>
      </w:tr>
      <w:tr w:rsidR="001D377C" w:rsidRPr="001D377C" w:rsidTr="001D377C">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2.3.</w:t>
            </w:r>
          </w:p>
        </w:tc>
        <w:tc>
          <w:tcPr>
            <w:tcW w:w="4800" w:type="dxa"/>
            <w:tcBorders>
              <w:top w:val="nil"/>
              <w:left w:val="nil"/>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Rashodi za usluge</w:t>
            </w:r>
          </w:p>
        </w:tc>
        <w:tc>
          <w:tcPr>
            <w:tcW w:w="1900" w:type="dxa"/>
            <w:tcBorders>
              <w:top w:val="nil"/>
              <w:left w:val="nil"/>
              <w:bottom w:val="single" w:sz="4"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7.771.084,00</w:t>
            </w:r>
          </w:p>
        </w:tc>
      </w:tr>
      <w:tr w:rsidR="001D377C" w:rsidRPr="001D377C" w:rsidTr="001D377C">
        <w:trPr>
          <w:trHeight w:val="315"/>
        </w:trPr>
        <w:tc>
          <w:tcPr>
            <w:tcW w:w="960" w:type="dxa"/>
            <w:tcBorders>
              <w:top w:val="nil"/>
              <w:left w:val="single" w:sz="4" w:space="0" w:color="auto"/>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2.4.</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Ostali nespomenuti rashodi poslovanja</w:t>
            </w:r>
          </w:p>
        </w:tc>
        <w:tc>
          <w:tcPr>
            <w:tcW w:w="1900" w:type="dxa"/>
            <w:tcBorders>
              <w:top w:val="nil"/>
              <w:left w:val="nil"/>
              <w:bottom w:val="nil"/>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528.676,73</w:t>
            </w:r>
          </w:p>
        </w:tc>
      </w:tr>
      <w:tr w:rsidR="001D377C" w:rsidRPr="001D377C" w:rsidTr="001D377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3.</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financijske rashode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36.767,64</w:t>
            </w:r>
          </w:p>
        </w:tc>
      </w:tr>
      <w:tr w:rsidR="001D377C" w:rsidRPr="001D377C" w:rsidTr="001D377C">
        <w:trPr>
          <w:trHeight w:val="315"/>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3.1.</w:t>
            </w:r>
          </w:p>
        </w:tc>
        <w:tc>
          <w:tcPr>
            <w:tcW w:w="4800" w:type="dxa"/>
            <w:tcBorders>
              <w:top w:val="single" w:sz="4" w:space="0" w:color="auto"/>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Obveze zabankarske i usluge platnog prometa</w:t>
            </w:r>
          </w:p>
        </w:tc>
        <w:tc>
          <w:tcPr>
            <w:tcW w:w="1900" w:type="dxa"/>
            <w:tcBorders>
              <w:top w:val="single" w:sz="4" w:space="0" w:color="auto"/>
              <w:left w:val="nil"/>
              <w:bottom w:val="nil"/>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36.767,64</w:t>
            </w:r>
          </w:p>
        </w:tc>
      </w:tr>
      <w:tr w:rsidR="001D377C" w:rsidRPr="001D377C" w:rsidTr="001D377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4.</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subvencije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789.399,58</w:t>
            </w:r>
          </w:p>
        </w:tc>
      </w:tr>
      <w:tr w:rsidR="001D377C" w:rsidRPr="001D377C" w:rsidTr="001D377C">
        <w:trPr>
          <w:trHeight w:val="315"/>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lastRenderedPageBreak/>
              <w:t>5.</w:t>
            </w:r>
          </w:p>
        </w:tc>
        <w:tc>
          <w:tcPr>
            <w:tcW w:w="4800" w:type="dxa"/>
            <w:tcBorders>
              <w:top w:val="nil"/>
              <w:left w:val="nil"/>
              <w:bottom w:val="single" w:sz="8"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naknade grđanima i kućanstvima</w:t>
            </w:r>
          </w:p>
        </w:tc>
        <w:tc>
          <w:tcPr>
            <w:tcW w:w="1900" w:type="dxa"/>
            <w:tcBorders>
              <w:top w:val="nil"/>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936.995,56</w:t>
            </w:r>
          </w:p>
        </w:tc>
      </w:tr>
      <w:tr w:rsidR="001D377C" w:rsidRPr="001D377C" w:rsidTr="001D377C">
        <w:trPr>
          <w:trHeight w:val="315"/>
        </w:trPr>
        <w:tc>
          <w:tcPr>
            <w:tcW w:w="96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6.</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Ostale tekuće obveze</w:t>
            </w:r>
          </w:p>
        </w:tc>
        <w:tc>
          <w:tcPr>
            <w:tcW w:w="1900" w:type="dxa"/>
            <w:tcBorders>
              <w:top w:val="nil"/>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10.914.482,87</w:t>
            </w:r>
          </w:p>
        </w:tc>
      </w:tr>
      <w:tr w:rsidR="001D377C" w:rsidRPr="001D377C" w:rsidTr="001D377C">
        <w:trPr>
          <w:trHeight w:val="300"/>
        </w:trPr>
        <w:tc>
          <w:tcPr>
            <w:tcW w:w="96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6.1.</w:t>
            </w:r>
          </w:p>
        </w:tc>
        <w:tc>
          <w:tcPr>
            <w:tcW w:w="4800" w:type="dxa"/>
            <w:tcBorders>
              <w:top w:val="single" w:sz="8" w:space="0" w:color="auto"/>
              <w:left w:val="nil"/>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Obveze za jamčevine</w:t>
            </w:r>
          </w:p>
        </w:tc>
        <w:tc>
          <w:tcPr>
            <w:tcW w:w="1900" w:type="dxa"/>
            <w:tcBorders>
              <w:top w:val="nil"/>
              <w:left w:val="nil"/>
              <w:bottom w:val="single" w:sz="4"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632.800,15</w:t>
            </w:r>
          </w:p>
        </w:tc>
      </w:tr>
      <w:tr w:rsidR="001D377C" w:rsidRPr="001D377C" w:rsidTr="001D377C">
        <w:trPr>
          <w:trHeight w:val="315"/>
        </w:trPr>
        <w:tc>
          <w:tcPr>
            <w:tcW w:w="960" w:type="dxa"/>
            <w:tcBorders>
              <w:top w:val="nil"/>
              <w:left w:val="single" w:sz="4" w:space="0" w:color="auto"/>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6.2.</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Ostale nespomenute obveze</w:t>
            </w:r>
          </w:p>
        </w:tc>
        <w:tc>
          <w:tcPr>
            <w:tcW w:w="1900" w:type="dxa"/>
            <w:tcBorders>
              <w:top w:val="nil"/>
              <w:left w:val="nil"/>
              <w:bottom w:val="nil"/>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10.281.682,72</w:t>
            </w:r>
          </w:p>
        </w:tc>
      </w:tr>
      <w:tr w:rsidR="001D377C" w:rsidRPr="001D377C" w:rsidTr="001D377C">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b/>
                <w:bCs/>
                <w:color w:val="000000"/>
                <w:sz w:val="24"/>
                <w:szCs w:val="24"/>
              </w:rPr>
            </w:pPr>
            <w:r w:rsidRPr="004C337B">
              <w:rPr>
                <w:b/>
                <w:bCs/>
                <w:color w:val="000000"/>
                <w:sz w:val="24"/>
                <w:szCs w:val="24"/>
              </w:rPr>
              <w:t>7.</w:t>
            </w:r>
          </w:p>
        </w:tc>
        <w:tc>
          <w:tcPr>
            <w:tcW w:w="4800" w:type="dxa"/>
            <w:tcBorders>
              <w:top w:val="single" w:sz="8" w:space="0" w:color="auto"/>
              <w:left w:val="nil"/>
              <w:bottom w:val="single" w:sz="8" w:space="0" w:color="auto"/>
              <w:right w:val="single" w:sz="8" w:space="0" w:color="auto"/>
            </w:tcBorders>
            <w:shd w:val="clear" w:color="auto" w:fill="auto"/>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Obveze za nabavu proizvedene dugotrajne imovine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1.524.058,64</w:t>
            </w:r>
          </w:p>
        </w:tc>
      </w:tr>
      <w:tr w:rsidR="001D377C" w:rsidRPr="001D377C" w:rsidTr="001D377C">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7.1.</w:t>
            </w:r>
          </w:p>
        </w:tc>
        <w:tc>
          <w:tcPr>
            <w:tcW w:w="4800" w:type="dxa"/>
            <w:tcBorders>
              <w:top w:val="nil"/>
              <w:left w:val="nil"/>
              <w:bottom w:val="single" w:sz="4" w:space="0" w:color="auto"/>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Poslovni prostori</w:t>
            </w:r>
          </w:p>
        </w:tc>
        <w:tc>
          <w:tcPr>
            <w:tcW w:w="1900" w:type="dxa"/>
            <w:tcBorders>
              <w:top w:val="nil"/>
              <w:left w:val="nil"/>
              <w:bottom w:val="single" w:sz="4"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541.012,00</w:t>
            </w:r>
          </w:p>
        </w:tc>
      </w:tr>
      <w:tr w:rsidR="001D377C" w:rsidRPr="001D377C" w:rsidTr="001D377C">
        <w:trPr>
          <w:trHeight w:val="300"/>
        </w:trPr>
        <w:tc>
          <w:tcPr>
            <w:tcW w:w="960" w:type="dxa"/>
            <w:tcBorders>
              <w:top w:val="nil"/>
              <w:left w:val="single" w:sz="4" w:space="0" w:color="auto"/>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7.2.</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Postrojnja i oprema</w:t>
            </w:r>
          </w:p>
        </w:tc>
        <w:tc>
          <w:tcPr>
            <w:tcW w:w="1900" w:type="dxa"/>
            <w:tcBorders>
              <w:top w:val="nil"/>
              <w:left w:val="nil"/>
              <w:bottom w:val="single" w:sz="4"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293.153,13</w:t>
            </w:r>
          </w:p>
        </w:tc>
      </w:tr>
      <w:tr w:rsidR="001D377C" w:rsidRPr="001D377C" w:rsidTr="001D377C">
        <w:trPr>
          <w:trHeight w:val="300"/>
        </w:trPr>
        <w:tc>
          <w:tcPr>
            <w:tcW w:w="96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7.3.</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Nematerijalna proizvedena imovina</w:t>
            </w:r>
          </w:p>
        </w:tc>
        <w:tc>
          <w:tcPr>
            <w:tcW w:w="1900" w:type="dxa"/>
            <w:tcBorders>
              <w:top w:val="nil"/>
              <w:left w:val="nil"/>
              <w:bottom w:val="single" w:sz="4"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60.234,30</w:t>
            </w:r>
          </w:p>
        </w:tc>
      </w:tr>
      <w:tr w:rsidR="001D377C" w:rsidRPr="001D377C" w:rsidTr="001D377C">
        <w:trPr>
          <w:trHeight w:val="315"/>
        </w:trPr>
        <w:tc>
          <w:tcPr>
            <w:tcW w:w="96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center"/>
              <w:textAlignment w:val="auto"/>
              <w:rPr>
                <w:color w:val="000000"/>
                <w:sz w:val="24"/>
                <w:szCs w:val="24"/>
              </w:rPr>
            </w:pPr>
            <w:r w:rsidRPr="004C337B">
              <w:rPr>
                <w:color w:val="000000"/>
                <w:sz w:val="24"/>
                <w:szCs w:val="24"/>
              </w:rPr>
              <w:t>7.4.</w:t>
            </w:r>
          </w:p>
        </w:tc>
        <w:tc>
          <w:tcPr>
            <w:tcW w:w="4800" w:type="dxa"/>
            <w:tcBorders>
              <w:top w:val="nil"/>
              <w:left w:val="nil"/>
              <w:bottom w:val="nil"/>
              <w:right w:val="single" w:sz="4" w:space="0" w:color="auto"/>
            </w:tcBorders>
            <w:shd w:val="clear" w:color="auto" w:fill="auto"/>
            <w:vAlign w:val="bottom"/>
            <w:hideMark/>
          </w:tcPr>
          <w:p w:rsidR="001D377C" w:rsidRPr="004C337B" w:rsidRDefault="001D377C" w:rsidP="001D377C">
            <w:pPr>
              <w:overflowPunct/>
              <w:autoSpaceDE/>
              <w:autoSpaceDN/>
              <w:adjustRightInd/>
              <w:jc w:val="both"/>
              <w:textAlignment w:val="auto"/>
              <w:rPr>
                <w:color w:val="000000"/>
                <w:sz w:val="24"/>
                <w:szCs w:val="24"/>
              </w:rPr>
            </w:pPr>
            <w:r w:rsidRPr="004C337B">
              <w:rPr>
                <w:color w:val="000000"/>
                <w:sz w:val="24"/>
                <w:szCs w:val="24"/>
              </w:rPr>
              <w:t xml:space="preserve">Dodatna ulaganja na nefinancijskoj imovini </w:t>
            </w:r>
          </w:p>
        </w:tc>
        <w:tc>
          <w:tcPr>
            <w:tcW w:w="1900" w:type="dxa"/>
            <w:tcBorders>
              <w:top w:val="nil"/>
              <w:left w:val="nil"/>
              <w:bottom w:val="nil"/>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color w:val="000000"/>
                <w:sz w:val="24"/>
                <w:szCs w:val="24"/>
              </w:rPr>
            </w:pPr>
            <w:r w:rsidRPr="004C337B">
              <w:rPr>
                <w:color w:val="000000"/>
                <w:sz w:val="24"/>
                <w:szCs w:val="24"/>
              </w:rPr>
              <w:t>629.659,21</w:t>
            </w:r>
          </w:p>
        </w:tc>
      </w:tr>
      <w:tr w:rsidR="001D377C" w:rsidRPr="001D377C" w:rsidTr="001D377C">
        <w:trPr>
          <w:trHeight w:val="55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377C" w:rsidRPr="004C337B" w:rsidRDefault="001D377C" w:rsidP="001D377C">
            <w:pPr>
              <w:overflowPunct/>
              <w:autoSpaceDE/>
              <w:autoSpaceDN/>
              <w:adjustRightInd/>
              <w:textAlignment w:val="auto"/>
              <w:rPr>
                <w:b/>
                <w:bCs/>
                <w:color w:val="000000"/>
                <w:sz w:val="24"/>
                <w:szCs w:val="24"/>
              </w:rPr>
            </w:pPr>
            <w:r w:rsidRPr="004C337B">
              <w:rPr>
                <w:b/>
                <w:bCs/>
                <w:color w:val="000000"/>
                <w:sz w:val="24"/>
                <w:szCs w:val="24"/>
              </w:rPr>
              <w:t> </w:t>
            </w:r>
          </w:p>
        </w:tc>
        <w:tc>
          <w:tcPr>
            <w:tcW w:w="4800" w:type="dxa"/>
            <w:tcBorders>
              <w:top w:val="single" w:sz="8" w:space="0" w:color="auto"/>
              <w:left w:val="nil"/>
              <w:bottom w:val="single" w:sz="8" w:space="0" w:color="auto"/>
              <w:right w:val="single" w:sz="4" w:space="0" w:color="auto"/>
            </w:tcBorders>
            <w:shd w:val="clear" w:color="000000" w:fill="FFFFFF"/>
            <w:vAlign w:val="bottom"/>
            <w:hideMark/>
          </w:tcPr>
          <w:p w:rsidR="001D377C" w:rsidRPr="004C337B" w:rsidRDefault="001D377C" w:rsidP="001D377C">
            <w:pPr>
              <w:overflowPunct/>
              <w:autoSpaceDE/>
              <w:autoSpaceDN/>
              <w:adjustRightInd/>
              <w:jc w:val="both"/>
              <w:textAlignment w:val="auto"/>
              <w:rPr>
                <w:b/>
                <w:bCs/>
                <w:color w:val="000000"/>
                <w:sz w:val="24"/>
                <w:szCs w:val="24"/>
              </w:rPr>
            </w:pPr>
            <w:r w:rsidRPr="004C337B">
              <w:rPr>
                <w:b/>
                <w:bCs/>
                <w:color w:val="000000"/>
                <w:sz w:val="24"/>
                <w:szCs w:val="24"/>
              </w:rPr>
              <w:t>UKUPNO</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1D377C" w:rsidRPr="004C337B" w:rsidRDefault="001D377C" w:rsidP="001D377C">
            <w:pPr>
              <w:overflowPunct/>
              <w:autoSpaceDE/>
              <w:autoSpaceDN/>
              <w:adjustRightInd/>
              <w:jc w:val="right"/>
              <w:textAlignment w:val="auto"/>
              <w:rPr>
                <w:b/>
                <w:bCs/>
                <w:color w:val="000000"/>
                <w:sz w:val="24"/>
                <w:szCs w:val="24"/>
              </w:rPr>
            </w:pPr>
            <w:r w:rsidRPr="004C337B">
              <w:rPr>
                <w:b/>
                <w:bCs/>
                <w:color w:val="000000"/>
                <w:sz w:val="24"/>
                <w:szCs w:val="24"/>
              </w:rPr>
              <w:t>27.932.034,01</w:t>
            </w:r>
          </w:p>
        </w:tc>
      </w:tr>
    </w:tbl>
    <w:p w:rsidR="006A1536" w:rsidRDefault="006A1536" w:rsidP="00B216D9">
      <w:pPr>
        <w:jc w:val="both"/>
      </w:pPr>
    </w:p>
    <w:p w:rsidR="00374097" w:rsidRPr="004C337B" w:rsidRDefault="00374097" w:rsidP="004C337B">
      <w:pPr>
        <w:ind w:firstLine="720"/>
        <w:jc w:val="both"/>
        <w:rPr>
          <w:sz w:val="24"/>
          <w:szCs w:val="24"/>
        </w:rPr>
      </w:pPr>
      <w:r w:rsidRPr="00244751">
        <w:rPr>
          <w:sz w:val="24"/>
          <w:szCs w:val="24"/>
        </w:rPr>
        <w:t xml:space="preserve">Na dan 31. prosinca 2017. godine Grad Dubrovnik </w:t>
      </w:r>
      <w:r w:rsidR="00244751" w:rsidRPr="00244751">
        <w:rPr>
          <w:sz w:val="24"/>
          <w:szCs w:val="24"/>
        </w:rPr>
        <w:t xml:space="preserve"> </w:t>
      </w:r>
      <w:r w:rsidRPr="00244751">
        <w:rPr>
          <w:sz w:val="24"/>
          <w:szCs w:val="24"/>
        </w:rPr>
        <w:t>nije imao nepodmirenih dospjelih obveza.</w:t>
      </w:r>
    </w:p>
    <w:p w:rsidR="00E71F77" w:rsidRDefault="005028C4" w:rsidP="00D21613">
      <w:pPr>
        <w:jc w:val="both"/>
        <w:rPr>
          <w:b/>
          <w:sz w:val="24"/>
        </w:rPr>
      </w:pPr>
      <w:r w:rsidRPr="005028C4">
        <w:rPr>
          <w:b/>
          <w:noProof/>
        </w:rPr>
        <w:pict>
          <v:rect id="Rectangle 5" o:spid="_x0000_s1026" style="position:absolute;left:0;text-align:left;margin-left:563.05pt;margin-top:347pt;width:684.8pt;height:8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" fillcolor="white [3212]"/>
        </w:pict>
      </w:r>
      <w:r w:rsidR="00FB6F11">
        <w:rPr>
          <w:b/>
          <w:sz w:val="24"/>
        </w:rPr>
        <w:tab/>
      </w:r>
      <w:r w:rsidR="00DB1844">
        <w:rPr>
          <w:b/>
          <w:sz w:val="24"/>
        </w:rPr>
        <w:t>6</w:t>
      </w:r>
      <w:r w:rsidR="00E71F77">
        <w:rPr>
          <w:b/>
          <w:sz w:val="24"/>
        </w:rPr>
        <w:t>.</w:t>
      </w:r>
      <w:r w:rsidR="002F4069">
        <w:rPr>
          <w:b/>
          <w:sz w:val="24"/>
        </w:rPr>
        <w:t>3</w:t>
      </w:r>
      <w:r w:rsidR="00E71F77">
        <w:rPr>
          <w:b/>
          <w:sz w:val="24"/>
        </w:rPr>
        <w:t>. Pregled potraživanja po danim zajmovima i udio u glavnici</w:t>
      </w:r>
    </w:p>
    <w:p w:rsidR="00E71F77" w:rsidRPr="001B55AD" w:rsidRDefault="00E71F77" w:rsidP="00E71F77"/>
    <w:p w:rsidR="00C21EE2" w:rsidRPr="00C21EE2" w:rsidRDefault="00E71F77" w:rsidP="00E71F77">
      <w:pPr>
        <w:jc w:val="both"/>
        <w:rPr>
          <w:sz w:val="24"/>
        </w:rPr>
      </w:pPr>
      <w:r w:rsidRPr="00C21EE2">
        <w:rPr>
          <w:sz w:val="24"/>
        </w:rPr>
        <w:tab/>
        <w:t>Na dan 31. 12. 201</w:t>
      </w:r>
      <w:r w:rsidR="00ED7E59" w:rsidRPr="00C21EE2">
        <w:rPr>
          <w:sz w:val="24"/>
        </w:rPr>
        <w:t>7</w:t>
      </w:r>
      <w:r w:rsidRPr="00C21EE2">
        <w:rPr>
          <w:sz w:val="24"/>
        </w:rPr>
        <w:t xml:space="preserve">. godine Grad Dubrovnik je s osnove danih zajmova potraživao </w:t>
      </w:r>
      <w:r w:rsidR="00C21EE2" w:rsidRPr="00C21EE2">
        <w:rPr>
          <w:sz w:val="24"/>
        </w:rPr>
        <w:t>1.316.838</w:t>
      </w:r>
      <w:r w:rsidR="00215750" w:rsidRPr="00C21EE2">
        <w:rPr>
          <w:rFonts w:ascii="Calibri" w:hAnsi="Calibri"/>
          <w:bCs/>
          <w:sz w:val="22"/>
          <w:szCs w:val="22"/>
        </w:rPr>
        <w:t xml:space="preserve"> </w:t>
      </w:r>
      <w:r w:rsidRPr="00C21EE2">
        <w:rPr>
          <w:sz w:val="24"/>
        </w:rPr>
        <w:t>kun</w:t>
      </w:r>
      <w:r w:rsidR="00C21EE2" w:rsidRPr="00C21EE2">
        <w:rPr>
          <w:sz w:val="24"/>
        </w:rPr>
        <w:t>a</w:t>
      </w:r>
      <w:r w:rsidRPr="00C21EE2">
        <w:rPr>
          <w:sz w:val="24"/>
        </w:rPr>
        <w:t xml:space="preserve">. </w:t>
      </w:r>
      <w:r w:rsidR="00C21EE2" w:rsidRPr="00C21EE2">
        <w:rPr>
          <w:sz w:val="24"/>
        </w:rPr>
        <w:t>Smanjenje ovih potraživanja u odnosu na stanje na 31. 12. 2016. vidljivo je kod UTD Raguse prema kojoj Grad više nema potraživanja za</w:t>
      </w:r>
      <w:r w:rsidR="00062309" w:rsidRPr="00C21EE2">
        <w:rPr>
          <w:sz w:val="24"/>
        </w:rPr>
        <w:t xml:space="preserve"> </w:t>
      </w:r>
      <w:r w:rsidR="005249BD">
        <w:rPr>
          <w:sz w:val="24"/>
        </w:rPr>
        <w:t>dane</w:t>
      </w:r>
      <w:r w:rsidR="00062309" w:rsidRPr="00C21EE2">
        <w:rPr>
          <w:sz w:val="24"/>
        </w:rPr>
        <w:t xml:space="preserve"> dvije pozajmice u ukupnom </w:t>
      </w:r>
      <w:r w:rsidRPr="00C21EE2">
        <w:rPr>
          <w:sz w:val="24"/>
        </w:rPr>
        <w:t>iznosu od 3.547.000 kuna</w:t>
      </w:r>
      <w:r w:rsidR="00C21EE2" w:rsidRPr="00C21EE2">
        <w:rPr>
          <w:sz w:val="24"/>
        </w:rPr>
        <w:t xml:space="preserve">, budući su iste u predstečajnoj nagodbi zajedno s drugim potraživanjima Grada, </w:t>
      </w:r>
      <w:r w:rsidR="00C21EE2">
        <w:rPr>
          <w:sz w:val="24"/>
        </w:rPr>
        <w:t xml:space="preserve">dokapitalizacijom </w:t>
      </w:r>
      <w:r w:rsidR="00C21EE2" w:rsidRPr="00C21EE2">
        <w:rPr>
          <w:sz w:val="24"/>
        </w:rPr>
        <w:t xml:space="preserve">pretvorene u </w:t>
      </w:r>
      <w:r w:rsidR="00C21EE2">
        <w:rPr>
          <w:sz w:val="24"/>
        </w:rPr>
        <w:t xml:space="preserve">vlasničke udjele </w:t>
      </w:r>
      <w:r w:rsidR="00C21EE2" w:rsidRPr="00C21EE2">
        <w:rPr>
          <w:sz w:val="24"/>
        </w:rPr>
        <w:t xml:space="preserve">Grada  </w:t>
      </w:r>
      <w:r w:rsidR="00137225" w:rsidRPr="00C21EE2">
        <w:rPr>
          <w:sz w:val="24"/>
        </w:rPr>
        <w:t>u društvu UTD Ragusa d.d</w:t>
      </w:r>
    </w:p>
    <w:p w:rsidR="0060720F" w:rsidRPr="00C64EEA" w:rsidRDefault="00137225" w:rsidP="00C64EEA">
      <w:pPr>
        <w:ind w:firstLine="720"/>
        <w:jc w:val="both"/>
        <w:rPr>
          <w:sz w:val="24"/>
        </w:rPr>
      </w:pPr>
      <w:r w:rsidRPr="00C64EEA">
        <w:rPr>
          <w:sz w:val="24"/>
        </w:rPr>
        <w:t xml:space="preserve"> </w:t>
      </w:r>
      <w:r w:rsidR="00201D11" w:rsidRPr="00C64EEA">
        <w:rPr>
          <w:sz w:val="24"/>
        </w:rPr>
        <w:t>O</w:t>
      </w:r>
      <w:r w:rsidR="00E71F77" w:rsidRPr="00C64EEA">
        <w:rPr>
          <w:sz w:val="24"/>
        </w:rPr>
        <w:t>statak potraživanja su studentski krediti (</w:t>
      </w:r>
      <w:r w:rsidR="00C64EEA" w:rsidRPr="00C64EEA">
        <w:rPr>
          <w:sz w:val="24"/>
        </w:rPr>
        <w:t>350.025</w:t>
      </w:r>
      <w:r w:rsidR="00215750" w:rsidRPr="00C64EEA">
        <w:rPr>
          <w:sz w:val="24"/>
        </w:rPr>
        <w:t xml:space="preserve"> </w:t>
      </w:r>
      <w:r w:rsidR="003B433A" w:rsidRPr="00C64EEA">
        <w:rPr>
          <w:sz w:val="24"/>
        </w:rPr>
        <w:t>kn</w:t>
      </w:r>
      <w:r w:rsidR="00E71F77" w:rsidRPr="00C64EEA">
        <w:rPr>
          <w:sz w:val="24"/>
        </w:rPr>
        <w:t>),</w:t>
      </w:r>
      <w:r w:rsidR="00201D11" w:rsidRPr="00C64EEA">
        <w:rPr>
          <w:sz w:val="24"/>
        </w:rPr>
        <w:t xml:space="preserve"> te</w:t>
      </w:r>
      <w:r w:rsidR="00E71F77" w:rsidRPr="00C64EEA">
        <w:rPr>
          <w:sz w:val="24"/>
        </w:rPr>
        <w:t xml:space="preserve"> mala privreda i obrtnici</w:t>
      </w:r>
      <w:r w:rsidR="00FB6F11" w:rsidRPr="00C64EEA">
        <w:rPr>
          <w:sz w:val="24"/>
        </w:rPr>
        <w:t xml:space="preserve"> </w:t>
      </w:r>
      <w:r w:rsidR="00C64EEA" w:rsidRPr="00C64EEA">
        <w:rPr>
          <w:sz w:val="24"/>
        </w:rPr>
        <w:t>(</w:t>
      </w:r>
      <w:r w:rsidR="00FB6F11" w:rsidRPr="00C64EEA">
        <w:rPr>
          <w:sz w:val="24"/>
        </w:rPr>
        <w:t>1</w:t>
      </w:r>
      <w:r w:rsidR="00C64EEA" w:rsidRPr="00C64EEA">
        <w:rPr>
          <w:sz w:val="24"/>
        </w:rPr>
        <w:t>76.813</w:t>
      </w:r>
      <w:r w:rsidR="00261533" w:rsidRPr="00C64EEA">
        <w:rPr>
          <w:sz w:val="24"/>
        </w:rPr>
        <w:t xml:space="preserve"> </w:t>
      </w:r>
      <w:r w:rsidR="003B433A" w:rsidRPr="00C64EEA">
        <w:rPr>
          <w:sz w:val="24"/>
        </w:rPr>
        <w:t>kn</w:t>
      </w:r>
      <w:r w:rsidR="00E71F77" w:rsidRPr="00C64EEA">
        <w:rPr>
          <w:sz w:val="24"/>
        </w:rPr>
        <w:t>) koji se otplaćuju sukladno ugovorima.</w:t>
      </w:r>
    </w:p>
    <w:p w:rsidR="00FB6F11" w:rsidRPr="003D5B54" w:rsidRDefault="00E71F77" w:rsidP="00435FE3">
      <w:pPr>
        <w:ind w:firstLine="720"/>
        <w:jc w:val="both"/>
        <w:rPr>
          <w:color w:val="FF0000"/>
          <w:sz w:val="24"/>
        </w:rPr>
      </w:pPr>
      <w:r w:rsidRPr="00863E4E">
        <w:rPr>
          <w:sz w:val="24"/>
        </w:rPr>
        <w:t>Knjigovodstveno evidentirana vrijednost dionica i udjela u glavnici iskazana je na temelju vjerodostojne dokumentacije na 31.12.201</w:t>
      </w:r>
      <w:r w:rsidR="00A962B5" w:rsidRPr="00863E4E">
        <w:rPr>
          <w:sz w:val="24"/>
        </w:rPr>
        <w:t>7</w:t>
      </w:r>
      <w:r w:rsidRPr="00863E4E">
        <w:rPr>
          <w:sz w:val="24"/>
        </w:rPr>
        <w:t xml:space="preserve">. godine iznosi </w:t>
      </w:r>
      <w:r w:rsidR="000E0AE2" w:rsidRPr="00863E4E">
        <w:rPr>
          <w:sz w:val="24"/>
        </w:rPr>
        <w:t>376.995.764</w:t>
      </w:r>
      <w:r w:rsidRPr="00863E4E">
        <w:rPr>
          <w:sz w:val="24"/>
        </w:rPr>
        <w:t xml:space="preserve"> kun</w:t>
      </w:r>
      <w:r w:rsidR="00FB6F11" w:rsidRPr="00863E4E">
        <w:rPr>
          <w:sz w:val="24"/>
        </w:rPr>
        <w:t>e</w:t>
      </w:r>
      <w:r w:rsidRPr="00863E4E">
        <w:rPr>
          <w:sz w:val="24"/>
        </w:rPr>
        <w:t xml:space="preserve">. Prema priloženom pregledu može se zaključiti da </w:t>
      </w:r>
      <w:r w:rsidR="00FB6F11" w:rsidRPr="00863E4E">
        <w:rPr>
          <w:sz w:val="24"/>
        </w:rPr>
        <w:t xml:space="preserve">je  </w:t>
      </w:r>
      <w:r w:rsidR="00863E4E" w:rsidRPr="00863E4E">
        <w:rPr>
          <w:sz w:val="24"/>
        </w:rPr>
        <w:t xml:space="preserve">kod UTD Raguse došlo do </w:t>
      </w:r>
      <w:r w:rsidR="00FB6F11" w:rsidRPr="00863E4E">
        <w:rPr>
          <w:sz w:val="24"/>
        </w:rPr>
        <w:t xml:space="preserve">povećanja temeljnog kapitala za </w:t>
      </w:r>
      <w:r w:rsidR="00863E4E" w:rsidRPr="00863E4E">
        <w:rPr>
          <w:sz w:val="24"/>
        </w:rPr>
        <w:t>iznos od 8.439.900 kuna, a što je rezultat</w:t>
      </w:r>
      <w:r w:rsidR="004306CD">
        <w:rPr>
          <w:sz w:val="24"/>
        </w:rPr>
        <w:t>,</w:t>
      </w:r>
      <w:r w:rsidR="00863E4E" w:rsidRPr="00863E4E">
        <w:rPr>
          <w:sz w:val="24"/>
        </w:rPr>
        <w:t xml:space="preserve"> kao što smo to već prethodno naveli, </w:t>
      </w:r>
      <w:r w:rsidR="005249BD">
        <w:rPr>
          <w:sz w:val="24"/>
        </w:rPr>
        <w:t xml:space="preserve">završene </w:t>
      </w:r>
      <w:r w:rsidR="00863E4E" w:rsidRPr="00863E4E">
        <w:rPr>
          <w:sz w:val="24"/>
        </w:rPr>
        <w:t>predstečajne nagodbe kojom su sva potraživanja Grada Dubrovnika</w:t>
      </w:r>
      <w:r w:rsidR="004306CD">
        <w:rPr>
          <w:sz w:val="24"/>
        </w:rPr>
        <w:t xml:space="preserve"> prema predmetnoj tvrtki </w:t>
      </w:r>
      <w:r w:rsidR="00863E4E" w:rsidRPr="00863E4E">
        <w:rPr>
          <w:sz w:val="24"/>
        </w:rPr>
        <w:t xml:space="preserve"> pretvorena u vlasničke udjele.</w:t>
      </w:r>
    </w:p>
    <w:p w:rsidR="00120EB3" w:rsidRPr="0062107D" w:rsidRDefault="0062107D" w:rsidP="00752AE9">
      <w:pPr>
        <w:jc w:val="both"/>
        <w:rPr>
          <w:b/>
          <w:color w:val="FF0000"/>
          <w:sz w:val="24"/>
        </w:rPr>
      </w:pPr>
      <w:r>
        <w:rPr>
          <w:color w:val="FF0000"/>
          <w:sz w:val="24"/>
        </w:rPr>
        <w:t xml:space="preserve">  </w:t>
      </w:r>
      <w:r w:rsidRPr="0062107D">
        <w:rPr>
          <w:b/>
          <w:sz w:val="24"/>
        </w:rPr>
        <w:t>Tablica broj 21</w:t>
      </w:r>
    </w:p>
    <w:tbl>
      <w:tblPr>
        <w:tblW w:w="9062" w:type="dxa"/>
        <w:tblLook w:val="04A0"/>
      </w:tblPr>
      <w:tblGrid>
        <w:gridCol w:w="960"/>
        <w:gridCol w:w="2999"/>
        <w:gridCol w:w="1843"/>
        <w:gridCol w:w="1701"/>
        <w:gridCol w:w="1559"/>
      </w:tblGrid>
      <w:tr w:rsidR="00120EB3" w:rsidRPr="00120EB3" w:rsidTr="00683818">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R.b.</w:t>
            </w:r>
          </w:p>
        </w:tc>
        <w:tc>
          <w:tcPr>
            <w:tcW w:w="2999" w:type="dxa"/>
            <w:tcBorders>
              <w:top w:val="single" w:sz="8" w:space="0" w:color="auto"/>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Opis potraživanja</w:t>
            </w:r>
          </w:p>
        </w:tc>
        <w:tc>
          <w:tcPr>
            <w:tcW w:w="1843" w:type="dxa"/>
            <w:tcBorders>
              <w:top w:val="single" w:sz="8" w:space="0" w:color="auto"/>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Stanje 31.12.2016.</w:t>
            </w:r>
          </w:p>
        </w:tc>
        <w:tc>
          <w:tcPr>
            <w:tcW w:w="1701" w:type="dxa"/>
            <w:tcBorders>
              <w:top w:val="single" w:sz="8" w:space="0" w:color="auto"/>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Stanje 31.12.2017.</w:t>
            </w:r>
          </w:p>
        </w:tc>
        <w:tc>
          <w:tcPr>
            <w:tcW w:w="1559" w:type="dxa"/>
            <w:tcBorders>
              <w:top w:val="single" w:sz="8" w:space="0" w:color="auto"/>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Razlika + ili -</w:t>
            </w:r>
          </w:p>
        </w:tc>
      </w:tr>
      <w:tr w:rsidR="00120EB3" w:rsidRPr="00120EB3" w:rsidTr="00683818">
        <w:trPr>
          <w:trHeight w:val="315"/>
        </w:trPr>
        <w:tc>
          <w:tcPr>
            <w:tcW w:w="9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120EB3" w:rsidRPr="00120EB3" w:rsidRDefault="00120EB3" w:rsidP="00120EB3">
            <w:pPr>
              <w:overflowPunct/>
              <w:autoSpaceDE/>
              <w:autoSpaceDN/>
              <w:adjustRightInd/>
              <w:jc w:val="center"/>
              <w:textAlignment w:val="auto"/>
              <w:rPr>
                <w:rFonts w:ascii="Arial" w:hAnsi="Arial" w:cs="Arial"/>
                <w:b/>
                <w:bCs/>
                <w:color w:val="000000"/>
              </w:rPr>
            </w:pPr>
            <w:r w:rsidRPr="00120EB3">
              <w:rPr>
                <w:rFonts w:ascii="Arial" w:hAnsi="Arial" w:cs="Arial"/>
                <w:b/>
                <w:bCs/>
                <w:color w:val="000000"/>
              </w:rPr>
              <w:t>1.</w:t>
            </w:r>
          </w:p>
        </w:tc>
        <w:tc>
          <w:tcPr>
            <w:tcW w:w="2999" w:type="dxa"/>
            <w:tcBorders>
              <w:top w:val="single" w:sz="8" w:space="0" w:color="auto"/>
              <w:left w:val="nil"/>
              <w:bottom w:val="single" w:sz="8" w:space="0" w:color="auto"/>
              <w:right w:val="single" w:sz="4" w:space="0" w:color="auto"/>
            </w:tcBorders>
            <w:shd w:val="clear" w:color="000000" w:fill="D9D9D9"/>
            <w:noWrap/>
            <w:vAlign w:val="bottom"/>
            <w:hideMark/>
          </w:tcPr>
          <w:p w:rsidR="00120EB3" w:rsidRPr="00120EB3" w:rsidRDefault="00120EB3" w:rsidP="00120EB3">
            <w:pPr>
              <w:overflowPunct/>
              <w:autoSpaceDE/>
              <w:autoSpaceDN/>
              <w:adjustRightInd/>
              <w:textAlignment w:val="auto"/>
              <w:rPr>
                <w:rFonts w:ascii="Arial" w:hAnsi="Arial" w:cs="Arial"/>
                <w:b/>
                <w:bCs/>
                <w:color w:val="000000"/>
              </w:rPr>
            </w:pPr>
            <w:r w:rsidRPr="00120EB3">
              <w:rPr>
                <w:rFonts w:ascii="Arial" w:hAnsi="Arial" w:cs="Arial"/>
                <w:b/>
                <w:bCs/>
                <w:color w:val="000000"/>
              </w:rPr>
              <w:t>Zajmovi</w:t>
            </w:r>
          </w:p>
        </w:tc>
        <w:tc>
          <w:tcPr>
            <w:tcW w:w="1843" w:type="dxa"/>
            <w:tcBorders>
              <w:top w:val="single" w:sz="8" w:space="0" w:color="auto"/>
              <w:left w:val="nil"/>
              <w:bottom w:val="single" w:sz="8" w:space="0" w:color="auto"/>
              <w:right w:val="single" w:sz="4" w:space="0" w:color="auto"/>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4.168.371,34</w:t>
            </w:r>
          </w:p>
        </w:tc>
        <w:tc>
          <w:tcPr>
            <w:tcW w:w="1701" w:type="dxa"/>
            <w:tcBorders>
              <w:top w:val="single" w:sz="8" w:space="0" w:color="auto"/>
              <w:left w:val="nil"/>
              <w:bottom w:val="single" w:sz="8" w:space="0" w:color="auto"/>
              <w:right w:val="single" w:sz="4" w:space="0" w:color="auto"/>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1.316.838,44</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-2.851.532,90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1.1.</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UTD Ragusa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3.547.000,00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-3.547.000,00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1.2.</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Mala privreda i obrtnici</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182.486,34</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176.813,44</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-5.672,90</w:t>
            </w:r>
          </w:p>
        </w:tc>
      </w:tr>
      <w:tr w:rsidR="00120EB3" w:rsidRPr="00120EB3" w:rsidTr="00683818">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1.3.</w:t>
            </w:r>
          </w:p>
        </w:tc>
        <w:tc>
          <w:tcPr>
            <w:tcW w:w="2999" w:type="dxa"/>
            <w:tcBorders>
              <w:top w:val="nil"/>
              <w:left w:val="nil"/>
              <w:bottom w:val="nil"/>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Studentski zajmovi</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438.885,00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350.025,00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-88.860,00</w:t>
            </w:r>
          </w:p>
        </w:tc>
      </w:tr>
      <w:tr w:rsidR="00120EB3" w:rsidRPr="00120EB3" w:rsidTr="00683818">
        <w:trPr>
          <w:trHeight w:val="315"/>
        </w:trPr>
        <w:tc>
          <w:tcPr>
            <w:tcW w:w="960" w:type="dxa"/>
            <w:tcBorders>
              <w:top w:val="nil"/>
              <w:left w:val="nil"/>
              <w:bottom w:val="nil"/>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1.4.</w:t>
            </w:r>
          </w:p>
        </w:tc>
        <w:tc>
          <w:tcPr>
            <w:tcW w:w="2999" w:type="dxa"/>
            <w:tcBorders>
              <w:top w:val="nil"/>
              <w:left w:val="nil"/>
              <w:bottom w:val="nil"/>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Dubrovačka razvojna agencija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0,00</w:t>
            </w:r>
          </w:p>
        </w:tc>
        <w:tc>
          <w:tcPr>
            <w:tcW w:w="1701" w:type="dxa"/>
            <w:tcBorders>
              <w:top w:val="nil"/>
              <w:left w:val="single" w:sz="8" w:space="0" w:color="auto"/>
              <w:bottom w:val="single" w:sz="8" w:space="0" w:color="auto"/>
              <w:right w:val="nil"/>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790.000,00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790.000,00</w:t>
            </w:r>
          </w:p>
        </w:tc>
      </w:tr>
      <w:tr w:rsidR="00120EB3" w:rsidRPr="00120EB3" w:rsidTr="00683818">
        <w:trPr>
          <w:trHeight w:val="315"/>
        </w:trPr>
        <w:tc>
          <w:tcPr>
            <w:tcW w:w="9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120EB3" w:rsidRPr="00120EB3" w:rsidRDefault="00120EB3" w:rsidP="00120EB3">
            <w:pPr>
              <w:overflowPunct/>
              <w:autoSpaceDE/>
              <w:autoSpaceDN/>
              <w:adjustRightInd/>
              <w:jc w:val="center"/>
              <w:textAlignment w:val="auto"/>
              <w:rPr>
                <w:rFonts w:ascii="Arial" w:hAnsi="Arial" w:cs="Arial"/>
                <w:b/>
                <w:bCs/>
                <w:color w:val="000000"/>
              </w:rPr>
            </w:pPr>
            <w:r w:rsidRPr="00120EB3">
              <w:rPr>
                <w:rFonts w:ascii="Arial" w:hAnsi="Arial" w:cs="Arial"/>
                <w:b/>
                <w:bCs/>
                <w:color w:val="000000"/>
              </w:rPr>
              <w:t>2.</w:t>
            </w:r>
          </w:p>
        </w:tc>
        <w:tc>
          <w:tcPr>
            <w:tcW w:w="2999" w:type="dxa"/>
            <w:tcBorders>
              <w:top w:val="single" w:sz="8" w:space="0" w:color="auto"/>
              <w:left w:val="nil"/>
              <w:bottom w:val="single" w:sz="8" w:space="0" w:color="auto"/>
              <w:right w:val="single" w:sz="4" w:space="0" w:color="auto"/>
            </w:tcBorders>
            <w:shd w:val="clear" w:color="000000" w:fill="D9D9D9"/>
            <w:noWrap/>
            <w:vAlign w:val="bottom"/>
            <w:hideMark/>
          </w:tcPr>
          <w:p w:rsidR="00120EB3" w:rsidRPr="00120EB3" w:rsidRDefault="00120EB3" w:rsidP="00120EB3">
            <w:pPr>
              <w:overflowPunct/>
              <w:autoSpaceDE/>
              <w:autoSpaceDN/>
              <w:adjustRightInd/>
              <w:textAlignment w:val="auto"/>
              <w:rPr>
                <w:rFonts w:ascii="Arial" w:hAnsi="Arial" w:cs="Arial"/>
                <w:b/>
                <w:bCs/>
                <w:color w:val="000000"/>
              </w:rPr>
            </w:pPr>
            <w:r w:rsidRPr="00120EB3">
              <w:rPr>
                <w:rFonts w:ascii="Arial" w:hAnsi="Arial" w:cs="Arial"/>
                <w:b/>
                <w:bCs/>
                <w:color w:val="000000"/>
              </w:rPr>
              <w:t>Dionice i udio u glavnici</w:t>
            </w:r>
          </w:p>
        </w:tc>
        <w:tc>
          <w:tcPr>
            <w:tcW w:w="1843" w:type="dxa"/>
            <w:tcBorders>
              <w:top w:val="nil"/>
              <w:left w:val="nil"/>
              <w:bottom w:val="single" w:sz="8" w:space="0" w:color="auto"/>
              <w:right w:val="nil"/>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368.556.402,20</w:t>
            </w:r>
          </w:p>
        </w:tc>
        <w:tc>
          <w:tcPr>
            <w:tcW w:w="1701" w:type="dxa"/>
            <w:tcBorders>
              <w:top w:val="nil"/>
              <w:left w:val="single" w:sz="8" w:space="0" w:color="auto"/>
              <w:bottom w:val="single" w:sz="8" w:space="0" w:color="auto"/>
              <w:right w:val="single" w:sz="4" w:space="0" w:color="auto"/>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376.995.763,64</w:t>
            </w:r>
          </w:p>
        </w:tc>
        <w:tc>
          <w:tcPr>
            <w:tcW w:w="1559" w:type="dxa"/>
            <w:tcBorders>
              <w:top w:val="nil"/>
              <w:left w:val="nil"/>
              <w:bottom w:val="single" w:sz="8" w:space="0" w:color="auto"/>
              <w:right w:val="single" w:sz="8" w:space="0" w:color="auto"/>
            </w:tcBorders>
            <w:shd w:val="clear" w:color="000000" w:fill="D9D9D9"/>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8.439.361,44</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Institut IGH</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3.040,00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3.040,00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Čistoća - Grabovica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30.674.702,16</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30.674.702,16</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2.3.</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Vodovod (Zaton,Brsečine,Elafiti)</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205.799.900,00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205.799.900,00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2.4.</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Libertas - prometno</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26.547.600,00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26.547.600,00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2.5.</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Luka Dubrovnik</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5.694.320,00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5.694.320,00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lastRenderedPageBreak/>
              <w:t>2.6.</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Sanitat</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5.088.470,16</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5.088.470,16</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2.7.</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Potraž.za dionice HPB</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9.000,00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9.000,00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2.8.</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UTD Ragusa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16.233.000,00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24.672.900,00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8.439.900,00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2.9.</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Zračna luka Dubrovnik</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41.505.000,00</w:t>
            </w:r>
          </w:p>
        </w:tc>
        <w:tc>
          <w:tcPr>
            <w:tcW w:w="1701"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41.505.000,00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2.10.</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Vrtlar</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31.755.400,00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31.755.400,00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2.11.</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Boninovo</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376.300,00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376.300,00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2.12.</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Hotel Gruž</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4.357.000,00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4.357.000,00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2.13.</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Domouprava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134.900,00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134.900,00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2.14.</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Rijeka Dubrovačka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2.15.</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Dubrovački konat</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2.16.</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Dubrovnik i Jakov Becker</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10.200,00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10.200,00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2.17.</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Dubrovačke lučice</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45.000,00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45.000,00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2.18.</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Dubrovnik Riviera Invest</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2.19.</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Dubrovačka razvojna agencija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2.20.</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Groblje Dubac</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9.800,00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9.800,00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2.21.</w:t>
            </w:r>
          </w:p>
        </w:tc>
        <w:tc>
          <w:tcPr>
            <w:tcW w:w="2999" w:type="dxa"/>
            <w:tcBorders>
              <w:top w:val="nil"/>
              <w:left w:val="nil"/>
              <w:bottom w:val="single" w:sz="4"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Ragusa Parking</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10.000,00</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2.22.</w:t>
            </w:r>
          </w:p>
        </w:tc>
        <w:tc>
          <w:tcPr>
            <w:tcW w:w="2999" w:type="dxa"/>
            <w:tcBorders>
              <w:top w:val="nil"/>
              <w:left w:val="nil"/>
              <w:bottom w:val="nil"/>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Dubrovačka baština</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20.000,00</w:t>
            </w:r>
          </w:p>
        </w:tc>
        <w:tc>
          <w:tcPr>
            <w:tcW w:w="1559" w:type="dxa"/>
            <w:tcBorders>
              <w:top w:val="nil"/>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2.23.</w:t>
            </w:r>
          </w:p>
        </w:tc>
        <w:tc>
          <w:tcPr>
            <w:tcW w:w="2999" w:type="dxa"/>
            <w:tcBorders>
              <w:top w:val="single" w:sz="8" w:space="0" w:color="auto"/>
              <w:left w:val="nil"/>
              <w:bottom w:val="single" w:sz="8" w:space="0" w:color="auto"/>
              <w:right w:val="single" w:sz="8" w:space="0" w:color="auto"/>
            </w:tcBorders>
            <w:shd w:val="clear" w:color="auto" w:fill="auto"/>
            <w:noWrap/>
            <w:vAlign w:val="center"/>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Magma d.d</w:t>
            </w:r>
          </w:p>
        </w:tc>
        <w:tc>
          <w:tcPr>
            <w:tcW w:w="1843" w:type="dxa"/>
            <w:tcBorders>
              <w:top w:val="nil"/>
              <w:left w:val="nil"/>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Arial" w:hAnsi="Arial" w:cs="Arial"/>
                <w:color w:val="000000"/>
              </w:rPr>
            </w:pPr>
            <w:r w:rsidRPr="00120EB3">
              <w:rPr>
                <w:rFonts w:ascii="Arial" w:hAnsi="Arial" w:cs="Arial"/>
                <w:color w:val="000000"/>
              </w:rPr>
              <w:t>110.670,00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110.670,00</w:t>
            </w:r>
          </w:p>
        </w:tc>
        <w:tc>
          <w:tcPr>
            <w:tcW w:w="1559" w:type="dxa"/>
            <w:tcBorders>
              <w:top w:val="single" w:sz="8" w:space="0" w:color="auto"/>
              <w:left w:val="nil"/>
              <w:bottom w:val="nil"/>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0,00</w:t>
            </w:r>
          </w:p>
        </w:tc>
      </w:tr>
      <w:tr w:rsidR="00120EB3" w:rsidRPr="00120EB3" w:rsidTr="00683818">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Arial" w:hAnsi="Arial" w:cs="Arial"/>
                <w:color w:val="000000"/>
              </w:rPr>
            </w:pPr>
            <w:r w:rsidRPr="00120EB3">
              <w:rPr>
                <w:rFonts w:ascii="Arial" w:hAnsi="Arial" w:cs="Arial"/>
                <w:color w:val="000000"/>
              </w:rPr>
              <w:t>2.24.</w:t>
            </w:r>
          </w:p>
        </w:tc>
        <w:tc>
          <w:tcPr>
            <w:tcW w:w="2999" w:type="dxa"/>
            <w:tcBorders>
              <w:top w:val="nil"/>
              <w:left w:val="nil"/>
              <w:bottom w:val="single" w:sz="8" w:space="0" w:color="auto"/>
              <w:right w:val="single" w:sz="8" w:space="0" w:color="auto"/>
            </w:tcBorders>
            <w:shd w:val="clear" w:color="auto" w:fill="auto"/>
            <w:noWrap/>
            <w:vAlign w:val="center"/>
            <w:hideMark/>
          </w:tcPr>
          <w:p w:rsidR="00120EB3" w:rsidRPr="00120EB3" w:rsidRDefault="00120EB3" w:rsidP="00120EB3">
            <w:pPr>
              <w:overflowPunct/>
              <w:autoSpaceDE/>
              <w:autoSpaceDN/>
              <w:adjustRightInd/>
              <w:textAlignment w:val="auto"/>
              <w:rPr>
                <w:rFonts w:ascii="Arial" w:hAnsi="Arial" w:cs="Arial"/>
                <w:color w:val="000000"/>
              </w:rPr>
            </w:pPr>
            <w:r w:rsidRPr="00120EB3">
              <w:rPr>
                <w:rFonts w:ascii="Arial" w:hAnsi="Arial" w:cs="Arial"/>
                <w:color w:val="000000"/>
              </w:rPr>
              <w:t>Lanište d.o.o</w:t>
            </w:r>
          </w:p>
        </w:tc>
        <w:tc>
          <w:tcPr>
            <w:tcW w:w="1843"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92.099,88</w:t>
            </w:r>
          </w:p>
        </w:tc>
        <w:tc>
          <w:tcPr>
            <w:tcW w:w="1701"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91.561,32</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color w:val="000000"/>
                <w:sz w:val="22"/>
                <w:szCs w:val="22"/>
              </w:rPr>
            </w:pPr>
            <w:r w:rsidRPr="00120EB3">
              <w:rPr>
                <w:rFonts w:ascii="Calibri" w:hAnsi="Calibri"/>
                <w:color w:val="000000"/>
                <w:sz w:val="22"/>
                <w:szCs w:val="22"/>
              </w:rPr>
              <w:t>-538,56</w:t>
            </w:r>
          </w:p>
        </w:tc>
      </w:tr>
      <w:tr w:rsidR="00120EB3" w:rsidRPr="00120EB3" w:rsidTr="00683818">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120EB3" w:rsidRPr="00120EB3" w:rsidRDefault="00120EB3" w:rsidP="00120EB3">
            <w:pPr>
              <w:overflowPunct/>
              <w:autoSpaceDE/>
              <w:autoSpaceDN/>
              <w:adjustRightInd/>
              <w:jc w:val="center"/>
              <w:textAlignment w:val="auto"/>
              <w:rPr>
                <w:rFonts w:ascii="Calibri" w:hAnsi="Calibri"/>
                <w:b/>
                <w:bCs/>
                <w:color w:val="000000"/>
                <w:sz w:val="22"/>
                <w:szCs w:val="22"/>
              </w:rPr>
            </w:pPr>
            <w:r w:rsidRPr="00120EB3">
              <w:rPr>
                <w:rFonts w:ascii="Calibri" w:hAnsi="Calibri"/>
                <w:b/>
                <w:bCs/>
                <w:color w:val="000000"/>
                <w:sz w:val="22"/>
                <w:szCs w:val="22"/>
              </w:rPr>
              <w:t> </w:t>
            </w:r>
          </w:p>
        </w:tc>
        <w:tc>
          <w:tcPr>
            <w:tcW w:w="2999" w:type="dxa"/>
            <w:tcBorders>
              <w:top w:val="nil"/>
              <w:left w:val="single" w:sz="4" w:space="0" w:color="auto"/>
              <w:bottom w:val="single" w:sz="8" w:space="0" w:color="auto"/>
              <w:right w:val="single" w:sz="4" w:space="0" w:color="auto"/>
            </w:tcBorders>
            <w:shd w:val="clear" w:color="auto" w:fill="auto"/>
            <w:noWrap/>
            <w:vAlign w:val="bottom"/>
            <w:hideMark/>
          </w:tcPr>
          <w:p w:rsidR="00120EB3" w:rsidRPr="00120EB3" w:rsidRDefault="00120EB3" w:rsidP="00120EB3">
            <w:pPr>
              <w:overflowPunct/>
              <w:autoSpaceDE/>
              <w:autoSpaceDN/>
              <w:adjustRightInd/>
              <w:textAlignment w:val="auto"/>
              <w:rPr>
                <w:rFonts w:ascii="Arial" w:hAnsi="Arial" w:cs="Arial"/>
                <w:b/>
                <w:bCs/>
                <w:color w:val="000000"/>
              </w:rPr>
            </w:pPr>
            <w:r w:rsidRPr="00120EB3">
              <w:rPr>
                <w:rFonts w:ascii="Arial" w:hAnsi="Arial" w:cs="Arial"/>
                <w:b/>
                <w:bCs/>
                <w:color w:val="000000"/>
              </w:rPr>
              <w:t>UKUPNO</w:t>
            </w:r>
          </w:p>
        </w:tc>
        <w:tc>
          <w:tcPr>
            <w:tcW w:w="1843" w:type="dxa"/>
            <w:tcBorders>
              <w:top w:val="nil"/>
              <w:left w:val="nil"/>
              <w:bottom w:val="single" w:sz="8" w:space="0" w:color="auto"/>
              <w:right w:val="nil"/>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372.724.773,54</w:t>
            </w:r>
          </w:p>
        </w:tc>
        <w:tc>
          <w:tcPr>
            <w:tcW w:w="1701" w:type="dxa"/>
            <w:tcBorders>
              <w:top w:val="nil"/>
              <w:left w:val="nil"/>
              <w:bottom w:val="single" w:sz="8" w:space="0" w:color="auto"/>
              <w:right w:val="nil"/>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378.312.602,08</w:t>
            </w:r>
          </w:p>
        </w:tc>
        <w:tc>
          <w:tcPr>
            <w:tcW w:w="1559" w:type="dxa"/>
            <w:tcBorders>
              <w:top w:val="nil"/>
              <w:left w:val="nil"/>
              <w:bottom w:val="single" w:sz="8" w:space="0" w:color="auto"/>
              <w:right w:val="single" w:sz="8" w:space="0" w:color="auto"/>
            </w:tcBorders>
            <w:shd w:val="clear" w:color="auto" w:fill="auto"/>
            <w:noWrap/>
            <w:vAlign w:val="bottom"/>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r w:rsidRPr="00120EB3">
              <w:rPr>
                <w:rFonts w:ascii="Calibri" w:hAnsi="Calibri"/>
                <w:b/>
                <w:bCs/>
                <w:color w:val="000000"/>
                <w:sz w:val="22"/>
                <w:szCs w:val="22"/>
              </w:rPr>
              <w:t>5.587.828,54</w:t>
            </w:r>
          </w:p>
        </w:tc>
      </w:tr>
      <w:tr w:rsidR="00120EB3" w:rsidRPr="00120EB3" w:rsidTr="00683818">
        <w:trPr>
          <w:trHeight w:val="300"/>
        </w:trPr>
        <w:tc>
          <w:tcPr>
            <w:tcW w:w="960" w:type="dxa"/>
            <w:tcBorders>
              <w:top w:val="nil"/>
              <w:left w:val="nil"/>
              <w:bottom w:val="nil"/>
              <w:right w:val="nil"/>
            </w:tcBorders>
            <w:shd w:val="clear" w:color="auto" w:fill="auto"/>
            <w:noWrap/>
            <w:vAlign w:val="center"/>
            <w:hideMark/>
          </w:tcPr>
          <w:p w:rsidR="00120EB3" w:rsidRPr="00120EB3" w:rsidRDefault="00120EB3" w:rsidP="00120EB3">
            <w:pPr>
              <w:overflowPunct/>
              <w:autoSpaceDE/>
              <w:autoSpaceDN/>
              <w:adjustRightInd/>
              <w:jc w:val="right"/>
              <w:textAlignment w:val="auto"/>
              <w:rPr>
                <w:rFonts w:ascii="Calibri" w:hAnsi="Calibri"/>
                <w:b/>
                <w:bCs/>
                <w:color w:val="000000"/>
                <w:sz w:val="22"/>
                <w:szCs w:val="22"/>
              </w:rPr>
            </w:pPr>
          </w:p>
        </w:tc>
        <w:tc>
          <w:tcPr>
            <w:tcW w:w="2999" w:type="dxa"/>
            <w:tcBorders>
              <w:top w:val="nil"/>
              <w:left w:val="nil"/>
              <w:bottom w:val="nil"/>
              <w:right w:val="nil"/>
            </w:tcBorders>
            <w:shd w:val="clear" w:color="auto" w:fill="auto"/>
            <w:noWrap/>
            <w:vAlign w:val="bottom"/>
            <w:hideMark/>
          </w:tcPr>
          <w:p w:rsidR="00120EB3" w:rsidRPr="00120EB3" w:rsidRDefault="00120EB3" w:rsidP="00120EB3">
            <w:pPr>
              <w:overflowPunct/>
              <w:autoSpaceDE/>
              <w:autoSpaceDN/>
              <w:adjustRightInd/>
              <w:jc w:val="center"/>
              <w:textAlignment w:val="auto"/>
            </w:pPr>
          </w:p>
        </w:tc>
        <w:tc>
          <w:tcPr>
            <w:tcW w:w="1843" w:type="dxa"/>
            <w:tcBorders>
              <w:top w:val="nil"/>
              <w:left w:val="nil"/>
              <w:bottom w:val="nil"/>
              <w:right w:val="nil"/>
            </w:tcBorders>
            <w:shd w:val="clear" w:color="auto" w:fill="auto"/>
            <w:noWrap/>
            <w:vAlign w:val="bottom"/>
            <w:hideMark/>
          </w:tcPr>
          <w:p w:rsidR="00120EB3" w:rsidRPr="00120EB3" w:rsidRDefault="00120EB3" w:rsidP="00120EB3">
            <w:pPr>
              <w:overflowPunct/>
              <w:autoSpaceDE/>
              <w:autoSpaceDN/>
              <w:adjustRightInd/>
              <w:textAlignment w:val="auto"/>
            </w:pPr>
          </w:p>
        </w:tc>
        <w:tc>
          <w:tcPr>
            <w:tcW w:w="1701" w:type="dxa"/>
            <w:tcBorders>
              <w:top w:val="nil"/>
              <w:left w:val="nil"/>
              <w:bottom w:val="nil"/>
              <w:right w:val="nil"/>
            </w:tcBorders>
            <w:shd w:val="clear" w:color="auto" w:fill="auto"/>
            <w:noWrap/>
            <w:vAlign w:val="bottom"/>
            <w:hideMark/>
          </w:tcPr>
          <w:p w:rsidR="00120EB3" w:rsidRPr="00120EB3" w:rsidRDefault="00120EB3" w:rsidP="00120EB3">
            <w:pPr>
              <w:overflowPunct/>
              <w:autoSpaceDE/>
              <w:autoSpaceDN/>
              <w:adjustRightInd/>
              <w:textAlignment w:val="auto"/>
            </w:pPr>
          </w:p>
        </w:tc>
        <w:tc>
          <w:tcPr>
            <w:tcW w:w="1559" w:type="dxa"/>
            <w:tcBorders>
              <w:top w:val="nil"/>
              <w:left w:val="nil"/>
              <w:bottom w:val="nil"/>
              <w:right w:val="nil"/>
            </w:tcBorders>
            <w:shd w:val="clear" w:color="auto" w:fill="auto"/>
            <w:noWrap/>
            <w:vAlign w:val="bottom"/>
            <w:hideMark/>
          </w:tcPr>
          <w:p w:rsidR="00120EB3" w:rsidRPr="00120EB3" w:rsidRDefault="00120EB3" w:rsidP="00120EB3">
            <w:pPr>
              <w:overflowPunct/>
              <w:autoSpaceDE/>
              <w:autoSpaceDN/>
              <w:adjustRightInd/>
              <w:textAlignment w:val="auto"/>
            </w:pPr>
          </w:p>
        </w:tc>
      </w:tr>
    </w:tbl>
    <w:p w:rsidR="00120EB3" w:rsidRPr="00E91BCF" w:rsidRDefault="00E91BCF" w:rsidP="00E91BCF">
      <w:pPr>
        <w:ind w:firstLine="720"/>
        <w:jc w:val="both"/>
        <w:rPr>
          <w:b/>
          <w:sz w:val="24"/>
        </w:rPr>
      </w:pPr>
      <w:r w:rsidRPr="00E91BCF">
        <w:rPr>
          <w:b/>
          <w:sz w:val="24"/>
        </w:rPr>
        <w:t>6.</w:t>
      </w:r>
      <w:r w:rsidR="002F4069">
        <w:rPr>
          <w:b/>
          <w:sz w:val="24"/>
        </w:rPr>
        <w:t>4</w:t>
      </w:r>
      <w:r w:rsidRPr="00E91BCF">
        <w:rPr>
          <w:b/>
          <w:sz w:val="24"/>
        </w:rPr>
        <w:t xml:space="preserve">. Stanje potencijalnih obveza </w:t>
      </w:r>
    </w:p>
    <w:p w:rsidR="00120EB3" w:rsidRDefault="00120EB3" w:rsidP="00752AE9">
      <w:pPr>
        <w:jc w:val="both"/>
        <w:rPr>
          <w:color w:val="FF0000"/>
          <w:sz w:val="24"/>
        </w:rPr>
      </w:pPr>
    </w:p>
    <w:p w:rsidR="00E91BCF" w:rsidRDefault="00E91BCF" w:rsidP="00752AE9">
      <w:pPr>
        <w:jc w:val="both"/>
        <w:rPr>
          <w:color w:val="FF0000"/>
          <w:sz w:val="24"/>
        </w:rPr>
      </w:pPr>
    </w:p>
    <w:p w:rsidR="00D10816" w:rsidRPr="0062107D" w:rsidRDefault="00E91BCF" w:rsidP="00E71F77">
      <w:pPr>
        <w:jc w:val="both"/>
        <w:rPr>
          <w:sz w:val="24"/>
        </w:rPr>
      </w:pPr>
      <w:r>
        <w:rPr>
          <w:color w:val="FF0000"/>
          <w:sz w:val="24"/>
        </w:rPr>
        <w:tab/>
      </w:r>
      <w:r w:rsidRPr="00E91BCF">
        <w:rPr>
          <w:sz w:val="24"/>
        </w:rPr>
        <w:t>Stanje potencijalnih obveza Grada Dubrovnika po osnovi sudskih postupaka, a koje se  vode u izvanbilančnoj evidenciji, na dan 31. prosinca 2017. godine iznose 29.781.280,66 kuna.</w:t>
      </w:r>
    </w:p>
    <w:p w:rsidR="00D10816" w:rsidRDefault="00D10816" w:rsidP="00E71F77">
      <w:pPr>
        <w:jc w:val="both"/>
        <w:rPr>
          <w:color w:val="FF0000"/>
          <w:sz w:val="24"/>
        </w:rPr>
      </w:pPr>
    </w:p>
    <w:p w:rsidR="004149C5" w:rsidRDefault="006A65CC" w:rsidP="00141E7A">
      <w:pPr>
        <w:ind w:firstLine="720"/>
        <w:jc w:val="both"/>
        <w:rPr>
          <w:b/>
          <w:sz w:val="24"/>
        </w:rPr>
      </w:pPr>
      <w:r>
        <w:rPr>
          <w:b/>
          <w:sz w:val="24"/>
        </w:rPr>
        <w:t>6</w:t>
      </w:r>
      <w:r w:rsidR="00141E7A">
        <w:rPr>
          <w:b/>
          <w:sz w:val="24"/>
        </w:rPr>
        <w:t>.</w:t>
      </w:r>
      <w:r w:rsidR="002F4069">
        <w:rPr>
          <w:b/>
          <w:sz w:val="24"/>
        </w:rPr>
        <w:t>5</w:t>
      </w:r>
      <w:r w:rsidR="00141E7A">
        <w:rPr>
          <w:b/>
          <w:sz w:val="24"/>
        </w:rPr>
        <w:t>.</w:t>
      </w:r>
      <w:r w:rsidR="006E4A88" w:rsidRPr="006E4A88">
        <w:rPr>
          <w:b/>
          <w:sz w:val="24"/>
        </w:rPr>
        <w:t xml:space="preserve"> </w:t>
      </w:r>
      <w:r w:rsidR="004149C5">
        <w:rPr>
          <w:b/>
          <w:sz w:val="24"/>
        </w:rPr>
        <w:t xml:space="preserve">Proračunski korisnici Grada Dubrovnika </w:t>
      </w:r>
    </w:p>
    <w:p w:rsidR="004149C5" w:rsidRDefault="004149C5" w:rsidP="00141E7A">
      <w:pPr>
        <w:ind w:firstLine="720"/>
        <w:jc w:val="both"/>
        <w:rPr>
          <w:b/>
          <w:sz w:val="24"/>
        </w:rPr>
      </w:pPr>
    </w:p>
    <w:p w:rsidR="00D10816" w:rsidRPr="00A02AE1" w:rsidRDefault="004149C5" w:rsidP="00141E7A">
      <w:pPr>
        <w:ind w:firstLine="720"/>
        <w:jc w:val="both"/>
        <w:rPr>
          <w:sz w:val="24"/>
        </w:rPr>
      </w:pPr>
      <w:r>
        <w:rPr>
          <w:b/>
          <w:sz w:val="24"/>
        </w:rPr>
        <w:t xml:space="preserve">    </w:t>
      </w:r>
      <w:r w:rsidRPr="00A02AE1">
        <w:rPr>
          <w:sz w:val="24"/>
        </w:rPr>
        <w:t>Stanje nenaplaćenih potraživanja</w:t>
      </w:r>
      <w:r w:rsidR="00CE4909" w:rsidRPr="00A02AE1">
        <w:rPr>
          <w:sz w:val="24"/>
        </w:rPr>
        <w:t xml:space="preserve">, </w:t>
      </w:r>
      <w:r w:rsidRPr="00A02AE1">
        <w:rPr>
          <w:sz w:val="24"/>
        </w:rPr>
        <w:t>stanje nepodmirenih</w:t>
      </w:r>
      <w:r w:rsidR="00A02AE1">
        <w:rPr>
          <w:sz w:val="24"/>
        </w:rPr>
        <w:t xml:space="preserve"> dospjelih</w:t>
      </w:r>
      <w:r w:rsidRPr="00A02AE1">
        <w:rPr>
          <w:sz w:val="24"/>
        </w:rPr>
        <w:t xml:space="preserve"> obveza</w:t>
      </w:r>
      <w:r w:rsidR="00CE4909" w:rsidRPr="00A02AE1">
        <w:rPr>
          <w:sz w:val="24"/>
        </w:rPr>
        <w:t xml:space="preserve"> i</w:t>
      </w:r>
      <w:r w:rsidRPr="00A02AE1">
        <w:rPr>
          <w:sz w:val="24"/>
        </w:rPr>
        <w:t xml:space="preserve"> stanje potencijalnih obveza na </w:t>
      </w:r>
      <w:r w:rsidR="005249BD">
        <w:rPr>
          <w:sz w:val="24"/>
        </w:rPr>
        <w:t xml:space="preserve"> dan </w:t>
      </w:r>
      <w:r w:rsidRPr="00A02AE1">
        <w:rPr>
          <w:sz w:val="24"/>
        </w:rPr>
        <w:t xml:space="preserve">31.12.2017. </w:t>
      </w:r>
    </w:p>
    <w:p w:rsidR="00D10816" w:rsidRPr="00A02AE1" w:rsidRDefault="00D10816" w:rsidP="00E71F77">
      <w:pPr>
        <w:jc w:val="both"/>
        <w:rPr>
          <w:sz w:val="24"/>
        </w:rPr>
      </w:pPr>
    </w:p>
    <w:p w:rsidR="00D10816" w:rsidRPr="0062107D" w:rsidRDefault="0062107D" w:rsidP="00E71F77">
      <w:pPr>
        <w:jc w:val="both"/>
        <w:rPr>
          <w:b/>
          <w:color w:val="FF0000"/>
          <w:sz w:val="24"/>
        </w:rPr>
      </w:pPr>
      <w:r>
        <w:rPr>
          <w:color w:val="FF0000"/>
          <w:sz w:val="24"/>
        </w:rPr>
        <w:t xml:space="preserve">     </w:t>
      </w:r>
      <w:r w:rsidRPr="0062107D">
        <w:rPr>
          <w:b/>
          <w:sz w:val="24"/>
        </w:rPr>
        <w:t>Tablica broj 22</w:t>
      </w:r>
    </w:p>
    <w:p w:rsidR="00D10816" w:rsidRDefault="006E4A88" w:rsidP="006E4A88">
      <w:pPr>
        <w:ind w:left="-284"/>
        <w:jc w:val="both"/>
        <w:rPr>
          <w:color w:val="FF0000"/>
          <w:sz w:val="24"/>
        </w:rPr>
      </w:pPr>
      <w:r>
        <w:rPr>
          <w:noProof/>
          <w:color w:val="FF0000"/>
          <w:sz w:val="24"/>
        </w:rPr>
        <w:lastRenderedPageBreak/>
        <w:drawing>
          <wp:inline distT="0" distB="0" distL="0" distR="0">
            <wp:extent cx="6029325" cy="4714317"/>
            <wp:effectExtent l="19050" t="0" r="9525" b="0"/>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6033392" cy="4717497"/>
                    </a:xfrm>
                    <a:prstGeom prst="rect">
                      <a:avLst/>
                    </a:prstGeom>
                    <a:noFill/>
                    <a:ln w="9525">
                      <a:noFill/>
                      <a:miter lim="800000"/>
                      <a:headEnd/>
                      <a:tailEnd/>
                    </a:ln>
                  </pic:spPr>
                </pic:pic>
              </a:graphicData>
            </a:graphic>
          </wp:inline>
        </w:drawing>
      </w:r>
    </w:p>
    <w:p w:rsidR="00D10816" w:rsidRDefault="00D10816" w:rsidP="00E71F77">
      <w:pPr>
        <w:jc w:val="both"/>
        <w:rPr>
          <w:color w:val="FF0000"/>
          <w:sz w:val="24"/>
        </w:rPr>
      </w:pPr>
    </w:p>
    <w:p w:rsidR="00D10816" w:rsidRDefault="00D10816"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62107D" w:rsidRDefault="0062107D" w:rsidP="00E71F77">
      <w:pPr>
        <w:jc w:val="both"/>
        <w:rPr>
          <w:color w:val="FF0000"/>
          <w:sz w:val="24"/>
        </w:rPr>
      </w:pPr>
    </w:p>
    <w:p w:rsidR="00564EAF" w:rsidRPr="0029273E" w:rsidRDefault="00757AEA"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29273E">
        <w:rPr>
          <w:sz w:val="24"/>
        </w:rPr>
        <w:tab/>
      </w:r>
      <w:r w:rsidR="007077F9" w:rsidRPr="0029273E">
        <w:rPr>
          <w:sz w:val="24"/>
        </w:rPr>
        <w:t>Na kraju m</w:t>
      </w:r>
      <w:r w:rsidRPr="0029273E">
        <w:rPr>
          <w:sz w:val="24"/>
        </w:rPr>
        <w:t xml:space="preserve">ožemo zaključiti da su </w:t>
      </w:r>
      <w:r w:rsidR="00CC1BD2" w:rsidRPr="0029273E">
        <w:rPr>
          <w:sz w:val="24"/>
        </w:rPr>
        <w:t xml:space="preserve">konsolidirani </w:t>
      </w:r>
      <w:r w:rsidRPr="0029273E">
        <w:rPr>
          <w:sz w:val="24"/>
        </w:rPr>
        <w:t xml:space="preserve">ukupni prihodi i primici s prenesenim viškom sredstava iz prethodne godine bili za </w:t>
      </w:r>
      <w:r w:rsidR="005249BD" w:rsidRPr="0029273E">
        <w:rPr>
          <w:sz w:val="24"/>
        </w:rPr>
        <w:t xml:space="preserve">22.054.120 kuna </w:t>
      </w:r>
      <w:r w:rsidRPr="0029273E">
        <w:rPr>
          <w:sz w:val="24"/>
        </w:rPr>
        <w:t xml:space="preserve"> veći od ukupnih rashoda i izdataka. Taj dio sredstava prenosi se kao višak obračunskog razdoblja u narednu godinu</w:t>
      </w:r>
      <w:r w:rsidR="006372EB" w:rsidRPr="0029273E">
        <w:rPr>
          <w:sz w:val="24"/>
        </w:rPr>
        <w:t xml:space="preserve"> i raspore</w:t>
      </w:r>
      <w:r w:rsidR="00420E1D" w:rsidRPr="0029273E">
        <w:rPr>
          <w:sz w:val="24"/>
        </w:rPr>
        <w:t xml:space="preserve">dit će se </w:t>
      </w:r>
      <w:r w:rsidR="00874635" w:rsidRPr="0029273E">
        <w:rPr>
          <w:sz w:val="24"/>
        </w:rPr>
        <w:t xml:space="preserve"> sukladno Odluci </w:t>
      </w:r>
      <w:r w:rsidR="00420E1D" w:rsidRPr="0029273E">
        <w:rPr>
          <w:sz w:val="24"/>
        </w:rPr>
        <w:t xml:space="preserve">o raspodjeli viška </w:t>
      </w:r>
      <w:r w:rsidR="00473E9C" w:rsidRPr="0029273E">
        <w:rPr>
          <w:sz w:val="24"/>
        </w:rPr>
        <w:t>prenesenih sredstava iz 201</w:t>
      </w:r>
      <w:r w:rsidR="00564EAF" w:rsidRPr="0029273E">
        <w:rPr>
          <w:sz w:val="24"/>
        </w:rPr>
        <w:t>7</w:t>
      </w:r>
      <w:r w:rsidR="00473E9C" w:rsidRPr="0029273E">
        <w:rPr>
          <w:sz w:val="24"/>
        </w:rPr>
        <w:t>. godine</w:t>
      </w:r>
      <w:r w:rsidR="00874635" w:rsidRPr="0029273E">
        <w:rPr>
          <w:sz w:val="24"/>
        </w:rPr>
        <w:t xml:space="preserve">, a </w:t>
      </w:r>
      <w:r w:rsidR="006372EB" w:rsidRPr="0029273E">
        <w:rPr>
          <w:sz w:val="24"/>
        </w:rPr>
        <w:t xml:space="preserve"> kako je</w:t>
      </w:r>
      <w:r w:rsidR="00874635" w:rsidRPr="0029273E">
        <w:rPr>
          <w:sz w:val="24"/>
        </w:rPr>
        <w:t xml:space="preserve"> to i</w:t>
      </w:r>
      <w:r w:rsidR="006372EB" w:rsidRPr="0029273E">
        <w:rPr>
          <w:sz w:val="24"/>
        </w:rPr>
        <w:t xml:space="preserve"> naznačeno u </w:t>
      </w:r>
      <w:r w:rsidR="00564EAF" w:rsidRPr="0029273E">
        <w:rPr>
          <w:sz w:val="24"/>
        </w:rPr>
        <w:t>5</w:t>
      </w:r>
      <w:r w:rsidRPr="0029273E">
        <w:rPr>
          <w:sz w:val="24"/>
        </w:rPr>
        <w:t>.</w:t>
      </w:r>
      <w:r w:rsidR="006372EB" w:rsidRPr="0029273E">
        <w:rPr>
          <w:sz w:val="24"/>
        </w:rPr>
        <w:t xml:space="preserve"> glavi ovog obrazloženja</w:t>
      </w:r>
      <w:r w:rsidR="005F27C9" w:rsidRPr="0029273E">
        <w:rPr>
          <w:sz w:val="24"/>
        </w:rPr>
        <w:t>.</w:t>
      </w:r>
      <w:r w:rsidR="00874635" w:rsidRPr="0029273E">
        <w:rPr>
          <w:sz w:val="24"/>
        </w:rPr>
        <w:tab/>
      </w:r>
      <w:r w:rsidR="00874635" w:rsidRPr="0029273E">
        <w:rPr>
          <w:sz w:val="24"/>
        </w:rPr>
        <w:tab/>
      </w:r>
    </w:p>
    <w:p w:rsidR="00564EAF" w:rsidRDefault="00564EAF"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62107D" w:rsidRDefault="0062107D"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62107D" w:rsidRPr="00CC1BD2" w:rsidRDefault="0062107D"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5E3D6B" w:rsidRDefault="00564EAF"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sidR="005E3D6B">
        <w:rPr>
          <w:sz w:val="24"/>
        </w:rPr>
        <w:tab/>
      </w:r>
      <w:r w:rsidR="005263D4">
        <w:rPr>
          <w:sz w:val="24"/>
        </w:rPr>
        <w:t xml:space="preserve">    </w:t>
      </w:r>
      <w:r w:rsidR="005E3D6B">
        <w:rPr>
          <w:sz w:val="24"/>
        </w:rPr>
        <w:t xml:space="preserve">S poštovanjem, </w:t>
      </w:r>
    </w:p>
    <w:p w:rsidR="00E47B9E" w:rsidRDefault="00E47B9E" w:rsidP="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64EAF" w:rsidRDefault="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64EAF" w:rsidRDefault="0062107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Privremena p</w:t>
      </w:r>
      <w:r w:rsidRPr="00BF17F1">
        <w:rPr>
          <w:sz w:val="24"/>
        </w:rPr>
        <w:t>ročelnica</w:t>
      </w:r>
    </w:p>
    <w:p w:rsidR="005249BD"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249BD" w:rsidRPr="0062107D" w:rsidRDefault="005249BD" w:rsidP="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r w:rsidRPr="0062107D">
        <w:rPr>
          <w:sz w:val="24"/>
        </w:rPr>
        <w:t xml:space="preserve">  Anita Burić</w:t>
      </w:r>
      <w:r>
        <w:rPr>
          <w:sz w:val="24"/>
        </w:rPr>
        <w:t>,</w:t>
      </w:r>
      <w:r w:rsidRPr="0062107D">
        <w:rPr>
          <w:sz w:val="24"/>
        </w:rPr>
        <w:t xml:space="preserve"> dipl.oec.</w:t>
      </w:r>
    </w:p>
    <w:p w:rsidR="005249BD"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249BD"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5249BD"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E8541B" w:rsidRDefault="006D218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p>
    <w:sectPr w:rsidR="00E8541B" w:rsidSect="0042693E">
      <w:headerReference w:type="even" r:id="rId23"/>
      <w:headerReference w:type="default" r:id="rId24"/>
      <w:footerReference w:type="even" r:id="rId25"/>
      <w:footerReference w:type="default" r:id="rId26"/>
      <w:endnotePr>
        <w:numFmt w:val="decimal"/>
      </w:endnotePr>
      <w:pgSz w:w="11904" w:h="16836" w:code="9"/>
      <w:pgMar w:top="1440" w:right="1418" w:bottom="1656" w:left="1418" w:header="720" w:footer="720" w:gutter="227"/>
      <w:pgNumType w:start="2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B67" w:rsidRDefault="00C55B67">
      <w:r>
        <w:separator/>
      </w:r>
    </w:p>
  </w:endnote>
  <w:endnote w:type="continuationSeparator" w:id="0">
    <w:p w:rsidR="00C55B67" w:rsidRDefault="00C55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F4" w:rsidRDefault="00173BF4" w:rsidP="007F6DBA">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F4" w:rsidRDefault="00173BF4" w:rsidP="001A46EC">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B67" w:rsidRDefault="00C55B67">
      <w:r>
        <w:separator/>
      </w:r>
    </w:p>
  </w:footnote>
  <w:footnote w:type="continuationSeparator" w:id="0">
    <w:p w:rsidR="00C55B67" w:rsidRDefault="00C55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F4" w:rsidRDefault="005028C4">
    <w:pPr>
      <w:pStyle w:val="Zaglavlje"/>
      <w:jc w:val="right"/>
    </w:pPr>
    <w:r>
      <w:fldChar w:fldCharType="begin"/>
    </w:r>
    <w:r w:rsidR="00173BF4">
      <w:instrText xml:space="preserve"> PAGE   \* MERGEFORMAT </w:instrText>
    </w:r>
    <w:r>
      <w:fldChar w:fldCharType="separate"/>
    </w:r>
    <w:r w:rsidR="00173BF4">
      <w:rPr>
        <w:noProof/>
      </w:rPr>
      <w:t>6</w:t>
    </w:r>
    <w:r>
      <w:rPr>
        <w:noProof/>
      </w:rPr>
      <w:fldChar w:fldCharType="end"/>
    </w:r>
  </w:p>
  <w:p w:rsidR="00173BF4" w:rsidRDefault="00173BF4" w:rsidP="008B1B52">
    <w:pPr>
      <w:pStyle w:val="Zaglavlj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F4" w:rsidRDefault="005028C4">
    <w:pPr>
      <w:pStyle w:val="Zaglavlje"/>
      <w:jc w:val="right"/>
    </w:pPr>
    <w:r>
      <w:fldChar w:fldCharType="begin"/>
    </w:r>
    <w:r w:rsidR="00173BF4">
      <w:instrText xml:space="preserve"> PAGE   \* MERGEFORMAT </w:instrText>
    </w:r>
    <w:r>
      <w:fldChar w:fldCharType="separate"/>
    </w:r>
    <w:r w:rsidR="00C04F28">
      <w:rPr>
        <w:noProof/>
      </w:rPr>
      <w:t>25</w:t>
    </w:r>
    <w:r>
      <w:rPr>
        <w:noProof/>
      </w:rPr>
      <w:fldChar w:fldCharType="end"/>
    </w:r>
  </w:p>
  <w:p w:rsidR="00173BF4" w:rsidRDefault="00173BF4" w:rsidP="002321D1">
    <w:pPr>
      <w:pStyle w:val="Zaglavlj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3CE2912"/>
    <w:lvl w:ilvl="0">
      <w:start w:val="2"/>
      <w:numFmt w:val="upperLetter"/>
      <w:pStyle w:val="Naslov6"/>
      <w:lvlText w:val="%1."/>
      <w:legacy w:legacy="1" w:legacySpace="120" w:legacyIndent="396"/>
      <w:lvlJc w:val="left"/>
      <w:pPr>
        <w:ind w:left="1116" w:hanging="396"/>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041A001D"/>
    <w:name w:val="WW8Num2"/>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12CD5"/>
    <w:multiLevelType w:val="hybridMultilevel"/>
    <w:tmpl w:val="315AA598"/>
    <w:lvl w:ilvl="0" w:tplc="041A0001">
      <w:start w:val="1"/>
      <w:numFmt w:val="bullet"/>
      <w:lvlText w:val=""/>
      <w:lvlJc w:val="left"/>
      <w:pPr>
        <w:tabs>
          <w:tab w:val="num" w:pos="1146"/>
        </w:tabs>
        <w:ind w:left="1146" w:hanging="360"/>
      </w:pPr>
      <w:rPr>
        <w:rFonts w:ascii="Symbol" w:hAnsi="Symbol" w:hint="default"/>
      </w:rPr>
    </w:lvl>
    <w:lvl w:ilvl="1" w:tplc="041A0003">
      <w:start w:val="1"/>
      <w:numFmt w:val="bullet"/>
      <w:lvlText w:val="o"/>
      <w:lvlJc w:val="left"/>
      <w:pPr>
        <w:tabs>
          <w:tab w:val="num" w:pos="1866"/>
        </w:tabs>
        <w:ind w:left="1866" w:hanging="360"/>
      </w:pPr>
      <w:rPr>
        <w:rFonts w:ascii="Courier New" w:hAnsi="Courier New" w:cs="Courier New" w:hint="default"/>
      </w:rPr>
    </w:lvl>
    <w:lvl w:ilvl="2" w:tplc="041A0005" w:tentative="1">
      <w:start w:val="1"/>
      <w:numFmt w:val="bullet"/>
      <w:lvlText w:val=""/>
      <w:lvlJc w:val="left"/>
      <w:pPr>
        <w:tabs>
          <w:tab w:val="num" w:pos="2586"/>
        </w:tabs>
        <w:ind w:left="2586" w:hanging="360"/>
      </w:pPr>
      <w:rPr>
        <w:rFonts w:ascii="Wingdings" w:hAnsi="Wingdings"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3">
    <w:nsid w:val="0D3C6D07"/>
    <w:multiLevelType w:val="hybridMultilevel"/>
    <w:tmpl w:val="00CCD316"/>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EC547B4"/>
    <w:multiLevelType w:val="hybridMultilevel"/>
    <w:tmpl w:val="E81E62A6"/>
    <w:lvl w:ilvl="0" w:tplc="041A0003">
      <w:start w:val="1"/>
      <w:numFmt w:val="bullet"/>
      <w:lvlText w:val="o"/>
      <w:lvlJc w:val="left"/>
      <w:pPr>
        <w:tabs>
          <w:tab w:val="num" w:pos="1200"/>
        </w:tabs>
        <w:ind w:left="1200" w:hanging="360"/>
      </w:pPr>
      <w:rPr>
        <w:rFonts w:ascii="Courier New" w:hAnsi="Courier New" w:cs="Courier New"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5">
    <w:nsid w:val="11691383"/>
    <w:multiLevelType w:val="hybridMultilevel"/>
    <w:tmpl w:val="7428B6A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013454"/>
    <w:multiLevelType w:val="hybridMultilevel"/>
    <w:tmpl w:val="B2F29F88"/>
    <w:lvl w:ilvl="0" w:tplc="041A0003">
      <w:start w:val="1"/>
      <w:numFmt w:val="bullet"/>
      <w:lvlText w:val="o"/>
      <w:lvlJc w:val="left"/>
      <w:pPr>
        <w:tabs>
          <w:tab w:val="num" w:pos="720"/>
        </w:tabs>
        <w:ind w:left="720" w:hanging="360"/>
      </w:pPr>
      <w:rPr>
        <w:rFonts w:ascii="Courier New" w:hAnsi="Courier New" w:cs="Courier New"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14BE029C"/>
    <w:multiLevelType w:val="hybridMultilevel"/>
    <w:tmpl w:val="6B0C162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4E96D66"/>
    <w:multiLevelType w:val="multilevel"/>
    <w:tmpl w:val="E81E62A6"/>
    <w:lvl w:ilvl="0">
      <w:start w:val="1"/>
      <w:numFmt w:val="bullet"/>
      <w:lvlText w:val="o"/>
      <w:lvlJc w:val="left"/>
      <w:pPr>
        <w:tabs>
          <w:tab w:val="num" w:pos="1200"/>
        </w:tabs>
        <w:ind w:left="1200" w:hanging="360"/>
      </w:pPr>
      <w:rPr>
        <w:rFonts w:ascii="Courier New" w:hAnsi="Courier New" w:cs="Courier New" w:hint="default"/>
      </w:rPr>
    </w:lvl>
    <w:lvl w:ilvl="1">
      <w:start w:val="1"/>
      <w:numFmt w:val="bullet"/>
      <w:lvlText w:val=""/>
      <w:lvlJc w:val="left"/>
      <w:pPr>
        <w:tabs>
          <w:tab w:val="num" w:pos="1920"/>
        </w:tabs>
        <w:ind w:left="1920" w:hanging="360"/>
      </w:pPr>
      <w:rPr>
        <w:rFonts w:ascii="Symbol" w:hAnsi="Symbol"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9">
    <w:nsid w:val="1BA30459"/>
    <w:multiLevelType w:val="hybridMultilevel"/>
    <w:tmpl w:val="7718628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1E555001"/>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2F11C4"/>
    <w:multiLevelType w:val="hybridMultilevel"/>
    <w:tmpl w:val="F3EC266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00A6943"/>
    <w:multiLevelType w:val="hybridMultilevel"/>
    <w:tmpl w:val="089CCAA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22D5EEA"/>
    <w:multiLevelType w:val="hybridMultilevel"/>
    <w:tmpl w:val="16ECC9FE"/>
    <w:lvl w:ilvl="0" w:tplc="041A0003">
      <w:start w:val="1"/>
      <w:numFmt w:val="bullet"/>
      <w:lvlText w:val="o"/>
      <w:lvlJc w:val="left"/>
      <w:pPr>
        <w:tabs>
          <w:tab w:val="num" w:pos="720"/>
        </w:tabs>
        <w:ind w:left="720" w:hanging="360"/>
      </w:pPr>
      <w:rPr>
        <w:rFonts w:ascii="Courier New" w:hAnsi="Courier New" w:cs="Courier New"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25552D5"/>
    <w:multiLevelType w:val="hybridMultilevel"/>
    <w:tmpl w:val="D6B42E2A"/>
    <w:lvl w:ilvl="0" w:tplc="EB5A6A44">
      <w:numFmt w:val="bullet"/>
      <w:lvlText w:val="-"/>
      <w:lvlJc w:val="left"/>
      <w:pPr>
        <w:tabs>
          <w:tab w:val="num" w:pos="720"/>
        </w:tabs>
        <w:ind w:left="720" w:hanging="360"/>
      </w:pPr>
      <w:rPr>
        <w:rFonts w:ascii="Bookman Old Style" w:eastAsia="Times New Roman" w:hAnsi="Bookman Old Style"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24185897"/>
    <w:multiLevelType w:val="multilevel"/>
    <w:tmpl w:val="041A001D"/>
    <w:name w:val="WW8Num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2A0E98"/>
    <w:multiLevelType w:val="hybridMultilevel"/>
    <w:tmpl w:val="7DBE5CEC"/>
    <w:lvl w:ilvl="0" w:tplc="041A0001">
      <w:start w:val="1"/>
      <w:numFmt w:val="bullet"/>
      <w:lvlText w:val=""/>
      <w:lvlJc w:val="left"/>
      <w:pPr>
        <w:tabs>
          <w:tab w:val="num" w:pos="1146"/>
        </w:tabs>
        <w:ind w:left="1146" w:hanging="360"/>
      </w:pPr>
      <w:rPr>
        <w:rFonts w:ascii="Symbol" w:hAnsi="Symbol" w:hint="default"/>
      </w:rPr>
    </w:lvl>
    <w:lvl w:ilvl="1" w:tplc="041A0003">
      <w:start w:val="1"/>
      <w:numFmt w:val="bullet"/>
      <w:lvlText w:val="o"/>
      <w:lvlJc w:val="left"/>
      <w:pPr>
        <w:tabs>
          <w:tab w:val="num" w:pos="1866"/>
        </w:tabs>
        <w:ind w:left="1866" w:hanging="360"/>
      </w:pPr>
      <w:rPr>
        <w:rFonts w:ascii="Courier New" w:hAnsi="Courier New" w:cs="Courier New" w:hint="default"/>
      </w:rPr>
    </w:lvl>
    <w:lvl w:ilvl="2" w:tplc="041A0001">
      <w:start w:val="1"/>
      <w:numFmt w:val="bullet"/>
      <w:lvlText w:val=""/>
      <w:lvlJc w:val="left"/>
      <w:pPr>
        <w:tabs>
          <w:tab w:val="num" w:pos="2586"/>
        </w:tabs>
        <w:ind w:left="2586" w:hanging="360"/>
      </w:pPr>
      <w:rPr>
        <w:rFonts w:ascii="Symbol" w:hAnsi="Symbol"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17">
    <w:nsid w:val="26C21363"/>
    <w:multiLevelType w:val="hybridMultilevel"/>
    <w:tmpl w:val="FD006BF8"/>
    <w:lvl w:ilvl="0" w:tplc="833624F0">
      <w:numFmt w:val="bullet"/>
      <w:lvlText w:val="-"/>
      <w:lvlJc w:val="left"/>
      <w:pPr>
        <w:tabs>
          <w:tab w:val="num" w:pos="1200"/>
        </w:tabs>
        <w:ind w:left="1200" w:hanging="360"/>
      </w:pPr>
      <w:rPr>
        <w:rFonts w:ascii="Times New Roman" w:eastAsia="Times New Roman" w:hAnsi="Times New Roman" w:cs="Times New Roman" w:hint="default"/>
      </w:rPr>
    </w:lvl>
    <w:lvl w:ilvl="1" w:tplc="041A000B">
      <w:start w:val="1"/>
      <w:numFmt w:val="bullet"/>
      <w:lvlText w:val=""/>
      <w:lvlJc w:val="left"/>
      <w:pPr>
        <w:tabs>
          <w:tab w:val="num" w:pos="1920"/>
        </w:tabs>
        <w:ind w:left="1920" w:hanging="360"/>
      </w:pPr>
      <w:rPr>
        <w:rFonts w:ascii="Wingdings" w:hAnsi="Wingdings"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18">
    <w:nsid w:val="2E6F0DB3"/>
    <w:multiLevelType w:val="hybridMultilevel"/>
    <w:tmpl w:val="3E62BADC"/>
    <w:lvl w:ilvl="0" w:tplc="32DA2B5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2C561AD"/>
    <w:multiLevelType w:val="hybridMultilevel"/>
    <w:tmpl w:val="FB207E72"/>
    <w:lvl w:ilvl="0" w:tplc="041A0001">
      <w:start w:val="1"/>
      <w:numFmt w:val="bullet"/>
      <w:lvlText w:val=""/>
      <w:lvlJc w:val="left"/>
      <w:pPr>
        <w:tabs>
          <w:tab w:val="num" w:pos="1200"/>
        </w:tabs>
        <w:ind w:left="1200" w:hanging="360"/>
      </w:pPr>
      <w:rPr>
        <w:rFonts w:ascii="Symbol" w:hAnsi="Symbol"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20">
    <w:nsid w:val="333B0B91"/>
    <w:multiLevelType w:val="hybridMultilevel"/>
    <w:tmpl w:val="FB1052AC"/>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33DD527C"/>
    <w:multiLevelType w:val="hybridMultilevel"/>
    <w:tmpl w:val="45844D2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4711DED"/>
    <w:multiLevelType w:val="hybridMultilevel"/>
    <w:tmpl w:val="6C2A1480"/>
    <w:lvl w:ilvl="0" w:tplc="D7E02360">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391062AF"/>
    <w:multiLevelType w:val="hybridMultilevel"/>
    <w:tmpl w:val="3EC20FB8"/>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396A54B5"/>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A3249BE"/>
    <w:multiLevelType w:val="hybridMultilevel"/>
    <w:tmpl w:val="CC043B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AA640C4"/>
    <w:multiLevelType w:val="hybridMultilevel"/>
    <w:tmpl w:val="4B3003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D45478B"/>
    <w:multiLevelType w:val="hybridMultilevel"/>
    <w:tmpl w:val="A2A067BA"/>
    <w:lvl w:ilvl="0" w:tplc="041A0001">
      <w:start w:val="1"/>
      <w:numFmt w:val="bullet"/>
      <w:lvlText w:val=""/>
      <w:lvlJc w:val="left"/>
      <w:pPr>
        <w:tabs>
          <w:tab w:val="num" w:pos="720"/>
        </w:tabs>
        <w:ind w:left="720" w:hanging="360"/>
      </w:pPr>
      <w:rPr>
        <w:rFonts w:ascii="Symbol" w:hAnsi="Symbol"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437D47F7"/>
    <w:multiLevelType w:val="multilevel"/>
    <w:tmpl w:val="88CC5E7E"/>
    <w:lvl w:ilvl="0">
      <w:start w:val="1"/>
      <w:numFmt w:val="bullet"/>
      <w:lvlText w:val=""/>
      <w:lvlJc w:val="left"/>
      <w:pPr>
        <w:tabs>
          <w:tab w:val="num" w:pos="1200"/>
        </w:tabs>
        <w:ind w:left="1200" w:hanging="360"/>
      </w:pPr>
      <w:rPr>
        <w:rFonts w:ascii="Symbol" w:hAnsi="Symbol" w:hint="default"/>
      </w:rPr>
    </w:lvl>
    <w:lvl w:ilvl="1">
      <w:start w:val="1"/>
      <w:numFmt w:val="bullet"/>
      <w:lvlText w:val=""/>
      <w:lvlJc w:val="left"/>
      <w:pPr>
        <w:tabs>
          <w:tab w:val="num" w:pos="1920"/>
        </w:tabs>
        <w:ind w:left="1920" w:hanging="360"/>
      </w:pPr>
      <w:rPr>
        <w:rFonts w:ascii="Symbol" w:hAnsi="Symbol"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9">
    <w:nsid w:val="454D6962"/>
    <w:multiLevelType w:val="hybridMultilevel"/>
    <w:tmpl w:val="00F61560"/>
    <w:lvl w:ilvl="0" w:tplc="8DBE270C">
      <w:numFmt w:val="bullet"/>
      <w:lvlText w:val="-"/>
      <w:lvlJc w:val="left"/>
      <w:pPr>
        <w:tabs>
          <w:tab w:val="num" w:pos="720"/>
        </w:tabs>
        <w:ind w:left="720" w:hanging="360"/>
      </w:pPr>
      <w:rPr>
        <w:rFonts w:ascii="Times New Roman" w:eastAsia="Times New Roman" w:hAnsi="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53EC4FCE"/>
    <w:multiLevelType w:val="hybridMultilevel"/>
    <w:tmpl w:val="9692DEC2"/>
    <w:lvl w:ilvl="0" w:tplc="041A0001">
      <w:start w:val="1"/>
      <w:numFmt w:val="bullet"/>
      <w:lvlText w:val=""/>
      <w:lvlJc w:val="left"/>
      <w:pPr>
        <w:tabs>
          <w:tab w:val="num" w:pos="720"/>
        </w:tabs>
        <w:ind w:left="720" w:hanging="360"/>
      </w:pPr>
      <w:rPr>
        <w:rFonts w:ascii="Symbol" w:hAnsi="Symbol" w:hint="default"/>
      </w:rPr>
    </w:lvl>
    <w:lvl w:ilvl="1" w:tplc="041A000B">
      <w:start w:val="1"/>
      <w:numFmt w:val="bullet"/>
      <w:lvlText w:val=""/>
      <w:lvlJc w:val="left"/>
      <w:pPr>
        <w:tabs>
          <w:tab w:val="num" w:pos="1920"/>
        </w:tabs>
        <w:ind w:left="192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59D75473"/>
    <w:multiLevelType w:val="hybridMultilevel"/>
    <w:tmpl w:val="1D523D6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5C7E2A90"/>
    <w:multiLevelType w:val="multilevel"/>
    <w:tmpl w:val="08448072"/>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D3B6BA4"/>
    <w:multiLevelType w:val="hybridMultilevel"/>
    <w:tmpl w:val="BD48ED78"/>
    <w:lvl w:ilvl="0" w:tplc="8DBE270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5D4C6538"/>
    <w:multiLevelType w:val="hybridMultilevel"/>
    <w:tmpl w:val="68E45DD4"/>
    <w:lvl w:ilvl="0" w:tplc="041A000F">
      <w:start w:val="1"/>
      <w:numFmt w:val="decimal"/>
      <w:lvlText w:val="%1."/>
      <w:lvlJc w:val="left"/>
      <w:pPr>
        <w:tabs>
          <w:tab w:val="num" w:pos="4605"/>
        </w:tabs>
        <w:ind w:left="4605"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F">
      <w:start w:val="1"/>
      <w:numFmt w:val="decimal"/>
      <w:lvlText w:val="%4."/>
      <w:lvlJc w:val="left"/>
      <w:pPr>
        <w:tabs>
          <w:tab w:val="num" w:pos="2880"/>
        </w:tabs>
        <w:ind w:left="2880" w:hanging="360"/>
      </w:pPr>
      <w:rPr>
        <w:rFonts w:hint="default"/>
      </w:rPr>
    </w:lvl>
    <w:lvl w:ilvl="4" w:tplc="833624F0">
      <w:numFmt w:val="bullet"/>
      <w:lvlText w:val="-"/>
      <w:lvlJc w:val="left"/>
      <w:pPr>
        <w:tabs>
          <w:tab w:val="num" w:pos="3600"/>
        </w:tabs>
        <w:ind w:left="3600" w:hanging="360"/>
      </w:pPr>
      <w:rPr>
        <w:rFonts w:ascii="Times New Roman" w:eastAsia="Times New Roman" w:hAnsi="Times New Roman" w:cs="Times New Roman"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60334E9D"/>
    <w:multiLevelType w:val="multilevel"/>
    <w:tmpl w:val="A2A067B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2D13D3A"/>
    <w:multiLevelType w:val="hybridMultilevel"/>
    <w:tmpl w:val="26E46C84"/>
    <w:lvl w:ilvl="0" w:tplc="7E1C628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70B669C"/>
    <w:multiLevelType w:val="hybridMultilevel"/>
    <w:tmpl w:val="D73499D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AC12E80"/>
    <w:multiLevelType w:val="hybridMultilevel"/>
    <w:tmpl w:val="6DCEE75A"/>
    <w:lvl w:ilvl="0" w:tplc="9DAAED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6C4D0657"/>
    <w:multiLevelType w:val="hybridMultilevel"/>
    <w:tmpl w:val="BB08B364"/>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6D871D84"/>
    <w:multiLevelType w:val="hybridMultilevel"/>
    <w:tmpl w:val="2D0CAF9E"/>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nsid w:val="6E5D2CA8"/>
    <w:multiLevelType w:val="hybridMultilevel"/>
    <w:tmpl w:val="88CC5E7E"/>
    <w:lvl w:ilvl="0" w:tplc="041A0001">
      <w:start w:val="1"/>
      <w:numFmt w:val="bullet"/>
      <w:lvlText w:val=""/>
      <w:lvlJc w:val="left"/>
      <w:pPr>
        <w:tabs>
          <w:tab w:val="num" w:pos="1200"/>
        </w:tabs>
        <w:ind w:left="1200" w:hanging="360"/>
      </w:pPr>
      <w:rPr>
        <w:rFonts w:ascii="Symbol" w:hAnsi="Symbol"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42">
    <w:nsid w:val="6F2657F2"/>
    <w:multiLevelType w:val="hybridMultilevel"/>
    <w:tmpl w:val="67F6E306"/>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0455FBC"/>
    <w:multiLevelType w:val="hybridMultilevel"/>
    <w:tmpl w:val="527E3AC4"/>
    <w:lvl w:ilvl="0" w:tplc="39141232">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44">
    <w:nsid w:val="731E20E1"/>
    <w:multiLevelType w:val="hybridMultilevel"/>
    <w:tmpl w:val="3D02D2B8"/>
    <w:lvl w:ilvl="0" w:tplc="8DBE270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nsid w:val="77DE4FF0"/>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9DE7D25"/>
    <w:multiLevelType w:val="hybridMultilevel"/>
    <w:tmpl w:val="74D2307E"/>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nsid w:val="7B250620"/>
    <w:multiLevelType w:val="multilevel"/>
    <w:tmpl w:val="16ECC9F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34"/>
  </w:num>
  <w:num w:numId="4">
    <w:abstractNumId w:val="21"/>
  </w:num>
  <w:num w:numId="5">
    <w:abstractNumId w:val="11"/>
  </w:num>
  <w:num w:numId="6">
    <w:abstractNumId w:val="25"/>
  </w:num>
  <w:num w:numId="7">
    <w:abstractNumId w:val="33"/>
  </w:num>
  <w:num w:numId="8">
    <w:abstractNumId w:val="7"/>
  </w:num>
  <w:num w:numId="9">
    <w:abstractNumId w:val="31"/>
  </w:num>
  <w:num w:numId="10">
    <w:abstractNumId w:val="23"/>
  </w:num>
  <w:num w:numId="11">
    <w:abstractNumId w:val="17"/>
  </w:num>
  <w:num w:numId="12">
    <w:abstractNumId w:val="30"/>
  </w:num>
  <w:num w:numId="13">
    <w:abstractNumId w:val="5"/>
  </w:num>
  <w:num w:numId="14">
    <w:abstractNumId w:val="44"/>
  </w:num>
  <w:num w:numId="15">
    <w:abstractNumId w:val="42"/>
  </w:num>
  <w:num w:numId="16">
    <w:abstractNumId w:val="12"/>
  </w:num>
  <w:num w:numId="17">
    <w:abstractNumId w:val="9"/>
  </w:num>
  <w:num w:numId="18">
    <w:abstractNumId w:val="29"/>
  </w:num>
  <w:num w:numId="19">
    <w:abstractNumId w:val="6"/>
  </w:num>
  <w:num w:numId="20">
    <w:abstractNumId w:val="37"/>
  </w:num>
  <w:num w:numId="21">
    <w:abstractNumId w:val="27"/>
  </w:num>
  <w:num w:numId="22">
    <w:abstractNumId w:val="41"/>
  </w:num>
  <w:num w:numId="23">
    <w:abstractNumId w:val="28"/>
  </w:num>
  <w:num w:numId="24">
    <w:abstractNumId w:val="4"/>
  </w:num>
  <w:num w:numId="25">
    <w:abstractNumId w:val="2"/>
  </w:num>
  <w:num w:numId="26">
    <w:abstractNumId w:val="8"/>
  </w:num>
  <w:num w:numId="27">
    <w:abstractNumId w:val="19"/>
  </w:num>
  <w:num w:numId="28">
    <w:abstractNumId w:val="35"/>
  </w:num>
  <w:num w:numId="29">
    <w:abstractNumId w:val="13"/>
  </w:num>
  <w:num w:numId="30">
    <w:abstractNumId w:val="32"/>
  </w:num>
  <w:num w:numId="31">
    <w:abstractNumId w:val="3"/>
  </w:num>
  <w:num w:numId="32">
    <w:abstractNumId w:val="10"/>
  </w:num>
  <w:num w:numId="33">
    <w:abstractNumId w:val="39"/>
  </w:num>
  <w:num w:numId="34">
    <w:abstractNumId w:val="45"/>
  </w:num>
  <w:num w:numId="35">
    <w:abstractNumId w:val="40"/>
  </w:num>
  <w:num w:numId="36">
    <w:abstractNumId w:val="24"/>
  </w:num>
  <w:num w:numId="37">
    <w:abstractNumId w:val="46"/>
  </w:num>
  <w:num w:numId="38">
    <w:abstractNumId w:val="47"/>
  </w:num>
  <w:num w:numId="39">
    <w:abstractNumId w:val="20"/>
  </w:num>
  <w:num w:numId="40">
    <w:abstractNumId w:val="16"/>
  </w:num>
  <w:num w:numId="41">
    <w:abstractNumId w:val="38"/>
  </w:num>
  <w:num w:numId="42">
    <w:abstractNumId w:val="26"/>
  </w:num>
  <w:num w:numId="43">
    <w:abstractNumId w:val="22"/>
  </w:num>
  <w:num w:numId="44">
    <w:abstractNumId w:val="43"/>
  </w:num>
  <w:num w:numId="45">
    <w:abstractNumId w:val="36"/>
  </w:num>
  <w:num w:numId="46">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20"/>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D60F2E"/>
    <w:rsid w:val="00000F58"/>
    <w:rsid w:val="00002391"/>
    <w:rsid w:val="00002961"/>
    <w:rsid w:val="000037F3"/>
    <w:rsid w:val="00003E2A"/>
    <w:rsid w:val="000045D3"/>
    <w:rsid w:val="000064D0"/>
    <w:rsid w:val="000067BF"/>
    <w:rsid w:val="00006816"/>
    <w:rsid w:val="0001111A"/>
    <w:rsid w:val="000115A6"/>
    <w:rsid w:val="000123A5"/>
    <w:rsid w:val="00013264"/>
    <w:rsid w:val="00015FF6"/>
    <w:rsid w:val="00016C99"/>
    <w:rsid w:val="000173A4"/>
    <w:rsid w:val="00017DA3"/>
    <w:rsid w:val="00021076"/>
    <w:rsid w:val="00022070"/>
    <w:rsid w:val="0002236A"/>
    <w:rsid w:val="0002379C"/>
    <w:rsid w:val="00023AE5"/>
    <w:rsid w:val="0002465B"/>
    <w:rsid w:val="00025077"/>
    <w:rsid w:val="00027107"/>
    <w:rsid w:val="000300CD"/>
    <w:rsid w:val="00030A7E"/>
    <w:rsid w:val="00030B7A"/>
    <w:rsid w:val="000316B6"/>
    <w:rsid w:val="000316E5"/>
    <w:rsid w:val="00031ECC"/>
    <w:rsid w:val="000321DB"/>
    <w:rsid w:val="00032EDB"/>
    <w:rsid w:val="00035B3F"/>
    <w:rsid w:val="00036AA1"/>
    <w:rsid w:val="00036D88"/>
    <w:rsid w:val="00037357"/>
    <w:rsid w:val="0003772D"/>
    <w:rsid w:val="00041673"/>
    <w:rsid w:val="00042F72"/>
    <w:rsid w:val="00043AFE"/>
    <w:rsid w:val="00044E73"/>
    <w:rsid w:val="00045746"/>
    <w:rsid w:val="000461DF"/>
    <w:rsid w:val="00046546"/>
    <w:rsid w:val="00051B48"/>
    <w:rsid w:val="00052D7D"/>
    <w:rsid w:val="00052F70"/>
    <w:rsid w:val="00053891"/>
    <w:rsid w:val="0005447C"/>
    <w:rsid w:val="00060650"/>
    <w:rsid w:val="00061004"/>
    <w:rsid w:val="000617C1"/>
    <w:rsid w:val="00062309"/>
    <w:rsid w:val="00063CA2"/>
    <w:rsid w:val="00063EC4"/>
    <w:rsid w:val="00063F69"/>
    <w:rsid w:val="00063FC8"/>
    <w:rsid w:val="0006443B"/>
    <w:rsid w:val="000655E3"/>
    <w:rsid w:val="00066563"/>
    <w:rsid w:val="00066D99"/>
    <w:rsid w:val="00066EDC"/>
    <w:rsid w:val="00067B86"/>
    <w:rsid w:val="0007106C"/>
    <w:rsid w:val="00071AE7"/>
    <w:rsid w:val="00072AC9"/>
    <w:rsid w:val="00072BC5"/>
    <w:rsid w:val="00073929"/>
    <w:rsid w:val="00075B9A"/>
    <w:rsid w:val="00077462"/>
    <w:rsid w:val="00077844"/>
    <w:rsid w:val="000803E5"/>
    <w:rsid w:val="00080903"/>
    <w:rsid w:val="00081010"/>
    <w:rsid w:val="00082407"/>
    <w:rsid w:val="000829F0"/>
    <w:rsid w:val="00082BB7"/>
    <w:rsid w:val="0008385A"/>
    <w:rsid w:val="00085CCB"/>
    <w:rsid w:val="0008604E"/>
    <w:rsid w:val="00086536"/>
    <w:rsid w:val="00086F34"/>
    <w:rsid w:val="00086F5F"/>
    <w:rsid w:val="00087D25"/>
    <w:rsid w:val="00090256"/>
    <w:rsid w:val="00090806"/>
    <w:rsid w:val="00090A75"/>
    <w:rsid w:val="00091A4A"/>
    <w:rsid w:val="00093788"/>
    <w:rsid w:val="00094455"/>
    <w:rsid w:val="00095614"/>
    <w:rsid w:val="00096E0C"/>
    <w:rsid w:val="00096E99"/>
    <w:rsid w:val="0009786B"/>
    <w:rsid w:val="00097E79"/>
    <w:rsid w:val="00097F84"/>
    <w:rsid w:val="000A1D9C"/>
    <w:rsid w:val="000A3E64"/>
    <w:rsid w:val="000A46F7"/>
    <w:rsid w:val="000A4815"/>
    <w:rsid w:val="000A4F93"/>
    <w:rsid w:val="000A55E2"/>
    <w:rsid w:val="000A587C"/>
    <w:rsid w:val="000A6887"/>
    <w:rsid w:val="000A6C0F"/>
    <w:rsid w:val="000A7BB5"/>
    <w:rsid w:val="000B09CE"/>
    <w:rsid w:val="000B1EBA"/>
    <w:rsid w:val="000B3828"/>
    <w:rsid w:val="000B507C"/>
    <w:rsid w:val="000B53FA"/>
    <w:rsid w:val="000B5464"/>
    <w:rsid w:val="000B62E2"/>
    <w:rsid w:val="000B6EBB"/>
    <w:rsid w:val="000B736F"/>
    <w:rsid w:val="000B7787"/>
    <w:rsid w:val="000C0263"/>
    <w:rsid w:val="000C0778"/>
    <w:rsid w:val="000C145B"/>
    <w:rsid w:val="000C17A7"/>
    <w:rsid w:val="000C2061"/>
    <w:rsid w:val="000C2AA4"/>
    <w:rsid w:val="000C6EE0"/>
    <w:rsid w:val="000C7064"/>
    <w:rsid w:val="000D0EE4"/>
    <w:rsid w:val="000D1331"/>
    <w:rsid w:val="000D193A"/>
    <w:rsid w:val="000D2B7E"/>
    <w:rsid w:val="000D2EFD"/>
    <w:rsid w:val="000D3DBA"/>
    <w:rsid w:val="000D5FD3"/>
    <w:rsid w:val="000D681D"/>
    <w:rsid w:val="000D767C"/>
    <w:rsid w:val="000D7713"/>
    <w:rsid w:val="000D7718"/>
    <w:rsid w:val="000D77CF"/>
    <w:rsid w:val="000D7962"/>
    <w:rsid w:val="000D7B2E"/>
    <w:rsid w:val="000D7B63"/>
    <w:rsid w:val="000D7D4C"/>
    <w:rsid w:val="000E03BA"/>
    <w:rsid w:val="000E0580"/>
    <w:rsid w:val="000E06BC"/>
    <w:rsid w:val="000E0AE2"/>
    <w:rsid w:val="000E0CD6"/>
    <w:rsid w:val="000E0D7D"/>
    <w:rsid w:val="000E105C"/>
    <w:rsid w:val="000E4071"/>
    <w:rsid w:val="000E5468"/>
    <w:rsid w:val="000E5CA6"/>
    <w:rsid w:val="000E5EB9"/>
    <w:rsid w:val="000E6D02"/>
    <w:rsid w:val="000F0653"/>
    <w:rsid w:val="000F07BF"/>
    <w:rsid w:val="000F1E7C"/>
    <w:rsid w:val="000F2C26"/>
    <w:rsid w:val="000F2F28"/>
    <w:rsid w:val="000F3CEA"/>
    <w:rsid w:val="000F5DF5"/>
    <w:rsid w:val="000F6AEF"/>
    <w:rsid w:val="00100540"/>
    <w:rsid w:val="0010089F"/>
    <w:rsid w:val="00101290"/>
    <w:rsid w:val="00101458"/>
    <w:rsid w:val="0010232E"/>
    <w:rsid w:val="00104773"/>
    <w:rsid w:val="001047E9"/>
    <w:rsid w:val="00104FF4"/>
    <w:rsid w:val="00105320"/>
    <w:rsid w:val="00105F79"/>
    <w:rsid w:val="00106427"/>
    <w:rsid w:val="001071A1"/>
    <w:rsid w:val="0010755B"/>
    <w:rsid w:val="00107CD0"/>
    <w:rsid w:val="00110D38"/>
    <w:rsid w:val="00111006"/>
    <w:rsid w:val="00112727"/>
    <w:rsid w:val="00113233"/>
    <w:rsid w:val="0011643B"/>
    <w:rsid w:val="00116A26"/>
    <w:rsid w:val="00117DA5"/>
    <w:rsid w:val="001200C2"/>
    <w:rsid w:val="00120541"/>
    <w:rsid w:val="00120550"/>
    <w:rsid w:val="0012099C"/>
    <w:rsid w:val="00120EB3"/>
    <w:rsid w:val="00121FD2"/>
    <w:rsid w:val="0012221E"/>
    <w:rsid w:val="001228D2"/>
    <w:rsid w:val="00122C34"/>
    <w:rsid w:val="001238BA"/>
    <w:rsid w:val="001246C1"/>
    <w:rsid w:val="001254BB"/>
    <w:rsid w:val="001278EF"/>
    <w:rsid w:val="00127F7D"/>
    <w:rsid w:val="001301DB"/>
    <w:rsid w:val="00130DC4"/>
    <w:rsid w:val="00130DEA"/>
    <w:rsid w:val="00131533"/>
    <w:rsid w:val="001319A3"/>
    <w:rsid w:val="001324C6"/>
    <w:rsid w:val="001328A9"/>
    <w:rsid w:val="00132DAE"/>
    <w:rsid w:val="001338BF"/>
    <w:rsid w:val="001338E1"/>
    <w:rsid w:val="00133B74"/>
    <w:rsid w:val="00133C6C"/>
    <w:rsid w:val="00135321"/>
    <w:rsid w:val="00135A86"/>
    <w:rsid w:val="00135C56"/>
    <w:rsid w:val="00135F04"/>
    <w:rsid w:val="00137168"/>
    <w:rsid w:val="00137225"/>
    <w:rsid w:val="00137288"/>
    <w:rsid w:val="001411A8"/>
    <w:rsid w:val="00141BCF"/>
    <w:rsid w:val="00141E7A"/>
    <w:rsid w:val="00141F77"/>
    <w:rsid w:val="00142246"/>
    <w:rsid w:val="00143958"/>
    <w:rsid w:val="0014534E"/>
    <w:rsid w:val="001454CD"/>
    <w:rsid w:val="00145FE1"/>
    <w:rsid w:val="001462EB"/>
    <w:rsid w:val="001464E9"/>
    <w:rsid w:val="00152CA6"/>
    <w:rsid w:val="00152FE3"/>
    <w:rsid w:val="001532CA"/>
    <w:rsid w:val="001542DA"/>
    <w:rsid w:val="00156AC5"/>
    <w:rsid w:val="00157962"/>
    <w:rsid w:val="00157B9C"/>
    <w:rsid w:val="00157D01"/>
    <w:rsid w:val="00160654"/>
    <w:rsid w:val="00161ED1"/>
    <w:rsid w:val="00161FAE"/>
    <w:rsid w:val="00162527"/>
    <w:rsid w:val="00164D76"/>
    <w:rsid w:val="00164D88"/>
    <w:rsid w:val="00165321"/>
    <w:rsid w:val="00165E3B"/>
    <w:rsid w:val="00166779"/>
    <w:rsid w:val="00167DDC"/>
    <w:rsid w:val="00170851"/>
    <w:rsid w:val="00171874"/>
    <w:rsid w:val="00172E47"/>
    <w:rsid w:val="00173BF4"/>
    <w:rsid w:val="00174105"/>
    <w:rsid w:val="0017417B"/>
    <w:rsid w:val="00174FEC"/>
    <w:rsid w:val="001751F1"/>
    <w:rsid w:val="001752D7"/>
    <w:rsid w:val="001760AA"/>
    <w:rsid w:val="00176643"/>
    <w:rsid w:val="00176B74"/>
    <w:rsid w:val="00180068"/>
    <w:rsid w:val="0018059A"/>
    <w:rsid w:val="00180F5A"/>
    <w:rsid w:val="0018193D"/>
    <w:rsid w:val="00181A60"/>
    <w:rsid w:val="00182645"/>
    <w:rsid w:val="00183652"/>
    <w:rsid w:val="00183A3D"/>
    <w:rsid w:val="00183D84"/>
    <w:rsid w:val="00185143"/>
    <w:rsid w:val="00185330"/>
    <w:rsid w:val="0018547F"/>
    <w:rsid w:val="0018623B"/>
    <w:rsid w:val="00186D50"/>
    <w:rsid w:val="00187064"/>
    <w:rsid w:val="00187D68"/>
    <w:rsid w:val="00187E0A"/>
    <w:rsid w:val="00191074"/>
    <w:rsid w:val="0019205D"/>
    <w:rsid w:val="001926DB"/>
    <w:rsid w:val="00193083"/>
    <w:rsid w:val="00193D83"/>
    <w:rsid w:val="001963DC"/>
    <w:rsid w:val="00196FC5"/>
    <w:rsid w:val="00197798"/>
    <w:rsid w:val="001A03CC"/>
    <w:rsid w:val="001A0F48"/>
    <w:rsid w:val="001A16A3"/>
    <w:rsid w:val="001A1BCC"/>
    <w:rsid w:val="001A1BDD"/>
    <w:rsid w:val="001A2C25"/>
    <w:rsid w:val="001A3151"/>
    <w:rsid w:val="001A3F67"/>
    <w:rsid w:val="001A3F8B"/>
    <w:rsid w:val="001A41F7"/>
    <w:rsid w:val="001A44A2"/>
    <w:rsid w:val="001A46EC"/>
    <w:rsid w:val="001A4E0D"/>
    <w:rsid w:val="001A5E91"/>
    <w:rsid w:val="001A684E"/>
    <w:rsid w:val="001A6DA5"/>
    <w:rsid w:val="001B063F"/>
    <w:rsid w:val="001B19A6"/>
    <w:rsid w:val="001B1FA1"/>
    <w:rsid w:val="001B2440"/>
    <w:rsid w:val="001B42B3"/>
    <w:rsid w:val="001B44B9"/>
    <w:rsid w:val="001B4CF4"/>
    <w:rsid w:val="001B55AD"/>
    <w:rsid w:val="001B5F68"/>
    <w:rsid w:val="001B6F87"/>
    <w:rsid w:val="001C0525"/>
    <w:rsid w:val="001C19BA"/>
    <w:rsid w:val="001C19CE"/>
    <w:rsid w:val="001C1F7F"/>
    <w:rsid w:val="001C50F6"/>
    <w:rsid w:val="001C594B"/>
    <w:rsid w:val="001C6780"/>
    <w:rsid w:val="001D044A"/>
    <w:rsid w:val="001D0EF3"/>
    <w:rsid w:val="001D0F9A"/>
    <w:rsid w:val="001D1E5B"/>
    <w:rsid w:val="001D212B"/>
    <w:rsid w:val="001D2B7C"/>
    <w:rsid w:val="001D377C"/>
    <w:rsid w:val="001D4C2D"/>
    <w:rsid w:val="001D4F19"/>
    <w:rsid w:val="001D7747"/>
    <w:rsid w:val="001E0DBE"/>
    <w:rsid w:val="001E3570"/>
    <w:rsid w:val="001E479A"/>
    <w:rsid w:val="001E4B87"/>
    <w:rsid w:val="001E4EA9"/>
    <w:rsid w:val="001E4F5A"/>
    <w:rsid w:val="001E5568"/>
    <w:rsid w:val="001E5CF0"/>
    <w:rsid w:val="001E6084"/>
    <w:rsid w:val="001E6112"/>
    <w:rsid w:val="001E653D"/>
    <w:rsid w:val="001E6E33"/>
    <w:rsid w:val="001E7C1A"/>
    <w:rsid w:val="001E7D1E"/>
    <w:rsid w:val="001F0492"/>
    <w:rsid w:val="001F06D8"/>
    <w:rsid w:val="001F0F42"/>
    <w:rsid w:val="001F1B95"/>
    <w:rsid w:val="001F2453"/>
    <w:rsid w:val="001F35CF"/>
    <w:rsid w:val="001F372F"/>
    <w:rsid w:val="001F410E"/>
    <w:rsid w:val="001F429E"/>
    <w:rsid w:val="001F51BB"/>
    <w:rsid w:val="001F53A7"/>
    <w:rsid w:val="001F592D"/>
    <w:rsid w:val="001F5CEF"/>
    <w:rsid w:val="001F6266"/>
    <w:rsid w:val="001F773E"/>
    <w:rsid w:val="002003B3"/>
    <w:rsid w:val="00201D11"/>
    <w:rsid w:val="002036FB"/>
    <w:rsid w:val="002043D9"/>
    <w:rsid w:val="00204720"/>
    <w:rsid w:val="00205470"/>
    <w:rsid w:val="002054C9"/>
    <w:rsid w:val="002058AD"/>
    <w:rsid w:val="00205C43"/>
    <w:rsid w:val="00206509"/>
    <w:rsid w:val="00207150"/>
    <w:rsid w:val="00207259"/>
    <w:rsid w:val="002100D0"/>
    <w:rsid w:val="00210356"/>
    <w:rsid w:val="002108CB"/>
    <w:rsid w:val="00211D34"/>
    <w:rsid w:val="00211EEB"/>
    <w:rsid w:val="00212881"/>
    <w:rsid w:val="00212933"/>
    <w:rsid w:val="0021334A"/>
    <w:rsid w:val="00214C61"/>
    <w:rsid w:val="00215750"/>
    <w:rsid w:val="0021688B"/>
    <w:rsid w:val="0021741F"/>
    <w:rsid w:val="00217450"/>
    <w:rsid w:val="00220335"/>
    <w:rsid w:val="00221487"/>
    <w:rsid w:val="002214F2"/>
    <w:rsid w:val="00222D99"/>
    <w:rsid w:val="00223F2D"/>
    <w:rsid w:val="0022427E"/>
    <w:rsid w:val="002242BC"/>
    <w:rsid w:val="002242F6"/>
    <w:rsid w:val="00224A6B"/>
    <w:rsid w:val="002251A9"/>
    <w:rsid w:val="002252CF"/>
    <w:rsid w:val="002256CB"/>
    <w:rsid w:val="00225965"/>
    <w:rsid w:val="00227A25"/>
    <w:rsid w:val="002313A9"/>
    <w:rsid w:val="002321D1"/>
    <w:rsid w:val="00232D65"/>
    <w:rsid w:val="00233D9E"/>
    <w:rsid w:val="0023469E"/>
    <w:rsid w:val="0024173B"/>
    <w:rsid w:val="00244099"/>
    <w:rsid w:val="00244751"/>
    <w:rsid w:val="00245F95"/>
    <w:rsid w:val="0024625A"/>
    <w:rsid w:val="00246B6B"/>
    <w:rsid w:val="0024773F"/>
    <w:rsid w:val="002477E6"/>
    <w:rsid w:val="00250A8F"/>
    <w:rsid w:val="00250C56"/>
    <w:rsid w:val="00250D65"/>
    <w:rsid w:val="00250F47"/>
    <w:rsid w:val="00251558"/>
    <w:rsid w:val="00251E1F"/>
    <w:rsid w:val="00251FD2"/>
    <w:rsid w:val="00252FE7"/>
    <w:rsid w:val="00253CF4"/>
    <w:rsid w:val="0025419D"/>
    <w:rsid w:val="00255B16"/>
    <w:rsid w:val="00256242"/>
    <w:rsid w:val="0025769F"/>
    <w:rsid w:val="002578C8"/>
    <w:rsid w:val="0026091D"/>
    <w:rsid w:val="00261177"/>
    <w:rsid w:val="00261533"/>
    <w:rsid w:val="00262684"/>
    <w:rsid w:val="002638D0"/>
    <w:rsid w:val="00264663"/>
    <w:rsid w:val="0026475F"/>
    <w:rsid w:val="002654DC"/>
    <w:rsid w:val="00266F50"/>
    <w:rsid w:val="002706D8"/>
    <w:rsid w:val="002713BA"/>
    <w:rsid w:val="00272296"/>
    <w:rsid w:val="00272F84"/>
    <w:rsid w:val="0027368A"/>
    <w:rsid w:val="0027397C"/>
    <w:rsid w:val="002748B6"/>
    <w:rsid w:val="00274EDE"/>
    <w:rsid w:val="00276315"/>
    <w:rsid w:val="0027653C"/>
    <w:rsid w:val="00276A2B"/>
    <w:rsid w:val="00276B01"/>
    <w:rsid w:val="00277061"/>
    <w:rsid w:val="002778DD"/>
    <w:rsid w:val="00280D3F"/>
    <w:rsid w:val="00280FC2"/>
    <w:rsid w:val="00281D6D"/>
    <w:rsid w:val="00281E85"/>
    <w:rsid w:val="00283134"/>
    <w:rsid w:val="002835A4"/>
    <w:rsid w:val="002838D0"/>
    <w:rsid w:val="00283ADF"/>
    <w:rsid w:val="00285B09"/>
    <w:rsid w:val="0028622A"/>
    <w:rsid w:val="00286E84"/>
    <w:rsid w:val="00287972"/>
    <w:rsid w:val="0029273E"/>
    <w:rsid w:val="0029349B"/>
    <w:rsid w:val="00293977"/>
    <w:rsid w:val="002942A2"/>
    <w:rsid w:val="00294797"/>
    <w:rsid w:val="002948E0"/>
    <w:rsid w:val="00296419"/>
    <w:rsid w:val="002973B4"/>
    <w:rsid w:val="002A0DB7"/>
    <w:rsid w:val="002A136D"/>
    <w:rsid w:val="002A1AEE"/>
    <w:rsid w:val="002A2870"/>
    <w:rsid w:val="002A2AF0"/>
    <w:rsid w:val="002A43B9"/>
    <w:rsid w:val="002A6534"/>
    <w:rsid w:val="002A728A"/>
    <w:rsid w:val="002B0FCB"/>
    <w:rsid w:val="002B1055"/>
    <w:rsid w:val="002B165F"/>
    <w:rsid w:val="002B18FF"/>
    <w:rsid w:val="002B1E50"/>
    <w:rsid w:val="002B328B"/>
    <w:rsid w:val="002B382B"/>
    <w:rsid w:val="002B3918"/>
    <w:rsid w:val="002B3FB6"/>
    <w:rsid w:val="002B4526"/>
    <w:rsid w:val="002B46FC"/>
    <w:rsid w:val="002B596F"/>
    <w:rsid w:val="002B7B12"/>
    <w:rsid w:val="002C0910"/>
    <w:rsid w:val="002C3D6E"/>
    <w:rsid w:val="002C4141"/>
    <w:rsid w:val="002C437B"/>
    <w:rsid w:val="002C4B0D"/>
    <w:rsid w:val="002C4F0A"/>
    <w:rsid w:val="002C51DE"/>
    <w:rsid w:val="002C621B"/>
    <w:rsid w:val="002C67DF"/>
    <w:rsid w:val="002D0209"/>
    <w:rsid w:val="002D04A4"/>
    <w:rsid w:val="002D0EE5"/>
    <w:rsid w:val="002D15A3"/>
    <w:rsid w:val="002D16B2"/>
    <w:rsid w:val="002D1D46"/>
    <w:rsid w:val="002D1E08"/>
    <w:rsid w:val="002D26E2"/>
    <w:rsid w:val="002D2AE1"/>
    <w:rsid w:val="002D32AA"/>
    <w:rsid w:val="002D4B2F"/>
    <w:rsid w:val="002D4BEB"/>
    <w:rsid w:val="002D4E8A"/>
    <w:rsid w:val="002D5B2E"/>
    <w:rsid w:val="002D5D43"/>
    <w:rsid w:val="002D620C"/>
    <w:rsid w:val="002D6AEB"/>
    <w:rsid w:val="002D7883"/>
    <w:rsid w:val="002D7A21"/>
    <w:rsid w:val="002E0241"/>
    <w:rsid w:val="002E0270"/>
    <w:rsid w:val="002E0534"/>
    <w:rsid w:val="002E1AB5"/>
    <w:rsid w:val="002E2874"/>
    <w:rsid w:val="002E345F"/>
    <w:rsid w:val="002E5555"/>
    <w:rsid w:val="002E591F"/>
    <w:rsid w:val="002E680E"/>
    <w:rsid w:val="002E7408"/>
    <w:rsid w:val="002E7724"/>
    <w:rsid w:val="002E789C"/>
    <w:rsid w:val="002F200A"/>
    <w:rsid w:val="002F3F71"/>
    <w:rsid w:val="002F4069"/>
    <w:rsid w:val="002F43F9"/>
    <w:rsid w:val="002F496B"/>
    <w:rsid w:val="002F5393"/>
    <w:rsid w:val="002F56F9"/>
    <w:rsid w:val="002F5A48"/>
    <w:rsid w:val="002F5D0D"/>
    <w:rsid w:val="002F6C40"/>
    <w:rsid w:val="002F7825"/>
    <w:rsid w:val="002F7B0A"/>
    <w:rsid w:val="002F7CDE"/>
    <w:rsid w:val="002F7FFB"/>
    <w:rsid w:val="003005B5"/>
    <w:rsid w:val="0030072A"/>
    <w:rsid w:val="00300CF0"/>
    <w:rsid w:val="003018AC"/>
    <w:rsid w:val="00301AF8"/>
    <w:rsid w:val="0030363C"/>
    <w:rsid w:val="00304D97"/>
    <w:rsid w:val="003050D4"/>
    <w:rsid w:val="0030562E"/>
    <w:rsid w:val="0030654F"/>
    <w:rsid w:val="00306A31"/>
    <w:rsid w:val="003107F9"/>
    <w:rsid w:val="00310E57"/>
    <w:rsid w:val="00311B75"/>
    <w:rsid w:val="00312D66"/>
    <w:rsid w:val="003134E2"/>
    <w:rsid w:val="003139F3"/>
    <w:rsid w:val="0031400D"/>
    <w:rsid w:val="00314705"/>
    <w:rsid w:val="00314959"/>
    <w:rsid w:val="003154F7"/>
    <w:rsid w:val="0031689C"/>
    <w:rsid w:val="00320255"/>
    <w:rsid w:val="0032135E"/>
    <w:rsid w:val="0032184B"/>
    <w:rsid w:val="00321A32"/>
    <w:rsid w:val="0032263C"/>
    <w:rsid w:val="003228B7"/>
    <w:rsid w:val="00322ACB"/>
    <w:rsid w:val="00323C39"/>
    <w:rsid w:val="003240A9"/>
    <w:rsid w:val="003252C5"/>
    <w:rsid w:val="003259D9"/>
    <w:rsid w:val="00326A6A"/>
    <w:rsid w:val="00326E73"/>
    <w:rsid w:val="0032745E"/>
    <w:rsid w:val="0033187C"/>
    <w:rsid w:val="00332A50"/>
    <w:rsid w:val="00335490"/>
    <w:rsid w:val="00336A04"/>
    <w:rsid w:val="00337366"/>
    <w:rsid w:val="00340C7E"/>
    <w:rsid w:val="00342B69"/>
    <w:rsid w:val="00342FD1"/>
    <w:rsid w:val="00343D93"/>
    <w:rsid w:val="00343FE9"/>
    <w:rsid w:val="00344590"/>
    <w:rsid w:val="0034460B"/>
    <w:rsid w:val="00345338"/>
    <w:rsid w:val="00345B2A"/>
    <w:rsid w:val="00345DE1"/>
    <w:rsid w:val="00345E99"/>
    <w:rsid w:val="00347094"/>
    <w:rsid w:val="003471E0"/>
    <w:rsid w:val="00347C58"/>
    <w:rsid w:val="00347EC5"/>
    <w:rsid w:val="00351596"/>
    <w:rsid w:val="0035337C"/>
    <w:rsid w:val="003564E8"/>
    <w:rsid w:val="00356ED9"/>
    <w:rsid w:val="003577A3"/>
    <w:rsid w:val="003617A9"/>
    <w:rsid w:val="00362F15"/>
    <w:rsid w:val="0036301E"/>
    <w:rsid w:val="003638DC"/>
    <w:rsid w:val="00363A1D"/>
    <w:rsid w:val="00363E18"/>
    <w:rsid w:val="00364C99"/>
    <w:rsid w:val="0036501A"/>
    <w:rsid w:val="00366043"/>
    <w:rsid w:val="00366645"/>
    <w:rsid w:val="0036685F"/>
    <w:rsid w:val="00367870"/>
    <w:rsid w:val="0037096E"/>
    <w:rsid w:val="00370BF4"/>
    <w:rsid w:val="00372D00"/>
    <w:rsid w:val="003734C0"/>
    <w:rsid w:val="00374097"/>
    <w:rsid w:val="0037487F"/>
    <w:rsid w:val="00374F7E"/>
    <w:rsid w:val="003800EC"/>
    <w:rsid w:val="00380453"/>
    <w:rsid w:val="0038255A"/>
    <w:rsid w:val="0038339D"/>
    <w:rsid w:val="00385903"/>
    <w:rsid w:val="003867C8"/>
    <w:rsid w:val="00386AB2"/>
    <w:rsid w:val="00386B08"/>
    <w:rsid w:val="0038783D"/>
    <w:rsid w:val="00391508"/>
    <w:rsid w:val="00391792"/>
    <w:rsid w:val="003930FA"/>
    <w:rsid w:val="00394132"/>
    <w:rsid w:val="0039413C"/>
    <w:rsid w:val="003941A5"/>
    <w:rsid w:val="0039453B"/>
    <w:rsid w:val="00395FBB"/>
    <w:rsid w:val="0039612F"/>
    <w:rsid w:val="003961D1"/>
    <w:rsid w:val="003A15B5"/>
    <w:rsid w:val="003A1608"/>
    <w:rsid w:val="003A16CE"/>
    <w:rsid w:val="003A2FD0"/>
    <w:rsid w:val="003A4A58"/>
    <w:rsid w:val="003A5346"/>
    <w:rsid w:val="003B0265"/>
    <w:rsid w:val="003B0655"/>
    <w:rsid w:val="003B0937"/>
    <w:rsid w:val="003B09B2"/>
    <w:rsid w:val="003B0A62"/>
    <w:rsid w:val="003B1B31"/>
    <w:rsid w:val="003B2489"/>
    <w:rsid w:val="003B27FA"/>
    <w:rsid w:val="003B34E7"/>
    <w:rsid w:val="003B376C"/>
    <w:rsid w:val="003B3E61"/>
    <w:rsid w:val="003B433A"/>
    <w:rsid w:val="003B4734"/>
    <w:rsid w:val="003B688D"/>
    <w:rsid w:val="003B6B67"/>
    <w:rsid w:val="003B6EED"/>
    <w:rsid w:val="003B6F5A"/>
    <w:rsid w:val="003B75BD"/>
    <w:rsid w:val="003B7B30"/>
    <w:rsid w:val="003C0530"/>
    <w:rsid w:val="003C1213"/>
    <w:rsid w:val="003C185D"/>
    <w:rsid w:val="003C2DD8"/>
    <w:rsid w:val="003C2F04"/>
    <w:rsid w:val="003C53D9"/>
    <w:rsid w:val="003C5A12"/>
    <w:rsid w:val="003C7B33"/>
    <w:rsid w:val="003D0218"/>
    <w:rsid w:val="003D02DE"/>
    <w:rsid w:val="003D0B15"/>
    <w:rsid w:val="003D42AE"/>
    <w:rsid w:val="003D507B"/>
    <w:rsid w:val="003D50FB"/>
    <w:rsid w:val="003D511D"/>
    <w:rsid w:val="003D5B54"/>
    <w:rsid w:val="003D6780"/>
    <w:rsid w:val="003D720B"/>
    <w:rsid w:val="003E03EB"/>
    <w:rsid w:val="003E1331"/>
    <w:rsid w:val="003E1A27"/>
    <w:rsid w:val="003E1DBF"/>
    <w:rsid w:val="003E2AE5"/>
    <w:rsid w:val="003E34AA"/>
    <w:rsid w:val="003E5021"/>
    <w:rsid w:val="003E6D02"/>
    <w:rsid w:val="003E7697"/>
    <w:rsid w:val="003E7D42"/>
    <w:rsid w:val="003F0EAE"/>
    <w:rsid w:val="003F136C"/>
    <w:rsid w:val="003F268B"/>
    <w:rsid w:val="003F296F"/>
    <w:rsid w:val="003F381B"/>
    <w:rsid w:val="003F4155"/>
    <w:rsid w:val="003F600A"/>
    <w:rsid w:val="003F6465"/>
    <w:rsid w:val="003F6956"/>
    <w:rsid w:val="003F77AD"/>
    <w:rsid w:val="003F7B68"/>
    <w:rsid w:val="003F7F2B"/>
    <w:rsid w:val="00400909"/>
    <w:rsid w:val="0040154E"/>
    <w:rsid w:val="00402A5C"/>
    <w:rsid w:val="00403BF6"/>
    <w:rsid w:val="00404147"/>
    <w:rsid w:val="004051BD"/>
    <w:rsid w:val="00405506"/>
    <w:rsid w:val="00405559"/>
    <w:rsid w:val="00406BB9"/>
    <w:rsid w:val="00406BDC"/>
    <w:rsid w:val="0040782D"/>
    <w:rsid w:val="00411111"/>
    <w:rsid w:val="00411AB8"/>
    <w:rsid w:val="00411B9C"/>
    <w:rsid w:val="00411C13"/>
    <w:rsid w:val="004121A4"/>
    <w:rsid w:val="004149C5"/>
    <w:rsid w:val="00414E71"/>
    <w:rsid w:val="00414E86"/>
    <w:rsid w:val="00416C09"/>
    <w:rsid w:val="0041745F"/>
    <w:rsid w:val="00417A0C"/>
    <w:rsid w:val="00420E1D"/>
    <w:rsid w:val="00420EA9"/>
    <w:rsid w:val="0042161B"/>
    <w:rsid w:val="0042481A"/>
    <w:rsid w:val="00424E43"/>
    <w:rsid w:val="00425FDF"/>
    <w:rsid w:val="004260E4"/>
    <w:rsid w:val="0042618C"/>
    <w:rsid w:val="0042693E"/>
    <w:rsid w:val="004272CA"/>
    <w:rsid w:val="00427964"/>
    <w:rsid w:val="00427D43"/>
    <w:rsid w:val="0043050E"/>
    <w:rsid w:val="004306CD"/>
    <w:rsid w:val="00431393"/>
    <w:rsid w:val="004317FF"/>
    <w:rsid w:val="004359E4"/>
    <w:rsid w:val="004359ED"/>
    <w:rsid w:val="00435CE4"/>
    <w:rsid w:val="00435FE3"/>
    <w:rsid w:val="0043645B"/>
    <w:rsid w:val="004366D9"/>
    <w:rsid w:val="00440BAF"/>
    <w:rsid w:val="00440DB0"/>
    <w:rsid w:val="00440E3A"/>
    <w:rsid w:val="00441014"/>
    <w:rsid w:val="0044143C"/>
    <w:rsid w:val="00442B5B"/>
    <w:rsid w:val="004443B4"/>
    <w:rsid w:val="00444F9D"/>
    <w:rsid w:val="0044566B"/>
    <w:rsid w:val="004474C6"/>
    <w:rsid w:val="00447696"/>
    <w:rsid w:val="004513DD"/>
    <w:rsid w:val="004519CF"/>
    <w:rsid w:val="00451B78"/>
    <w:rsid w:val="00452987"/>
    <w:rsid w:val="00453680"/>
    <w:rsid w:val="00454225"/>
    <w:rsid w:val="0045458E"/>
    <w:rsid w:val="004549E1"/>
    <w:rsid w:val="004564D0"/>
    <w:rsid w:val="00457AF5"/>
    <w:rsid w:val="00460141"/>
    <w:rsid w:val="00460BAD"/>
    <w:rsid w:val="00460D3F"/>
    <w:rsid w:val="00461030"/>
    <w:rsid w:val="00461CED"/>
    <w:rsid w:val="004622DB"/>
    <w:rsid w:val="004624A5"/>
    <w:rsid w:val="004635CA"/>
    <w:rsid w:val="00463CCD"/>
    <w:rsid w:val="004642E1"/>
    <w:rsid w:val="00465474"/>
    <w:rsid w:val="004676C1"/>
    <w:rsid w:val="00467986"/>
    <w:rsid w:val="004679A7"/>
    <w:rsid w:val="00470833"/>
    <w:rsid w:val="00470E49"/>
    <w:rsid w:val="00470EEF"/>
    <w:rsid w:val="00470FD8"/>
    <w:rsid w:val="004715D1"/>
    <w:rsid w:val="00471FC8"/>
    <w:rsid w:val="004729AA"/>
    <w:rsid w:val="00473CF9"/>
    <w:rsid w:val="00473E9C"/>
    <w:rsid w:val="0047526D"/>
    <w:rsid w:val="0047578F"/>
    <w:rsid w:val="0047635D"/>
    <w:rsid w:val="00476738"/>
    <w:rsid w:val="00476836"/>
    <w:rsid w:val="00477A54"/>
    <w:rsid w:val="00480A54"/>
    <w:rsid w:val="0048138C"/>
    <w:rsid w:val="00482202"/>
    <w:rsid w:val="004827D9"/>
    <w:rsid w:val="00482E70"/>
    <w:rsid w:val="00483A04"/>
    <w:rsid w:val="00484F22"/>
    <w:rsid w:val="00485398"/>
    <w:rsid w:val="004857B5"/>
    <w:rsid w:val="00485EF4"/>
    <w:rsid w:val="004879D6"/>
    <w:rsid w:val="00487EE3"/>
    <w:rsid w:val="00490421"/>
    <w:rsid w:val="0049084F"/>
    <w:rsid w:val="004909EC"/>
    <w:rsid w:val="004914FE"/>
    <w:rsid w:val="00492CF3"/>
    <w:rsid w:val="00493121"/>
    <w:rsid w:val="0049365C"/>
    <w:rsid w:val="004938BC"/>
    <w:rsid w:val="004945CC"/>
    <w:rsid w:val="00494612"/>
    <w:rsid w:val="00494DB2"/>
    <w:rsid w:val="00494DCE"/>
    <w:rsid w:val="00495287"/>
    <w:rsid w:val="00495585"/>
    <w:rsid w:val="00495662"/>
    <w:rsid w:val="00495FA2"/>
    <w:rsid w:val="004971B1"/>
    <w:rsid w:val="004976DE"/>
    <w:rsid w:val="00497CD3"/>
    <w:rsid w:val="004A08C1"/>
    <w:rsid w:val="004A09F3"/>
    <w:rsid w:val="004A1381"/>
    <w:rsid w:val="004A14FF"/>
    <w:rsid w:val="004A2257"/>
    <w:rsid w:val="004A3690"/>
    <w:rsid w:val="004A5446"/>
    <w:rsid w:val="004A750E"/>
    <w:rsid w:val="004A7669"/>
    <w:rsid w:val="004B1FC6"/>
    <w:rsid w:val="004B2D73"/>
    <w:rsid w:val="004B3EB2"/>
    <w:rsid w:val="004B3FFE"/>
    <w:rsid w:val="004B44B8"/>
    <w:rsid w:val="004B4533"/>
    <w:rsid w:val="004B4B09"/>
    <w:rsid w:val="004B4DDC"/>
    <w:rsid w:val="004B55BA"/>
    <w:rsid w:val="004B5882"/>
    <w:rsid w:val="004B5AA8"/>
    <w:rsid w:val="004B6B2F"/>
    <w:rsid w:val="004B734A"/>
    <w:rsid w:val="004B754F"/>
    <w:rsid w:val="004C03DA"/>
    <w:rsid w:val="004C1244"/>
    <w:rsid w:val="004C15FC"/>
    <w:rsid w:val="004C2BB5"/>
    <w:rsid w:val="004C31D0"/>
    <w:rsid w:val="004C3281"/>
    <w:rsid w:val="004C337B"/>
    <w:rsid w:val="004C3DA8"/>
    <w:rsid w:val="004C5E80"/>
    <w:rsid w:val="004C6433"/>
    <w:rsid w:val="004C6471"/>
    <w:rsid w:val="004C7F5B"/>
    <w:rsid w:val="004C7F73"/>
    <w:rsid w:val="004D0359"/>
    <w:rsid w:val="004D0379"/>
    <w:rsid w:val="004D0F67"/>
    <w:rsid w:val="004D18AE"/>
    <w:rsid w:val="004D1B0C"/>
    <w:rsid w:val="004D1D74"/>
    <w:rsid w:val="004D258E"/>
    <w:rsid w:val="004D3346"/>
    <w:rsid w:val="004D41D7"/>
    <w:rsid w:val="004D4264"/>
    <w:rsid w:val="004D5B81"/>
    <w:rsid w:val="004D5EA3"/>
    <w:rsid w:val="004D6B8E"/>
    <w:rsid w:val="004D7B14"/>
    <w:rsid w:val="004E0367"/>
    <w:rsid w:val="004E0BF1"/>
    <w:rsid w:val="004E2358"/>
    <w:rsid w:val="004E244A"/>
    <w:rsid w:val="004E324E"/>
    <w:rsid w:val="004E3A06"/>
    <w:rsid w:val="004E4418"/>
    <w:rsid w:val="004E5939"/>
    <w:rsid w:val="004E5C22"/>
    <w:rsid w:val="004E6027"/>
    <w:rsid w:val="004E6237"/>
    <w:rsid w:val="004E7C4B"/>
    <w:rsid w:val="004F0BF5"/>
    <w:rsid w:val="004F0D23"/>
    <w:rsid w:val="004F1E52"/>
    <w:rsid w:val="004F2D8A"/>
    <w:rsid w:val="004F3628"/>
    <w:rsid w:val="004F40F0"/>
    <w:rsid w:val="004F4D9E"/>
    <w:rsid w:val="004F60A0"/>
    <w:rsid w:val="004F6C23"/>
    <w:rsid w:val="004F746F"/>
    <w:rsid w:val="004F7D29"/>
    <w:rsid w:val="004F7E58"/>
    <w:rsid w:val="00500273"/>
    <w:rsid w:val="0050048E"/>
    <w:rsid w:val="005012B7"/>
    <w:rsid w:val="00501490"/>
    <w:rsid w:val="005016D9"/>
    <w:rsid w:val="005020C7"/>
    <w:rsid w:val="005022F1"/>
    <w:rsid w:val="005028C4"/>
    <w:rsid w:val="0050357A"/>
    <w:rsid w:val="00504392"/>
    <w:rsid w:val="005044A6"/>
    <w:rsid w:val="0050503B"/>
    <w:rsid w:val="0050557A"/>
    <w:rsid w:val="005057B3"/>
    <w:rsid w:val="005059E3"/>
    <w:rsid w:val="00505D9F"/>
    <w:rsid w:val="00507A75"/>
    <w:rsid w:val="00507B9F"/>
    <w:rsid w:val="00507C74"/>
    <w:rsid w:val="00507E99"/>
    <w:rsid w:val="00510FDB"/>
    <w:rsid w:val="005114EC"/>
    <w:rsid w:val="00511DAD"/>
    <w:rsid w:val="005124FB"/>
    <w:rsid w:val="00512D5E"/>
    <w:rsid w:val="00512E13"/>
    <w:rsid w:val="00512EEE"/>
    <w:rsid w:val="005139CA"/>
    <w:rsid w:val="005146C5"/>
    <w:rsid w:val="00514CB8"/>
    <w:rsid w:val="00514EC1"/>
    <w:rsid w:val="00515DA5"/>
    <w:rsid w:val="00516DE6"/>
    <w:rsid w:val="00517DA0"/>
    <w:rsid w:val="00520416"/>
    <w:rsid w:val="00520A48"/>
    <w:rsid w:val="00522B42"/>
    <w:rsid w:val="00523025"/>
    <w:rsid w:val="0052321E"/>
    <w:rsid w:val="00523C77"/>
    <w:rsid w:val="00523CB0"/>
    <w:rsid w:val="00523D60"/>
    <w:rsid w:val="00524623"/>
    <w:rsid w:val="005249BD"/>
    <w:rsid w:val="005263D4"/>
    <w:rsid w:val="005308B5"/>
    <w:rsid w:val="00531024"/>
    <w:rsid w:val="0053103E"/>
    <w:rsid w:val="00531DCD"/>
    <w:rsid w:val="0053273F"/>
    <w:rsid w:val="005337ED"/>
    <w:rsid w:val="00535AE6"/>
    <w:rsid w:val="0053704A"/>
    <w:rsid w:val="0053795C"/>
    <w:rsid w:val="00537DC2"/>
    <w:rsid w:val="00541C1B"/>
    <w:rsid w:val="00541EAF"/>
    <w:rsid w:val="00542646"/>
    <w:rsid w:val="00542DF7"/>
    <w:rsid w:val="00543742"/>
    <w:rsid w:val="00543D61"/>
    <w:rsid w:val="00544456"/>
    <w:rsid w:val="00544634"/>
    <w:rsid w:val="0054569B"/>
    <w:rsid w:val="005457B1"/>
    <w:rsid w:val="00545BFF"/>
    <w:rsid w:val="005471AC"/>
    <w:rsid w:val="00547A4F"/>
    <w:rsid w:val="00547CD8"/>
    <w:rsid w:val="005501C0"/>
    <w:rsid w:val="00550423"/>
    <w:rsid w:val="00551288"/>
    <w:rsid w:val="0055150A"/>
    <w:rsid w:val="0055178C"/>
    <w:rsid w:val="00552EDD"/>
    <w:rsid w:val="005534CF"/>
    <w:rsid w:val="00554795"/>
    <w:rsid w:val="00554D3F"/>
    <w:rsid w:val="00555D85"/>
    <w:rsid w:val="00556383"/>
    <w:rsid w:val="00556B62"/>
    <w:rsid w:val="0055757E"/>
    <w:rsid w:val="00557B7D"/>
    <w:rsid w:val="00561117"/>
    <w:rsid w:val="005618C4"/>
    <w:rsid w:val="0056194D"/>
    <w:rsid w:val="00562D0D"/>
    <w:rsid w:val="00564EAF"/>
    <w:rsid w:val="00564FC3"/>
    <w:rsid w:val="00565BC6"/>
    <w:rsid w:val="00565C43"/>
    <w:rsid w:val="00566204"/>
    <w:rsid w:val="00567446"/>
    <w:rsid w:val="00572EE6"/>
    <w:rsid w:val="005740BD"/>
    <w:rsid w:val="00575769"/>
    <w:rsid w:val="00575A11"/>
    <w:rsid w:val="00575BDD"/>
    <w:rsid w:val="00576115"/>
    <w:rsid w:val="0057663F"/>
    <w:rsid w:val="00580A41"/>
    <w:rsid w:val="005812A8"/>
    <w:rsid w:val="00582959"/>
    <w:rsid w:val="005829F5"/>
    <w:rsid w:val="005831FC"/>
    <w:rsid w:val="00584574"/>
    <w:rsid w:val="0058475E"/>
    <w:rsid w:val="00585067"/>
    <w:rsid w:val="00585C85"/>
    <w:rsid w:val="00585E31"/>
    <w:rsid w:val="0058703E"/>
    <w:rsid w:val="00587779"/>
    <w:rsid w:val="0059187D"/>
    <w:rsid w:val="0059259C"/>
    <w:rsid w:val="00593694"/>
    <w:rsid w:val="00595255"/>
    <w:rsid w:val="00596B13"/>
    <w:rsid w:val="005A0316"/>
    <w:rsid w:val="005A12F2"/>
    <w:rsid w:val="005A1CB8"/>
    <w:rsid w:val="005A2156"/>
    <w:rsid w:val="005A3E05"/>
    <w:rsid w:val="005A503D"/>
    <w:rsid w:val="005A59D2"/>
    <w:rsid w:val="005A5D90"/>
    <w:rsid w:val="005A5EBE"/>
    <w:rsid w:val="005A61F2"/>
    <w:rsid w:val="005A6A5D"/>
    <w:rsid w:val="005A6EF4"/>
    <w:rsid w:val="005A78AE"/>
    <w:rsid w:val="005B254F"/>
    <w:rsid w:val="005B3951"/>
    <w:rsid w:val="005B49D7"/>
    <w:rsid w:val="005B4E19"/>
    <w:rsid w:val="005B5184"/>
    <w:rsid w:val="005B595A"/>
    <w:rsid w:val="005C0900"/>
    <w:rsid w:val="005C5747"/>
    <w:rsid w:val="005C64C9"/>
    <w:rsid w:val="005C77D5"/>
    <w:rsid w:val="005D009C"/>
    <w:rsid w:val="005D0929"/>
    <w:rsid w:val="005D1539"/>
    <w:rsid w:val="005D1863"/>
    <w:rsid w:val="005D1FFF"/>
    <w:rsid w:val="005D258C"/>
    <w:rsid w:val="005D27A1"/>
    <w:rsid w:val="005D3A81"/>
    <w:rsid w:val="005D3F8B"/>
    <w:rsid w:val="005D4C19"/>
    <w:rsid w:val="005D5292"/>
    <w:rsid w:val="005D595C"/>
    <w:rsid w:val="005D5C15"/>
    <w:rsid w:val="005D7393"/>
    <w:rsid w:val="005D7B6C"/>
    <w:rsid w:val="005D7B81"/>
    <w:rsid w:val="005E0C7B"/>
    <w:rsid w:val="005E2C3F"/>
    <w:rsid w:val="005E2F47"/>
    <w:rsid w:val="005E3391"/>
    <w:rsid w:val="005E373A"/>
    <w:rsid w:val="005E3D6B"/>
    <w:rsid w:val="005E404C"/>
    <w:rsid w:val="005E65A2"/>
    <w:rsid w:val="005E6B67"/>
    <w:rsid w:val="005E74D7"/>
    <w:rsid w:val="005E7735"/>
    <w:rsid w:val="005E7D92"/>
    <w:rsid w:val="005F028D"/>
    <w:rsid w:val="005F0347"/>
    <w:rsid w:val="005F0BB3"/>
    <w:rsid w:val="005F0D78"/>
    <w:rsid w:val="005F1778"/>
    <w:rsid w:val="005F216A"/>
    <w:rsid w:val="005F27C9"/>
    <w:rsid w:val="005F2CDD"/>
    <w:rsid w:val="005F2D85"/>
    <w:rsid w:val="005F2E0E"/>
    <w:rsid w:val="005F3C2E"/>
    <w:rsid w:val="005F4790"/>
    <w:rsid w:val="005F47F3"/>
    <w:rsid w:val="005F4CF8"/>
    <w:rsid w:val="005F5759"/>
    <w:rsid w:val="005F598E"/>
    <w:rsid w:val="005F5ED3"/>
    <w:rsid w:val="005F5F50"/>
    <w:rsid w:val="005F6E9D"/>
    <w:rsid w:val="0060233E"/>
    <w:rsid w:val="006027E1"/>
    <w:rsid w:val="006029A6"/>
    <w:rsid w:val="006031F1"/>
    <w:rsid w:val="00603AB2"/>
    <w:rsid w:val="0060404F"/>
    <w:rsid w:val="0060557C"/>
    <w:rsid w:val="0060632B"/>
    <w:rsid w:val="0060720F"/>
    <w:rsid w:val="00610362"/>
    <w:rsid w:val="00610CD5"/>
    <w:rsid w:val="006118FE"/>
    <w:rsid w:val="006119F9"/>
    <w:rsid w:val="00611F51"/>
    <w:rsid w:val="00612E60"/>
    <w:rsid w:val="006139D7"/>
    <w:rsid w:val="00613B38"/>
    <w:rsid w:val="00613BA7"/>
    <w:rsid w:val="00616FB5"/>
    <w:rsid w:val="00617186"/>
    <w:rsid w:val="00617298"/>
    <w:rsid w:val="00620130"/>
    <w:rsid w:val="00620775"/>
    <w:rsid w:val="0062107D"/>
    <w:rsid w:val="00623458"/>
    <w:rsid w:val="006235EF"/>
    <w:rsid w:val="00623C39"/>
    <w:rsid w:val="00623C5B"/>
    <w:rsid w:val="006241E7"/>
    <w:rsid w:val="006246F3"/>
    <w:rsid w:val="00624AE3"/>
    <w:rsid w:val="00624D5C"/>
    <w:rsid w:val="00625E23"/>
    <w:rsid w:val="006265CA"/>
    <w:rsid w:val="0062701B"/>
    <w:rsid w:val="0062726F"/>
    <w:rsid w:val="006304FA"/>
    <w:rsid w:val="00630BE7"/>
    <w:rsid w:val="006324AE"/>
    <w:rsid w:val="00633DE7"/>
    <w:rsid w:val="00633EFD"/>
    <w:rsid w:val="00635824"/>
    <w:rsid w:val="00636D2F"/>
    <w:rsid w:val="00637103"/>
    <w:rsid w:val="006372EB"/>
    <w:rsid w:val="00637747"/>
    <w:rsid w:val="00642403"/>
    <w:rsid w:val="00642945"/>
    <w:rsid w:val="00642D9F"/>
    <w:rsid w:val="0064313A"/>
    <w:rsid w:val="006437BA"/>
    <w:rsid w:val="00643BCE"/>
    <w:rsid w:val="00643D7B"/>
    <w:rsid w:val="00644016"/>
    <w:rsid w:val="0064516A"/>
    <w:rsid w:val="006454DC"/>
    <w:rsid w:val="00647AD8"/>
    <w:rsid w:val="00650DA7"/>
    <w:rsid w:val="00651C83"/>
    <w:rsid w:val="00654345"/>
    <w:rsid w:val="006550C1"/>
    <w:rsid w:val="00655835"/>
    <w:rsid w:val="00655E0E"/>
    <w:rsid w:val="00656760"/>
    <w:rsid w:val="006571EE"/>
    <w:rsid w:val="006577CB"/>
    <w:rsid w:val="006607CB"/>
    <w:rsid w:val="00661753"/>
    <w:rsid w:val="00661C8A"/>
    <w:rsid w:val="00662521"/>
    <w:rsid w:val="00665073"/>
    <w:rsid w:val="006668C9"/>
    <w:rsid w:val="006671FE"/>
    <w:rsid w:val="00667244"/>
    <w:rsid w:val="006703D0"/>
    <w:rsid w:val="00672F79"/>
    <w:rsid w:val="00675422"/>
    <w:rsid w:val="00675987"/>
    <w:rsid w:val="00676E95"/>
    <w:rsid w:val="0067773D"/>
    <w:rsid w:val="006777B4"/>
    <w:rsid w:val="00680279"/>
    <w:rsid w:val="00680A51"/>
    <w:rsid w:val="00681C2D"/>
    <w:rsid w:val="006821BB"/>
    <w:rsid w:val="00683818"/>
    <w:rsid w:val="00685262"/>
    <w:rsid w:val="0068682B"/>
    <w:rsid w:val="00686E00"/>
    <w:rsid w:val="006900C5"/>
    <w:rsid w:val="0069067B"/>
    <w:rsid w:val="00690F89"/>
    <w:rsid w:val="0069191B"/>
    <w:rsid w:val="006924BD"/>
    <w:rsid w:val="006939A8"/>
    <w:rsid w:val="006939DC"/>
    <w:rsid w:val="00694371"/>
    <w:rsid w:val="00694556"/>
    <w:rsid w:val="00694C04"/>
    <w:rsid w:val="00695138"/>
    <w:rsid w:val="006A0BDF"/>
    <w:rsid w:val="006A1536"/>
    <w:rsid w:val="006A1799"/>
    <w:rsid w:val="006A2213"/>
    <w:rsid w:val="006A2BBE"/>
    <w:rsid w:val="006A535C"/>
    <w:rsid w:val="006A53E1"/>
    <w:rsid w:val="006A53FD"/>
    <w:rsid w:val="006A5642"/>
    <w:rsid w:val="006A599A"/>
    <w:rsid w:val="006A65CC"/>
    <w:rsid w:val="006A799D"/>
    <w:rsid w:val="006B0AD5"/>
    <w:rsid w:val="006B31FA"/>
    <w:rsid w:val="006B48CA"/>
    <w:rsid w:val="006B537F"/>
    <w:rsid w:val="006B5735"/>
    <w:rsid w:val="006B6151"/>
    <w:rsid w:val="006B669E"/>
    <w:rsid w:val="006B699E"/>
    <w:rsid w:val="006B70D5"/>
    <w:rsid w:val="006C0A05"/>
    <w:rsid w:val="006C1121"/>
    <w:rsid w:val="006C1762"/>
    <w:rsid w:val="006C17CB"/>
    <w:rsid w:val="006C1980"/>
    <w:rsid w:val="006C1F18"/>
    <w:rsid w:val="006C25EE"/>
    <w:rsid w:val="006C2805"/>
    <w:rsid w:val="006C3B96"/>
    <w:rsid w:val="006C49EE"/>
    <w:rsid w:val="006C5356"/>
    <w:rsid w:val="006D0382"/>
    <w:rsid w:val="006D0F61"/>
    <w:rsid w:val="006D218E"/>
    <w:rsid w:val="006D2566"/>
    <w:rsid w:val="006D3556"/>
    <w:rsid w:val="006D455E"/>
    <w:rsid w:val="006D4E8D"/>
    <w:rsid w:val="006D54F2"/>
    <w:rsid w:val="006D56FC"/>
    <w:rsid w:val="006D602E"/>
    <w:rsid w:val="006E021E"/>
    <w:rsid w:val="006E0EC4"/>
    <w:rsid w:val="006E2255"/>
    <w:rsid w:val="006E265E"/>
    <w:rsid w:val="006E336F"/>
    <w:rsid w:val="006E39AE"/>
    <w:rsid w:val="006E3C5E"/>
    <w:rsid w:val="006E4A88"/>
    <w:rsid w:val="006E4D6E"/>
    <w:rsid w:val="006E6078"/>
    <w:rsid w:val="006E6F27"/>
    <w:rsid w:val="006E7528"/>
    <w:rsid w:val="006E7A8B"/>
    <w:rsid w:val="006F0215"/>
    <w:rsid w:val="006F0FD2"/>
    <w:rsid w:val="006F1554"/>
    <w:rsid w:val="006F23A5"/>
    <w:rsid w:val="006F2D6F"/>
    <w:rsid w:val="006F391C"/>
    <w:rsid w:val="006F3FA1"/>
    <w:rsid w:val="006F5ED8"/>
    <w:rsid w:val="006F6DCD"/>
    <w:rsid w:val="00701481"/>
    <w:rsid w:val="00701F35"/>
    <w:rsid w:val="007023FB"/>
    <w:rsid w:val="00702C0D"/>
    <w:rsid w:val="00703BC1"/>
    <w:rsid w:val="00703D43"/>
    <w:rsid w:val="007042C2"/>
    <w:rsid w:val="00704BE5"/>
    <w:rsid w:val="007053A8"/>
    <w:rsid w:val="007065A4"/>
    <w:rsid w:val="00706F86"/>
    <w:rsid w:val="00707666"/>
    <w:rsid w:val="0070768B"/>
    <w:rsid w:val="007077F9"/>
    <w:rsid w:val="0071087B"/>
    <w:rsid w:val="00710BBC"/>
    <w:rsid w:val="007111E4"/>
    <w:rsid w:val="00712E47"/>
    <w:rsid w:val="0071394C"/>
    <w:rsid w:val="00715228"/>
    <w:rsid w:val="007155AC"/>
    <w:rsid w:val="007156B4"/>
    <w:rsid w:val="0071599C"/>
    <w:rsid w:val="007160B8"/>
    <w:rsid w:val="007160B9"/>
    <w:rsid w:val="0071641B"/>
    <w:rsid w:val="0072144A"/>
    <w:rsid w:val="0072165F"/>
    <w:rsid w:val="0072182D"/>
    <w:rsid w:val="007222A6"/>
    <w:rsid w:val="007224A4"/>
    <w:rsid w:val="0072308E"/>
    <w:rsid w:val="0072516E"/>
    <w:rsid w:val="007251E6"/>
    <w:rsid w:val="00725626"/>
    <w:rsid w:val="00725F04"/>
    <w:rsid w:val="0072612E"/>
    <w:rsid w:val="00727599"/>
    <w:rsid w:val="00727902"/>
    <w:rsid w:val="00727F4E"/>
    <w:rsid w:val="0073075C"/>
    <w:rsid w:val="007315A4"/>
    <w:rsid w:val="007327C6"/>
    <w:rsid w:val="00732AC5"/>
    <w:rsid w:val="00733975"/>
    <w:rsid w:val="00733BC1"/>
    <w:rsid w:val="00734965"/>
    <w:rsid w:val="00734C2A"/>
    <w:rsid w:val="007359EC"/>
    <w:rsid w:val="00736E94"/>
    <w:rsid w:val="007373C3"/>
    <w:rsid w:val="007401F7"/>
    <w:rsid w:val="007403E5"/>
    <w:rsid w:val="00741483"/>
    <w:rsid w:val="007418D4"/>
    <w:rsid w:val="007419CA"/>
    <w:rsid w:val="00742839"/>
    <w:rsid w:val="00742C68"/>
    <w:rsid w:val="007459AE"/>
    <w:rsid w:val="007466C7"/>
    <w:rsid w:val="00746CF1"/>
    <w:rsid w:val="0074707B"/>
    <w:rsid w:val="00747D55"/>
    <w:rsid w:val="00750162"/>
    <w:rsid w:val="00750E4E"/>
    <w:rsid w:val="007513F5"/>
    <w:rsid w:val="00751EB4"/>
    <w:rsid w:val="00752AE9"/>
    <w:rsid w:val="007534FC"/>
    <w:rsid w:val="00754381"/>
    <w:rsid w:val="007557F7"/>
    <w:rsid w:val="00755ED2"/>
    <w:rsid w:val="00757AEA"/>
    <w:rsid w:val="00757C10"/>
    <w:rsid w:val="007605CC"/>
    <w:rsid w:val="00761BCB"/>
    <w:rsid w:val="0076276F"/>
    <w:rsid w:val="00763870"/>
    <w:rsid w:val="00763943"/>
    <w:rsid w:val="00764A7D"/>
    <w:rsid w:val="00765082"/>
    <w:rsid w:val="00767855"/>
    <w:rsid w:val="00767A4A"/>
    <w:rsid w:val="0077226E"/>
    <w:rsid w:val="0077298C"/>
    <w:rsid w:val="00773355"/>
    <w:rsid w:val="00773A05"/>
    <w:rsid w:val="0077461F"/>
    <w:rsid w:val="00774A0C"/>
    <w:rsid w:val="007756EE"/>
    <w:rsid w:val="00775ED3"/>
    <w:rsid w:val="00776E73"/>
    <w:rsid w:val="00780BF4"/>
    <w:rsid w:val="00780BFE"/>
    <w:rsid w:val="00782839"/>
    <w:rsid w:val="00782E88"/>
    <w:rsid w:val="0078340D"/>
    <w:rsid w:val="0078548B"/>
    <w:rsid w:val="007865BA"/>
    <w:rsid w:val="0079033E"/>
    <w:rsid w:val="007911D7"/>
    <w:rsid w:val="00791252"/>
    <w:rsid w:val="007921C0"/>
    <w:rsid w:val="00792DE6"/>
    <w:rsid w:val="007937D1"/>
    <w:rsid w:val="0079555E"/>
    <w:rsid w:val="007958DA"/>
    <w:rsid w:val="00795E92"/>
    <w:rsid w:val="00797EE2"/>
    <w:rsid w:val="007A02BC"/>
    <w:rsid w:val="007A04AB"/>
    <w:rsid w:val="007A085F"/>
    <w:rsid w:val="007A08F4"/>
    <w:rsid w:val="007A249A"/>
    <w:rsid w:val="007A2836"/>
    <w:rsid w:val="007A5908"/>
    <w:rsid w:val="007A5ED1"/>
    <w:rsid w:val="007A647B"/>
    <w:rsid w:val="007A6852"/>
    <w:rsid w:val="007B067B"/>
    <w:rsid w:val="007B105B"/>
    <w:rsid w:val="007B11C7"/>
    <w:rsid w:val="007B3751"/>
    <w:rsid w:val="007B3982"/>
    <w:rsid w:val="007B3C9D"/>
    <w:rsid w:val="007B4460"/>
    <w:rsid w:val="007B5A55"/>
    <w:rsid w:val="007B5E25"/>
    <w:rsid w:val="007B6C4B"/>
    <w:rsid w:val="007B79D5"/>
    <w:rsid w:val="007B7BD9"/>
    <w:rsid w:val="007C0709"/>
    <w:rsid w:val="007C0945"/>
    <w:rsid w:val="007C1574"/>
    <w:rsid w:val="007C2A9C"/>
    <w:rsid w:val="007C3005"/>
    <w:rsid w:val="007C4441"/>
    <w:rsid w:val="007C4A15"/>
    <w:rsid w:val="007C5F6E"/>
    <w:rsid w:val="007C7218"/>
    <w:rsid w:val="007C7E40"/>
    <w:rsid w:val="007D0CE0"/>
    <w:rsid w:val="007D1196"/>
    <w:rsid w:val="007D12E1"/>
    <w:rsid w:val="007D1333"/>
    <w:rsid w:val="007D14B4"/>
    <w:rsid w:val="007D15C2"/>
    <w:rsid w:val="007D172F"/>
    <w:rsid w:val="007D40C9"/>
    <w:rsid w:val="007D40D6"/>
    <w:rsid w:val="007D421A"/>
    <w:rsid w:val="007D4AC2"/>
    <w:rsid w:val="007D4D57"/>
    <w:rsid w:val="007D5A34"/>
    <w:rsid w:val="007D61DC"/>
    <w:rsid w:val="007D61EB"/>
    <w:rsid w:val="007D67AF"/>
    <w:rsid w:val="007D6A87"/>
    <w:rsid w:val="007D6CED"/>
    <w:rsid w:val="007D6EE0"/>
    <w:rsid w:val="007D73F4"/>
    <w:rsid w:val="007D7875"/>
    <w:rsid w:val="007D7FC6"/>
    <w:rsid w:val="007E0790"/>
    <w:rsid w:val="007E1839"/>
    <w:rsid w:val="007E2283"/>
    <w:rsid w:val="007E22D5"/>
    <w:rsid w:val="007E29D7"/>
    <w:rsid w:val="007E3030"/>
    <w:rsid w:val="007E3870"/>
    <w:rsid w:val="007E3D76"/>
    <w:rsid w:val="007E4490"/>
    <w:rsid w:val="007E5812"/>
    <w:rsid w:val="007E592E"/>
    <w:rsid w:val="007E5B96"/>
    <w:rsid w:val="007E69D3"/>
    <w:rsid w:val="007E6EE4"/>
    <w:rsid w:val="007E7BFC"/>
    <w:rsid w:val="007F0817"/>
    <w:rsid w:val="007F4363"/>
    <w:rsid w:val="007F66CD"/>
    <w:rsid w:val="007F6D04"/>
    <w:rsid w:val="007F6DBA"/>
    <w:rsid w:val="007F7616"/>
    <w:rsid w:val="007F76CD"/>
    <w:rsid w:val="007F76D9"/>
    <w:rsid w:val="00802116"/>
    <w:rsid w:val="00802516"/>
    <w:rsid w:val="0080567F"/>
    <w:rsid w:val="00806A2E"/>
    <w:rsid w:val="008070E4"/>
    <w:rsid w:val="00807AF6"/>
    <w:rsid w:val="00810D85"/>
    <w:rsid w:val="0081233F"/>
    <w:rsid w:val="00813326"/>
    <w:rsid w:val="008139B1"/>
    <w:rsid w:val="00813A45"/>
    <w:rsid w:val="00813EC2"/>
    <w:rsid w:val="008150E0"/>
    <w:rsid w:val="00815809"/>
    <w:rsid w:val="00815F95"/>
    <w:rsid w:val="00816A4F"/>
    <w:rsid w:val="008176CC"/>
    <w:rsid w:val="00817A1C"/>
    <w:rsid w:val="00817BFD"/>
    <w:rsid w:val="0082040F"/>
    <w:rsid w:val="008224D9"/>
    <w:rsid w:val="00822ACC"/>
    <w:rsid w:val="00822F77"/>
    <w:rsid w:val="008238D2"/>
    <w:rsid w:val="00824206"/>
    <w:rsid w:val="00824D20"/>
    <w:rsid w:val="00825165"/>
    <w:rsid w:val="008252BB"/>
    <w:rsid w:val="0082553A"/>
    <w:rsid w:val="00826054"/>
    <w:rsid w:val="00827F5C"/>
    <w:rsid w:val="00831113"/>
    <w:rsid w:val="00831B8F"/>
    <w:rsid w:val="008354D4"/>
    <w:rsid w:val="00835B72"/>
    <w:rsid w:val="00835FEB"/>
    <w:rsid w:val="00840899"/>
    <w:rsid w:val="00842049"/>
    <w:rsid w:val="00842541"/>
    <w:rsid w:val="00842679"/>
    <w:rsid w:val="008438E4"/>
    <w:rsid w:val="008447BD"/>
    <w:rsid w:val="0084637B"/>
    <w:rsid w:val="00846DE5"/>
    <w:rsid w:val="00847F31"/>
    <w:rsid w:val="00850302"/>
    <w:rsid w:val="008505FB"/>
    <w:rsid w:val="0085225B"/>
    <w:rsid w:val="00854321"/>
    <w:rsid w:val="00854B08"/>
    <w:rsid w:val="0085504C"/>
    <w:rsid w:val="0085527C"/>
    <w:rsid w:val="00855517"/>
    <w:rsid w:val="008556CD"/>
    <w:rsid w:val="00855D2F"/>
    <w:rsid w:val="008562E2"/>
    <w:rsid w:val="00856C76"/>
    <w:rsid w:val="00860013"/>
    <w:rsid w:val="00860B4E"/>
    <w:rsid w:val="0086165F"/>
    <w:rsid w:val="00862631"/>
    <w:rsid w:val="00863953"/>
    <w:rsid w:val="00863E4E"/>
    <w:rsid w:val="00863E6A"/>
    <w:rsid w:val="008646D3"/>
    <w:rsid w:val="008657F7"/>
    <w:rsid w:val="00870DE9"/>
    <w:rsid w:val="0087291F"/>
    <w:rsid w:val="008739F6"/>
    <w:rsid w:val="00874031"/>
    <w:rsid w:val="0087429D"/>
    <w:rsid w:val="00874635"/>
    <w:rsid w:val="00876685"/>
    <w:rsid w:val="0087698B"/>
    <w:rsid w:val="008771A5"/>
    <w:rsid w:val="008775BF"/>
    <w:rsid w:val="00881425"/>
    <w:rsid w:val="008814F0"/>
    <w:rsid w:val="008817EE"/>
    <w:rsid w:val="0088266D"/>
    <w:rsid w:val="00885876"/>
    <w:rsid w:val="00885DA2"/>
    <w:rsid w:val="0088683C"/>
    <w:rsid w:val="00887979"/>
    <w:rsid w:val="00887A9B"/>
    <w:rsid w:val="008915F6"/>
    <w:rsid w:val="008917F0"/>
    <w:rsid w:val="008924DF"/>
    <w:rsid w:val="00892EDF"/>
    <w:rsid w:val="00892F82"/>
    <w:rsid w:val="0089305C"/>
    <w:rsid w:val="00893619"/>
    <w:rsid w:val="00894395"/>
    <w:rsid w:val="00895216"/>
    <w:rsid w:val="008977AC"/>
    <w:rsid w:val="00897CA5"/>
    <w:rsid w:val="008A0D5C"/>
    <w:rsid w:val="008A1572"/>
    <w:rsid w:val="008A1609"/>
    <w:rsid w:val="008A29F4"/>
    <w:rsid w:val="008A2DDD"/>
    <w:rsid w:val="008A3ABE"/>
    <w:rsid w:val="008A5AD9"/>
    <w:rsid w:val="008A5DE5"/>
    <w:rsid w:val="008A6841"/>
    <w:rsid w:val="008A68BA"/>
    <w:rsid w:val="008A6C5E"/>
    <w:rsid w:val="008A7272"/>
    <w:rsid w:val="008B0909"/>
    <w:rsid w:val="008B14C7"/>
    <w:rsid w:val="008B1B52"/>
    <w:rsid w:val="008B2BF0"/>
    <w:rsid w:val="008B31A0"/>
    <w:rsid w:val="008B3A37"/>
    <w:rsid w:val="008B3EBA"/>
    <w:rsid w:val="008B4137"/>
    <w:rsid w:val="008B432D"/>
    <w:rsid w:val="008B44B5"/>
    <w:rsid w:val="008B4647"/>
    <w:rsid w:val="008B5600"/>
    <w:rsid w:val="008B5729"/>
    <w:rsid w:val="008B6C99"/>
    <w:rsid w:val="008B6D2C"/>
    <w:rsid w:val="008B7834"/>
    <w:rsid w:val="008C0828"/>
    <w:rsid w:val="008C0F3D"/>
    <w:rsid w:val="008C1567"/>
    <w:rsid w:val="008C16E2"/>
    <w:rsid w:val="008C1A5F"/>
    <w:rsid w:val="008C1BE6"/>
    <w:rsid w:val="008C2152"/>
    <w:rsid w:val="008C392C"/>
    <w:rsid w:val="008C46CC"/>
    <w:rsid w:val="008C64C9"/>
    <w:rsid w:val="008C6DE7"/>
    <w:rsid w:val="008D094E"/>
    <w:rsid w:val="008D11BE"/>
    <w:rsid w:val="008D2E3B"/>
    <w:rsid w:val="008D2E7A"/>
    <w:rsid w:val="008D3579"/>
    <w:rsid w:val="008D3BAC"/>
    <w:rsid w:val="008D4A3C"/>
    <w:rsid w:val="008D4CF4"/>
    <w:rsid w:val="008D59E6"/>
    <w:rsid w:val="008D5C02"/>
    <w:rsid w:val="008D5DE5"/>
    <w:rsid w:val="008E0BDD"/>
    <w:rsid w:val="008E0BF0"/>
    <w:rsid w:val="008E2EFE"/>
    <w:rsid w:val="008E7C23"/>
    <w:rsid w:val="008E7F9B"/>
    <w:rsid w:val="008F0201"/>
    <w:rsid w:val="008F038B"/>
    <w:rsid w:val="008F1A0D"/>
    <w:rsid w:val="008F20BE"/>
    <w:rsid w:val="008F2D9F"/>
    <w:rsid w:val="008F4D67"/>
    <w:rsid w:val="008F75D3"/>
    <w:rsid w:val="008F7CA8"/>
    <w:rsid w:val="008F7EBF"/>
    <w:rsid w:val="0090106A"/>
    <w:rsid w:val="009011A2"/>
    <w:rsid w:val="00901A1B"/>
    <w:rsid w:val="00902A4A"/>
    <w:rsid w:val="00902DA8"/>
    <w:rsid w:val="00903E9A"/>
    <w:rsid w:val="009040C8"/>
    <w:rsid w:val="0090462E"/>
    <w:rsid w:val="00905F3B"/>
    <w:rsid w:val="0090643E"/>
    <w:rsid w:val="00910D4B"/>
    <w:rsid w:val="009132C8"/>
    <w:rsid w:val="00913ADC"/>
    <w:rsid w:val="00915449"/>
    <w:rsid w:val="00916694"/>
    <w:rsid w:val="00917D33"/>
    <w:rsid w:val="00920037"/>
    <w:rsid w:val="009200B8"/>
    <w:rsid w:val="00921E16"/>
    <w:rsid w:val="00922068"/>
    <w:rsid w:val="00922852"/>
    <w:rsid w:val="00924414"/>
    <w:rsid w:val="009258B0"/>
    <w:rsid w:val="009260B3"/>
    <w:rsid w:val="00926733"/>
    <w:rsid w:val="009268E5"/>
    <w:rsid w:val="00926A28"/>
    <w:rsid w:val="00926B07"/>
    <w:rsid w:val="00926D90"/>
    <w:rsid w:val="0092710C"/>
    <w:rsid w:val="0092722A"/>
    <w:rsid w:val="0093005E"/>
    <w:rsid w:val="00931725"/>
    <w:rsid w:val="00931750"/>
    <w:rsid w:val="00931976"/>
    <w:rsid w:val="009320F6"/>
    <w:rsid w:val="00934FD2"/>
    <w:rsid w:val="009361A4"/>
    <w:rsid w:val="009364C1"/>
    <w:rsid w:val="0093692E"/>
    <w:rsid w:val="00940BC8"/>
    <w:rsid w:val="00943733"/>
    <w:rsid w:val="00943B6D"/>
    <w:rsid w:val="009452CD"/>
    <w:rsid w:val="00946190"/>
    <w:rsid w:val="009462F6"/>
    <w:rsid w:val="00950829"/>
    <w:rsid w:val="009515A6"/>
    <w:rsid w:val="0095171B"/>
    <w:rsid w:val="00953A55"/>
    <w:rsid w:val="00960186"/>
    <w:rsid w:val="00960EC2"/>
    <w:rsid w:val="0096107C"/>
    <w:rsid w:val="00961DCA"/>
    <w:rsid w:val="0096216C"/>
    <w:rsid w:val="00963374"/>
    <w:rsid w:val="00963394"/>
    <w:rsid w:val="009639CE"/>
    <w:rsid w:val="00964E58"/>
    <w:rsid w:val="0096504C"/>
    <w:rsid w:val="00966085"/>
    <w:rsid w:val="00967D24"/>
    <w:rsid w:val="00971ACE"/>
    <w:rsid w:val="0097221F"/>
    <w:rsid w:val="00977458"/>
    <w:rsid w:val="00977B31"/>
    <w:rsid w:val="00977D61"/>
    <w:rsid w:val="00982413"/>
    <w:rsid w:val="009826F6"/>
    <w:rsid w:val="0098315A"/>
    <w:rsid w:val="00983505"/>
    <w:rsid w:val="00983EF4"/>
    <w:rsid w:val="009842FA"/>
    <w:rsid w:val="00984B2A"/>
    <w:rsid w:val="00985DD0"/>
    <w:rsid w:val="009863E7"/>
    <w:rsid w:val="0098663F"/>
    <w:rsid w:val="00986E26"/>
    <w:rsid w:val="00987963"/>
    <w:rsid w:val="0099093E"/>
    <w:rsid w:val="0099189B"/>
    <w:rsid w:val="00991A4C"/>
    <w:rsid w:val="00991EAD"/>
    <w:rsid w:val="00992B08"/>
    <w:rsid w:val="00992B9D"/>
    <w:rsid w:val="0099329B"/>
    <w:rsid w:val="0099399A"/>
    <w:rsid w:val="009946A5"/>
    <w:rsid w:val="009948C8"/>
    <w:rsid w:val="0099563D"/>
    <w:rsid w:val="00995E34"/>
    <w:rsid w:val="00996037"/>
    <w:rsid w:val="00996050"/>
    <w:rsid w:val="00996332"/>
    <w:rsid w:val="00997AAF"/>
    <w:rsid w:val="009A0150"/>
    <w:rsid w:val="009A12F5"/>
    <w:rsid w:val="009A182E"/>
    <w:rsid w:val="009A1E2C"/>
    <w:rsid w:val="009A20C4"/>
    <w:rsid w:val="009A2864"/>
    <w:rsid w:val="009A287B"/>
    <w:rsid w:val="009A3082"/>
    <w:rsid w:val="009A3ADD"/>
    <w:rsid w:val="009A4169"/>
    <w:rsid w:val="009A6ED6"/>
    <w:rsid w:val="009A7533"/>
    <w:rsid w:val="009B0581"/>
    <w:rsid w:val="009B1313"/>
    <w:rsid w:val="009B26C8"/>
    <w:rsid w:val="009B3A63"/>
    <w:rsid w:val="009B3A7A"/>
    <w:rsid w:val="009B47DA"/>
    <w:rsid w:val="009B4894"/>
    <w:rsid w:val="009B4BFC"/>
    <w:rsid w:val="009B4E94"/>
    <w:rsid w:val="009B4F00"/>
    <w:rsid w:val="009B510D"/>
    <w:rsid w:val="009B5CB9"/>
    <w:rsid w:val="009B6460"/>
    <w:rsid w:val="009B723E"/>
    <w:rsid w:val="009B74A7"/>
    <w:rsid w:val="009B74A9"/>
    <w:rsid w:val="009C0391"/>
    <w:rsid w:val="009C2058"/>
    <w:rsid w:val="009C4306"/>
    <w:rsid w:val="009C47A1"/>
    <w:rsid w:val="009C5667"/>
    <w:rsid w:val="009C59C9"/>
    <w:rsid w:val="009C60C0"/>
    <w:rsid w:val="009C74C0"/>
    <w:rsid w:val="009D0385"/>
    <w:rsid w:val="009D0C51"/>
    <w:rsid w:val="009D0F65"/>
    <w:rsid w:val="009D1FE6"/>
    <w:rsid w:val="009D4FDF"/>
    <w:rsid w:val="009D5E92"/>
    <w:rsid w:val="009D674D"/>
    <w:rsid w:val="009D68EB"/>
    <w:rsid w:val="009D6ADC"/>
    <w:rsid w:val="009E0035"/>
    <w:rsid w:val="009E12E5"/>
    <w:rsid w:val="009E1690"/>
    <w:rsid w:val="009E1950"/>
    <w:rsid w:val="009E21C0"/>
    <w:rsid w:val="009E29AC"/>
    <w:rsid w:val="009E2AF6"/>
    <w:rsid w:val="009E2E96"/>
    <w:rsid w:val="009E2F2E"/>
    <w:rsid w:val="009E3070"/>
    <w:rsid w:val="009E322D"/>
    <w:rsid w:val="009E4026"/>
    <w:rsid w:val="009E5C89"/>
    <w:rsid w:val="009E60A3"/>
    <w:rsid w:val="009E6CCE"/>
    <w:rsid w:val="009E71E1"/>
    <w:rsid w:val="009E7397"/>
    <w:rsid w:val="009E77D9"/>
    <w:rsid w:val="009F0C00"/>
    <w:rsid w:val="009F247A"/>
    <w:rsid w:val="009F25E1"/>
    <w:rsid w:val="009F56C5"/>
    <w:rsid w:val="009F5DD1"/>
    <w:rsid w:val="009F657A"/>
    <w:rsid w:val="009F6BC9"/>
    <w:rsid w:val="00A0021A"/>
    <w:rsid w:val="00A00BC2"/>
    <w:rsid w:val="00A012BC"/>
    <w:rsid w:val="00A0142A"/>
    <w:rsid w:val="00A0146C"/>
    <w:rsid w:val="00A0175B"/>
    <w:rsid w:val="00A01B75"/>
    <w:rsid w:val="00A01CD3"/>
    <w:rsid w:val="00A027DD"/>
    <w:rsid w:val="00A02AE1"/>
    <w:rsid w:val="00A02D56"/>
    <w:rsid w:val="00A04E8F"/>
    <w:rsid w:val="00A05482"/>
    <w:rsid w:val="00A055AB"/>
    <w:rsid w:val="00A05848"/>
    <w:rsid w:val="00A0646F"/>
    <w:rsid w:val="00A1111A"/>
    <w:rsid w:val="00A137B1"/>
    <w:rsid w:val="00A14FAF"/>
    <w:rsid w:val="00A16BA1"/>
    <w:rsid w:val="00A16C58"/>
    <w:rsid w:val="00A16DA5"/>
    <w:rsid w:val="00A172FD"/>
    <w:rsid w:val="00A172FE"/>
    <w:rsid w:val="00A17307"/>
    <w:rsid w:val="00A20137"/>
    <w:rsid w:val="00A20686"/>
    <w:rsid w:val="00A21878"/>
    <w:rsid w:val="00A24DDC"/>
    <w:rsid w:val="00A24DFA"/>
    <w:rsid w:val="00A24E22"/>
    <w:rsid w:val="00A25C9A"/>
    <w:rsid w:val="00A25DBD"/>
    <w:rsid w:val="00A2629F"/>
    <w:rsid w:val="00A27E5B"/>
    <w:rsid w:val="00A305D1"/>
    <w:rsid w:val="00A3098A"/>
    <w:rsid w:val="00A314CF"/>
    <w:rsid w:val="00A32C39"/>
    <w:rsid w:val="00A34AA7"/>
    <w:rsid w:val="00A3567D"/>
    <w:rsid w:val="00A35F6A"/>
    <w:rsid w:val="00A36758"/>
    <w:rsid w:val="00A36DE8"/>
    <w:rsid w:val="00A3779E"/>
    <w:rsid w:val="00A37B29"/>
    <w:rsid w:val="00A37E90"/>
    <w:rsid w:val="00A41E41"/>
    <w:rsid w:val="00A42726"/>
    <w:rsid w:val="00A42EAD"/>
    <w:rsid w:val="00A431CA"/>
    <w:rsid w:val="00A439AA"/>
    <w:rsid w:val="00A43EF7"/>
    <w:rsid w:val="00A43F76"/>
    <w:rsid w:val="00A44295"/>
    <w:rsid w:val="00A44DA6"/>
    <w:rsid w:val="00A44E46"/>
    <w:rsid w:val="00A45293"/>
    <w:rsid w:val="00A45996"/>
    <w:rsid w:val="00A46303"/>
    <w:rsid w:val="00A471AA"/>
    <w:rsid w:val="00A47504"/>
    <w:rsid w:val="00A50256"/>
    <w:rsid w:val="00A50264"/>
    <w:rsid w:val="00A50B63"/>
    <w:rsid w:val="00A510CE"/>
    <w:rsid w:val="00A512CE"/>
    <w:rsid w:val="00A5252B"/>
    <w:rsid w:val="00A534A9"/>
    <w:rsid w:val="00A54F4E"/>
    <w:rsid w:val="00A55AC9"/>
    <w:rsid w:val="00A56A1E"/>
    <w:rsid w:val="00A56A30"/>
    <w:rsid w:val="00A57363"/>
    <w:rsid w:val="00A579C4"/>
    <w:rsid w:val="00A600A3"/>
    <w:rsid w:val="00A60759"/>
    <w:rsid w:val="00A607F0"/>
    <w:rsid w:val="00A61AE3"/>
    <w:rsid w:val="00A61C5F"/>
    <w:rsid w:val="00A621A1"/>
    <w:rsid w:val="00A63276"/>
    <w:rsid w:val="00A635C5"/>
    <w:rsid w:val="00A64ED0"/>
    <w:rsid w:val="00A64FDB"/>
    <w:rsid w:val="00A657B2"/>
    <w:rsid w:val="00A6648C"/>
    <w:rsid w:val="00A67417"/>
    <w:rsid w:val="00A67418"/>
    <w:rsid w:val="00A67658"/>
    <w:rsid w:val="00A70445"/>
    <w:rsid w:val="00A712DC"/>
    <w:rsid w:val="00A71423"/>
    <w:rsid w:val="00A72743"/>
    <w:rsid w:val="00A74671"/>
    <w:rsid w:val="00A755B5"/>
    <w:rsid w:val="00A75C83"/>
    <w:rsid w:val="00A7696A"/>
    <w:rsid w:val="00A76F3F"/>
    <w:rsid w:val="00A77034"/>
    <w:rsid w:val="00A7726F"/>
    <w:rsid w:val="00A8003A"/>
    <w:rsid w:val="00A81481"/>
    <w:rsid w:val="00A81AD4"/>
    <w:rsid w:val="00A82CB1"/>
    <w:rsid w:val="00A83AC2"/>
    <w:rsid w:val="00A83DF8"/>
    <w:rsid w:val="00A848F1"/>
    <w:rsid w:val="00A84AAA"/>
    <w:rsid w:val="00A84CE6"/>
    <w:rsid w:val="00A87B7A"/>
    <w:rsid w:val="00A87C92"/>
    <w:rsid w:val="00A903B1"/>
    <w:rsid w:val="00A91476"/>
    <w:rsid w:val="00A92178"/>
    <w:rsid w:val="00A929FE"/>
    <w:rsid w:val="00A93028"/>
    <w:rsid w:val="00A936F2"/>
    <w:rsid w:val="00A937EF"/>
    <w:rsid w:val="00A94284"/>
    <w:rsid w:val="00A962B5"/>
    <w:rsid w:val="00A9674D"/>
    <w:rsid w:val="00A96F98"/>
    <w:rsid w:val="00A97318"/>
    <w:rsid w:val="00AA10AF"/>
    <w:rsid w:val="00AA1519"/>
    <w:rsid w:val="00AA1896"/>
    <w:rsid w:val="00AA3655"/>
    <w:rsid w:val="00AA46EB"/>
    <w:rsid w:val="00AA488D"/>
    <w:rsid w:val="00AA53FE"/>
    <w:rsid w:val="00AA6352"/>
    <w:rsid w:val="00AA6FCF"/>
    <w:rsid w:val="00AA752F"/>
    <w:rsid w:val="00AB1DFB"/>
    <w:rsid w:val="00AB2676"/>
    <w:rsid w:val="00AB37AD"/>
    <w:rsid w:val="00AB4DC4"/>
    <w:rsid w:val="00AB565B"/>
    <w:rsid w:val="00AB59AE"/>
    <w:rsid w:val="00AB5A36"/>
    <w:rsid w:val="00AB636E"/>
    <w:rsid w:val="00AB7682"/>
    <w:rsid w:val="00AC2623"/>
    <w:rsid w:val="00AC2954"/>
    <w:rsid w:val="00AC3CF7"/>
    <w:rsid w:val="00AC3ECA"/>
    <w:rsid w:val="00AC415B"/>
    <w:rsid w:val="00AC51D5"/>
    <w:rsid w:val="00AC68AF"/>
    <w:rsid w:val="00AC6B53"/>
    <w:rsid w:val="00AD0984"/>
    <w:rsid w:val="00AD1002"/>
    <w:rsid w:val="00AD1166"/>
    <w:rsid w:val="00AD226F"/>
    <w:rsid w:val="00AD2597"/>
    <w:rsid w:val="00AD32F6"/>
    <w:rsid w:val="00AD47B1"/>
    <w:rsid w:val="00AD7AC5"/>
    <w:rsid w:val="00AE09B4"/>
    <w:rsid w:val="00AE1331"/>
    <w:rsid w:val="00AE26C5"/>
    <w:rsid w:val="00AE2EE4"/>
    <w:rsid w:val="00AE3D2C"/>
    <w:rsid w:val="00AE4904"/>
    <w:rsid w:val="00AE4A04"/>
    <w:rsid w:val="00AE5F1B"/>
    <w:rsid w:val="00AE6569"/>
    <w:rsid w:val="00AE65BF"/>
    <w:rsid w:val="00AE70EF"/>
    <w:rsid w:val="00AE7B06"/>
    <w:rsid w:val="00AF06CC"/>
    <w:rsid w:val="00AF284A"/>
    <w:rsid w:val="00AF2B38"/>
    <w:rsid w:val="00AF2F7A"/>
    <w:rsid w:val="00AF3B89"/>
    <w:rsid w:val="00AF3FE2"/>
    <w:rsid w:val="00AF4179"/>
    <w:rsid w:val="00AF45EB"/>
    <w:rsid w:val="00AF4E61"/>
    <w:rsid w:val="00AF4F49"/>
    <w:rsid w:val="00AF5029"/>
    <w:rsid w:val="00AF5453"/>
    <w:rsid w:val="00AF5FCD"/>
    <w:rsid w:val="00AF60FB"/>
    <w:rsid w:val="00AF6C85"/>
    <w:rsid w:val="00B00994"/>
    <w:rsid w:val="00B00AB4"/>
    <w:rsid w:val="00B00CDE"/>
    <w:rsid w:val="00B00E33"/>
    <w:rsid w:val="00B01B72"/>
    <w:rsid w:val="00B01DAC"/>
    <w:rsid w:val="00B0220F"/>
    <w:rsid w:val="00B02933"/>
    <w:rsid w:val="00B030F0"/>
    <w:rsid w:val="00B03678"/>
    <w:rsid w:val="00B062E1"/>
    <w:rsid w:val="00B07D49"/>
    <w:rsid w:val="00B10ED0"/>
    <w:rsid w:val="00B119E6"/>
    <w:rsid w:val="00B11C0D"/>
    <w:rsid w:val="00B1459F"/>
    <w:rsid w:val="00B14D30"/>
    <w:rsid w:val="00B14E01"/>
    <w:rsid w:val="00B14EEF"/>
    <w:rsid w:val="00B15544"/>
    <w:rsid w:val="00B157B8"/>
    <w:rsid w:val="00B166DE"/>
    <w:rsid w:val="00B16946"/>
    <w:rsid w:val="00B17EAF"/>
    <w:rsid w:val="00B17FE2"/>
    <w:rsid w:val="00B216D9"/>
    <w:rsid w:val="00B2264F"/>
    <w:rsid w:val="00B22981"/>
    <w:rsid w:val="00B229F1"/>
    <w:rsid w:val="00B23BFD"/>
    <w:rsid w:val="00B25431"/>
    <w:rsid w:val="00B25D0F"/>
    <w:rsid w:val="00B271F4"/>
    <w:rsid w:val="00B30046"/>
    <w:rsid w:val="00B3008F"/>
    <w:rsid w:val="00B300F1"/>
    <w:rsid w:val="00B3075A"/>
    <w:rsid w:val="00B313D1"/>
    <w:rsid w:val="00B31E6B"/>
    <w:rsid w:val="00B32443"/>
    <w:rsid w:val="00B34346"/>
    <w:rsid w:val="00B3437D"/>
    <w:rsid w:val="00B3440E"/>
    <w:rsid w:val="00B3450B"/>
    <w:rsid w:val="00B368EE"/>
    <w:rsid w:val="00B372DA"/>
    <w:rsid w:val="00B37968"/>
    <w:rsid w:val="00B41334"/>
    <w:rsid w:val="00B41B3C"/>
    <w:rsid w:val="00B41EAF"/>
    <w:rsid w:val="00B4271B"/>
    <w:rsid w:val="00B42DB5"/>
    <w:rsid w:val="00B44CA5"/>
    <w:rsid w:val="00B44E1F"/>
    <w:rsid w:val="00B454FE"/>
    <w:rsid w:val="00B46403"/>
    <w:rsid w:val="00B46517"/>
    <w:rsid w:val="00B46531"/>
    <w:rsid w:val="00B4669C"/>
    <w:rsid w:val="00B5011D"/>
    <w:rsid w:val="00B51168"/>
    <w:rsid w:val="00B52855"/>
    <w:rsid w:val="00B53584"/>
    <w:rsid w:val="00B54E30"/>
    <w:rsid w:val="00B5562F"/>
    <w:rsid w:val="00B55B3D"/>
    <w:rsid w:val="00B55BB5"/>
    <w:rsid w:val="00B566EC"/>
    <w:rsid w:val="00B57D08"/>
    <w:rsid w:val="00B60D4D"/>
    <w:rsid w:val="00B61C3F"/>
    <w:rsid w:val="00B621A5"/>
    <w:rsid w:val="00B622DE"/>
    <w:rsid w:val="00B636E3"/>
    <w:rsid w:val="00B6418E"/>
    <w:rsid w:val="00B64FBA"/>
    <w:rsid w:val="00B6562A"/>
    <w:rsid w:val="00B659C4"/>
    <w:rsid w:val="00B65ABD"/>
    <w:rsid w:val="00B66AA1"/>
    <w:rsid w:val="00B7053A"/>
    <w:rsid w:val="00B70B0B"/>
    <w:rsid w:val="00B716BE"/>
    <w:rsid w:val="00B73F3B"/>
    <w:rsid w:val="00B743DE"/>
    <w:rsid w:val="00B77292"/>
    <w:rsid w:val="00B77B81"/>
    <w:rsid w:val="00B822CB"/>
    <w:rsid w:val="00B82A14"/>
    <w:rsid w:val="00B82AD1"/>
    <w:rsid w:val="00B83FC8"/>
    <w:rsid w:val="00B85E62"/>
    <w:rsid w:val="00B8629A"/>
    <w:rsid w:val="00B862B9"/>
    <w:rsid w:val="00B86412"/>
    <w:rsid w:val="00B86517"/>
    <w:rsid w:val="00B90418"/>
    <w:rsid w:val="00B91B3D"/>
    <w:rsid w:val="00B91FD6"/>
    <w:rsid w:val="00B923AC"/>
    <w:rsid w:val="00B92829"/>
    <w:rsid w:val="00B93839"/>
    <w:rsid w:val="00B93B6C"/>
    <w:rsid w:val="00B93E78"/>
    <w:rsid w:val="00B94606"/>
    <w:rsid w:val="00B94B81"/>
    <w:rsid w:val="00B94C5A"/>
    <w:rsid w:val="00B9595A"/>
    <w:rsid w:val="00B95ADF"/>
    <w:rsid w:val="00B95E23"/>
    <w:rsid w:val="00B96555"/>
    <w:rsid w:val="00B97167"/>
    <w:rsid w:val="00B978D6"/>
    <w:rsid w:val="00BA0645"/>
    <w:rsid w:val="00BA155A"/>
    <w:rsid w:val="00BA1A2E"/>
    <w:rsid w:val="00BA1B5A"/>
    <w:rsid w:val="00BA1D40"/>
    <w:rsid w:val="00BA1F61"/>
    <w:rsid w:val="00BA2270"/>
    <w:rsid w:val="00BA2891"/>
    <w:rsid w:val="00BA2B72"/>
    <w:rsid w:val="00BA4016"/>
    <w:rsid w:val="00BA47E6"/>
    <w:rsid w:val="00BA5BFE"/>
    <w:rsid w:val="00BA71E7"/>
    <w:rsid w:val="00BA7220"/>
    <w:rsid w:val="00BA7779"/>
    <w:rsid w:val="00BB06EE"/>
    <w:rsid w:val="00BB0D0F"/>
    <w:rsid w:val="00BB11DC"/>
    <w:rsid w:val="00BB187E"/>
    <w:rsid w:val="00BB2195"/>
    <w:rsid w:val="00BB297C"/>
    <w:rsid w:val="00BB3379"/>
    <w:rsid w:val="00BB369A"/>
    <w:rsid w:val="00BB5514"/>
    <w:rsid w:val="00BB664E"/>
    <w:rsid w:val="00BB7F00"/>
    <w:rsid w:val="00BC089B"/>
    <w:rsid w:val="00BC0A63"/>
    <w:rsid w:val="00BC0DAC"/>
    <w:rsid w:val="00BC285F"/>
    <w:rsid w:val="00BC3001"/>
    <w:rsid w:val="00BC3255"/>
    <w:rsid w:val="00BC4A1F"/>
    <w:rsid w:val="00BC4AC0"/>
    <w:rsid w:val="00BC6CF3"/>
    <w:rsid w:val="00BD027F"/>
    <w:rsid w:val="00BD13C0"/>
    <w:rsid w:val="00BD1EEB"/>
    <w:rsid w:val="00BD266B"/>
    <w:rsid w:val="00BD3066"/>
    <w:rsid w:val="00BD319B"/>
    <w:rsid w:val="00BD31F4"/>
    <w:rsid w:val="00BD3214"/>
    <w:rsid w:val="00BD3404"/>
    <w:rsid w:val="00BD4675"/>
    <w:rsid w:val="00BD477B"/>
    <w:rsid w:val="00BD67DD"/>
    <w:rsid w:val="00BD6CB7"/>
    <w:rsid w:val="00BD7871"/>
    <w:rsid w:val="00BD7F87"/>
    <w:rsid w:val="00BE2267"/>
    <w:rsid w:val="00BE349F"/>
    <w:rsid w:val="00BE46C3"/>
    <w:rsid w:val="00BE57A2"/>
    <w:rsid w:val="00BF09F5"/>
    <w:rsid w:val="00BF0F0B"/>
    <w:rsid w:val="00BF17F1"/>
    <w:rsid w:val="00BF2B01"/>
    <w:rsid w:val="00BF32E1"/>
    <w:rsid w:val="00BF37F7"/>
    <w:rsid w:val="00BF535A"/>
    <w:rsid w:val="00BF6C52"/>
    <w:rsid w:val="00BF7630"/>
    <w:rsid w:val="00C01018"/>
    <w:rsid w:val="00C012BD"/>
    <w:rsid w:val="00C02279"/>
    <w:rsid w:val="00C034D7"/>
    <w:rsid w:val="00C04CF0"/>
    <w:rsid w:val="00C04F28"/>
    <w:rsid w:val="00C0523C"/>
    <w:rsid w:val="00C070BF"/>
    <w:rsid w:val="00C07D20"/>
    <w:rsid w:val="00C10CDF"/>
    <w:rsid w:val="00C11389"/>
    <w:rsid w:val="00C11C4C"/>
    <w:rsid w:val="00C132A1"/>
    <w:rsid w:val="00C134B2"/>
    <w:rsid w:val="00C13F94"/>
    <w:rsid w:val="00C144CB"/>
    <w:rsid w:val="00C1522A"/>
    <w:rsid w:val="00C166E1"/>
    <w:rsid w:val="00C170D5"/>
    <w:rsid w:val="00C20847"/>
    <w:rsid w:val="00C20B86"/>
    <w:rsid w:val="00C20EB0"/>
    <w:rsid w:val="00C21CC0"/>
    <w:rsid w:val="00C21EE2"/>
    <w:rsid w:val="00C22336"/>
    <w:rsid w:val="00C22CA7"/>
    <w:rsid w:val="00C22FC2"/>
    <w:rsid w:val="00C230F7"/>
    <w:rsid w:val="00C24BE1"/>
    <w:rsid w:val="00C2598C"/>
    <w:rsid w:val="00C25F7F"/>
    <w:rsid w:val="00C25FA6"/>
    <w:rsid w:val="00C26DAC"/>
    <w:rsid w:val="00C27253"/>
    <w:rsid w:val="00C2794A"/>
    <w:rsid w:val="00C27AF1"/>
    <w:rsid w:val="00C27FB4"/>
    <w:rsid w:val="00C31A1F"/>
    <w:rsid w:val="00C3226B"/>
    <w:rsid w:val="00C337CB"/>
    <w:rsid w:val="00C33813"/>
    <w:rsid w:val="00C33D62"/>
    <w:rsid w:val="00C3419C"/>
    <w:rsid w:val="00C341DE"/>
    <w:rsid w:val="00C34E17"/>
    <w:rsid w:val="00C3528A"/>
    <w:rsid w:val="00C36EA0"/>
    <w:rsid w:val="00C37730"/>
    <w:rsid w:val="00C40E5E"/>
    <w:rsid w:val="00C43B45"/>
    <w:rsid w:val="00C43C34"/>
    <w:rsid w:val="00C442D5"/>
    <w:rsid w:val="00C45773"/>
    <w:rsid w:val="00C46D15"/>
    <w:rsid w:val="00C46D54"/>
    <w:rsid w:val="00C46E31"/>
    <w:rsid w:val="00C47FDB"/>
    <w:rsid w:val="00C50031"/>
    <w:rsid w:val="00C50398"/>
    <w:rsid w:val="00C5052E"/>
    <w:rsid w:val="00C51AB7"/>
    <w:rsid w:val="00C52E04"/>
    <w:rsid w:val="00C5376C"/>
    <w:rsid w:val="00C5411D"/>
    <w:rsid w:val="00C54B96"/>
    <w:rsid w:val="00C55B67"/>
    <w:rsid w:val="00C55BD5"/>
    <w:rsid w:val="00C562AE"/>
    <w:rsid w:val="00C56432"/>
    <w:rsid w:val="00C56F30"/>
    <w:rsid w:val="00C576DC"/>
    <w:rsid w:val="00C60BBC"/>
    <w:rsid w:val="00C61CC5"/>
    <w:rsid w:val="00C622DC"/>
    <w:rsid w:val="00C632B5"/>
    <w:rsid w:val="00C64882"/>
    <w:rsid w:val="00C64E18"/>
    <w:rsid w:val="00C64EEA"/>
    <w:rsid w:val="00C651F7"/>
    <w:rsid w:val="00C6525D"/>
    <w:rsid w:val="00C65DFD"/>
    <w:rsid w:val="00C670FD"/>
    <w:rsid w:val="00C673B4"/>
    <w:rsid w:val="00C67F6B"/>
    <w:rsid w:val="00C70533"/>
    <w:rsid w:val="00C71752"/>
    <w:rsid w:val="00C723BA"/>
    <w:rsid w:val="00C75713"/>
    <w:rsid w:val="00C771CD"/>
    <w:rsid w:val="00C77268"/>
    <w:rsid w:val="00C77721"/>
    <w:rsid w:val="00C803C6"/>
    <w:rsid w:val="00C81315"/>
    <w:rsid w:val="00C81909"/>
    <w:rsid w:val="00C8260E"/>
    <w:rsid w:val="00C8285A"/>
    <w:rsid w:val="00C83D23"/>
    <w:rsid w:val="00C84D03"/>
    <w:rsid w:val="00C84D82"/>
    <w:rsid w:val="00C8539C"/>
    <w:rsid w:val="00C858A3"/>
    <w:rsid w:val="00C85E62"/>
    <w:rsid w:val="00C86A4B"/>
    <w:rsid w:val="00C87908"/>
    <w:rsid w:val="00C90AF4"/>
    <w:rsid w:val="00C90D70"/>
    <w:rsid w:val="00C91169"/>
    <w:rsid w:val="00C91AA9"/>
    <w:rsid w:val="00C93F66"/>
    <w:rsid w:val="00C949F9"/>
    <w:rsid w:val="00C94BA0"/>
    <w:rsid w:val="00C95558"/>
    <w:rsid w:val="00C95744"/>
    <w:rsid w:val="00C95C43"/>
    <w:rsid w:val="00C96466"/>
    <w:rsid w:val="00C9646A"/>
    <w:rsid w:val="00C96F32"/>
    <w:rsid w:val="00C97AAE"/>
    <w:rsid w:val="00CA04B7"/>
    <w:rsid w:val="00CA0915"/>
    <w:rsid w:val="00CA1E1B"/>
    <w:rsid w:val="00CA2039"/>
    <w:rsid w:val="00CA2D6D"/>
    <w:rsid w:val="00CA4E2E"/>
    <w:rsid w:val="00CA54A8"/>
    <w:rsid w:val="00CA6619"/>
    <w:rsid w:val="00CA6656"/>
    <w:rsid w:val="00CB121B"/>
    <w:rsid w:val="00CB149F"/>
    <w:rsid w:val="00CB1953"/>
    <w:rsid w:val="00CB1A06"/>
    <w:rsid w:val="00CB1FDA"/>
    <w:rsid w:val="00CB22D3"/>
    <w:rsid w:val="00CB2507"/>
    <w:rsid w:val="00CB30C0"/>
    <w:rsid w:val="00CB32D0"/>
    <w:rsid w:val="00CB63E5"/>
    <w:rsid w:val="00CB6401"/>
    <w:rsid w:val="00CB7FC0"/>
    <w:rsid w:val="00CC0550"/>
    <w:rsid w:val="00CC08DA"/>
    <w:rsid w:val="00CC1BD2"/>
    <w:rsid w:val="00CC200C"/>
    <w:rsid w:val="00CC24F5"/>
    <w:rsid w:val="00CC2807"/>
    <w:rsid w:val="00CC4950"/>
    <w:rsid w:val="00CC4ECE"/>
    <w:rsid w:val="00CC54E8"/>
    <w:rsid w:val="00CC5B61"/>
    <w:rsid w:val="00CC5D62"/>
    <w:rsid w:val="00CC709E"/>
    <w:rsid w:val="00CC741A"/>
    <w:rsid w:val="00CC7E95"/>
    <w:rsid w:val="00CC7FF2"/>
    <w:rsid w:val="00CD0F7D"/>
    <w:rsid w:val="00CD13A1"/>
    <w:rsid w:val="00CD2638"/>
    <w:rsid w:val="00CD28C2"/>
    <w:rsid w:val="00CD3799"/>
    <w:rsid w:val="00CD534A"/>
    <w:rsid w:val="00CD53ED"/>
    <w:rsid w:val="00CD56A5"/>
    <w:rsid w:val="00CD5C25"/>
    <w:rsid w:val="00CD621A"/>
    <w:rsid w:val="00CD6305"/>
    <w:rsid w:val="00CD7138"/>
    <w:rsid w:val="00CD7997"/>
    <w:rsid w:val="00CD7EB1"/>
    <w:rsid w:val="00CE0330"/>
    <w:rsid w:val="00CE4909"/>
    <w:rsid w:val="00CE56E5"/>
    <w:rsid w:val="00CE6E8C"/>
    <w:rsid w:val="00CF0374"/>
    <w:rsid w:val="00CF0480"/>
    <w:rsid w:val="00CF11D4"/>
    <w:rsid w:val="00CF16CD"/>
    <w:rsid w:val="00CF310F"/>
    <w:rsid w:val="00CF4C00"/>
    <w:rsid w:val="00CF57F1"/>
    <w:rsid w:val="00CF5EAF"/>
    <w:rsid w:val="00CF7037"/>
    <w:rsid w:val="00D02E5F"/>
    <w:rsid w:val="00D0376D"/>
    <w:rsid w:val="00D03AE9"/>
    <w:rsid w:val="00D03B48"/>
    <w:rsid w:val="00D04B07"/>
    <w:rsid w:val="00D05A24"/>
    <w:rsid w:val="00D06222"/>
    <w:rsid w:val="00D06A16"/>
    <w:rsid w:val="00D07986"/>
    <w:rsid w:val="00D10816"/>
    <w:rsid w:val="00D121A9"/>
    <w:rsid w:val="00D1319D"/>
    <w:rsid w:val="00D144B5"/>
    <w:rsid w:val="00D1619B"/>
    <w:rsid w:val="00D169AD"/>
    <w:rsid w:val="00D17ED0"/>
    <w:rsid w:val="00D2027A"/>
    <w:rsid w:val="00D21613"/>
    <w:rsid w:val="00D21E12"/>
    <w:rsid w:val="00D2215B"/>
    <w:rsid w:val="00D222D1"/>
    <w:rsid w:val="00D22387"/>
    <w:rsid w:val="00D2393F"/>
    <w:rsid w:val="00D2466E"/>
    <w:rsid w:val="00D24807"/>
    <w:rsid w:val="00D2506F"/>
    <w:rsid w:val="00D26AC8"/>
    <w:rsid w:val="00D26D09"/>
    <w:rsid w:val="00D2710E"/>
    <w:rsid w:val="00D27929"/>
    <w:rsid w:val="00D27CEC"/>
    <w:rsid w:val="00D27F69"/>
    <w:rsid w:val="00D30C18"/>
    <w:rsid w:val="00D33F39"/>
    <w:rsid w:val="00D35729"/>
    <w:rsid w:val="00D35768"/>
    <w:rsid w:val="00D358B9"/>
    <w:rsid w:val="00D36134"/>
    <w:rsid w:val="00D36796"/>
    <w:rsid w:val="00D37772"/>
    <w:rsid w:val="00D37949"/>
    <w:rsid w:val="00D412C0"/>
    <w:rsid w:val="00D42890"/>
    <w:rsid w:val="00D42A97"/>
    <w:rsid w:val="00D43258"/>
    <w:rsid w:val="00D44302"/>
    <w:rsid w:val="00D446DE"/>
    <w:rsid w:val="00D448C9"/>
    <w:rsid w:val="00D50E00"/>
    <w:rsid w:val="00D51180"/>
    <w:rsid w:val="00D52718"/>
    <w:rsid w:val="00D52CEF"/>
    <w:rsid w:val="00D5343A"/>
    <w:rsid w:val="00D53699"/>
    <w:rsid w:val="00D53726"/>
    <w:rsid w:val="00D54864"/>
    <w:rsid w:val="00D54BA9"/>
    <w:rsid w:val="00D55B0D"/>
    <w:rsid w:val="00D566AF"/>
    <w:rsid w:val="00D57704"/>
    <w:rsid w:val="00D57B1A"/>
    <w:rsid w:val="00D609B6"/>
    <w:rsid w:val="00D60A03"/>
    <w:rsid w:val="00D60A87"/>
    <w:rsid w:val="00D60F2E"/>
    <w:rsid w:val="00D623E1"/>
    <w:rsid w:val="00D62C99"/>
    <w:rsid w:val="00D63997"/>
    <w:rsid w:val="00D63CCA"/>
    <w:rsid w:val="00D63D8F"/>
    <w:rsid w:val="00D6416B"/>
    <w:rsid w:val="00D64423"/>
    <w:rsid w:val="00D65AFF"/>
    <w:rsid w:val="00D667C4"/>
    <w:rsid w:val="00D67C8F"/>
    <w:rsid w:val="00D67F55"/>
    <w:rsid w:val="00D705D0"/>
    <w:rsid w:val="00D70742"/>
    <w:rsid w:val="00D70D8F"/>
    <w:rsid w:val="00D71164"/>
    <w:rsid w:val="00D71FF7"/>
    <w:rsid w:val="00D72B0E"/>
    <w:rsid w:val="00D74A16"/>
    <w:rsid w:val="00D755D0"/>
    <w:rsid w:val="00D75B9F"/>
    <w:rsid w:val="00D768D4"/>
    <w:rsid w:val="00D76F0A"/>
    <w:rsid w:val="00D772F6"/>
    <w:rsid w:val="00D817E7"/>
    <w:rsid w:val="00D8326D"/>
    <w:rsid w:val="00D8521B"/>
    <w:rsid w:val="00D85E1B"/>
    <w:rsid w:val="00D87B38"/>
    <w:rsid w:val="00D901C0"/>
    <w:rsid w:val="00D91178"/>
    <w:rsid w:val="00D911E5"/>
    <w:rsid w:val="00D928BC"/>
    <w:rsid w:val="00D93842"/>
    <w:rsid w:val="00D9665D"/>
    <w:rsid w:val="00DA0522"/>
    <w:rsid w:val="00DA087A"/>
    <w:rsid w:val="00DA0F2D"/>
    <w:rsid w:val="00DA2A0B"/>
    <w:rsid w:val="00DA3172"/>
    <w:rsid w:val="00DA34CF"/>
    <w:rsid w:val="00DA42FB"/>
    <w:rsid w:val="00DA4E96"/>
    <w:rsid w:val="00DA50D8"/>
    <w:rsid w:val="00DA5322"/>
    <w:rsid w:val="00DA571A"/>
    <w:rsid w:val="00DA5CD6"/>
    <w:rsid w:val="00DB055E"/>
    <w:rsid w:val="00DB06AF"/>
    <w:rsid w:val="00DB1844"/>
    <w:rsid w:val="00DB3B59"/>
    <w:rsid w:val="00DB3DB8"/>
    <w:rsid w:val="00DB76E3"/>
    <w:rsid w:val="00DB7C54"/>
    <w:rsid w:val="00DC0ACC"/>
    <w:rsid w:val="00DC1A1F"/>
    <w:rsid w:val="00DC1CF8"/>
    <w:rsid w:val="00DC3338"/>
    <w:rsid w:val="00DC352D"/>
    <w:rsid w:val="00DC39E2"/>
    <w:rsid w:val="00DC4E85"/>
    <w:rsid w:val="00DC507A"/>
    <w:rsid w:val="00DC50EE"/>
    <w:rsid w:val="00DC5141"/>
    <w:rsid w:val="00DC7124"/>
    <w:rsid w:val="00DC74C1"/>
    <w:rsid w:val="00DC78E2"/>
    <w:rsid w:val="00DD177C"/>
    <w:rsid w:val="00DD1FEE"/>
    <w:rsid w:val="00DD222C"/>
    <w:rsid w:val="00DD2BF0"/>
    <w:rsid w:val="00DD388D"/>
    <w:rsid w:val="00DD4ADD"/>
    <w:rsid w:val="00DD4F15"/>
    <w:rsid w:val="00DD6A1D"/>
    <w:rsid w:val="00DD70FA"/>
    <w:rsid w:val="00DD748E"/>
    <w:rsid w:val="00DE280B"/>
    <w:rsid w:val="00DE2B20"/>
    <w:rsid w:val="00DE359A"/>
    <w:rsid w:val="00DE4A86"/>
    <w:rsid w:val="00DE4BF8"/>
    <w:rsid w:val="00DE5161"/>
    <w:rsid w:val="00DE53AB"/>
    <w:rsid w:val="00DE620B"/>
    <w:rsid w:val="00DE72D6"/>
    <w:rsid w:val="00DE7BFC"/>
    <w:rsid w:val="00DF19E9"/>
    <w:rsid w:val="00DF1B5D"/>
    <w:rsid w:val="00DF2097"/>
    <w:rsid w:val="00DF2209"/>
    <w:rsid w:val="00DF220C"/>
    <w:rsid w:val="00DF26B7"/>
    <w:rsid w:val="00DF2C6E"/>
    <w:rsid w:val="00DF389F"/>
    <w:rsid w:val="00DF3B96"/>
    <w:rsid w:val="00DF6F6A"/>
    <w:rsid w:val="00E01970"/>
    <w:rsid w:val="00E01DC8"/>
    <w:rsid w:val="00E02E98"/>
    <w:rsid w:val="00E04173"/>
    <w:rsid w:val="00E05D9D"/>
    <w:rsid w:val="00E062B2"/>
    <w:rsid w:val="00E070D7"/>
    <w:rsid w:val="00E12645"/>
    <w:rsid w:val="00E1327F"/>
    <w:rsid w:val="00E14AE5"/>
    <w:rsid w:val="00E16BEC"/>
    <w:rsid w:val="00E1750D"/>
    <w:rsid w:val="00E22BFF"/>
    <w:rsid w:val="00E23FF4"/>
    <w:rsid w:val="00E24376"/>
    <w:rsid w:val="00E24F31"/>
    <w:rsid w:val="00E24FAC"/>
    <w:rsid w:val="00E24FE0"/>
    <w:rsid w:val="00E261BA"/>
    <w:rsid w:val="00E26ED2"/>
    <w:rsid w:val="00E27878"/>
    <w:rsid w:val="00E27D6F"/>
    <w:rsid w:val="00E302D7"/>
    <w:rsid w:val="00E30DBA"/>
    <w:rsid w:val="00E31AFA"/>
    <w:rsid w:val="00E31BB7"/>
    <w:rsid w:val="00E31D7C"/>
    <w:rsid w:val="00E32155"/>
    <w:rsid w:val="00E32887"/>
    <w:rsid w:val="00E35527"/>
    <w:rsid w:val="00E365B5"/>
    <w:rsid w:val="00E37836"/>
    <w:rsid w:val="00E4066F"/>
    <w:rsid w:val="00E407F4"/>
    <w:rsid w:val="00E41528"/>
    <w:rsid w:val="00E41DC0"/>
    <w:rsid w:val="00E42E19"/>
    <w:rsid w:val="00E42FA9"/>
    <w:rsid w:val="00E43362"/>
    <w:rsid w:val="00E43449"/>
    <w:rsid w:val="00E44B07"/>
    <w:rsid w:val="00E44B3B"/>
    <w:rsid w:val="00E44EE8"/>
    <w:rsid w:val="00E454DF"/>
    <w:rsid w:val="00E459A3"/>
    <w:rsid w:val="00E45C48"/>
    <w:rsid w:val="00E45E85"/>
    <w:rsid w:val="00E45FC6"/>
    <w:rsid w:val="00E46356"/>
    <w:rsid w:val="00E466C6"/>
    <w:rsid w:val="00E47B9E"/>
    <w:rsid w:val="00E5190F"/>
    <w:rsid w:val="00E51ACB"/>
    <w:rsid w:val="00E5449B"/>
    <w:rsid w:val="00E5487D"/>
    <w:rsid w:val="00E54E97"/>
    <w:rsid w:val="00E55871"/>
    <w:rsid w:val="00E56050"/>
    <w:rsid w:val="00E561CB"/>
    <w:rsid w:val="00E562B4"/>
    <w:rsid w:val="00E56D62"/>
    <w:rsid w:val="00E60EAF"/>
    <w:rsid w:val="00E6224D"/>
    <w:rsid w:val="00E627CA"/>
    <w:rsid w:val="00E63A81"/>
    <w:rsid w:val="00E6531A"/>
    <w:rsid w:val="00E667A1"/>
    <w:rsid w:val="00E674D4"/>
    <w:rsid w:val="00E7167A"/>
    <w:rsid w:val="00E71D1A"/>
    <w:rsid w:val="00E71D7B"/>
    <w:rsid w:val="00E71F77"/>
    <w:rsid w:val="00E725CC"/>
    <w:rsid w:val="00E7291E"/>
    <w:rsid w:val="00E72A82"/>
    <w:rsid w:val="00E749E6"/>
    <w:rsid w:val="00E7639A"/>
    <w:rsid w:val="00E76D78"/>
    <w:rsid w:val="00E76F6F"/>
    <w:rsid w:val="00E77D09"/>
    <w:rsid w:val="00E77EF3"/>
    <w:rsid w:val="00E81604"/>
    <w:rsid w:val="00E81D5A"/>
    <w:rsid w:val="00E822B6"/>
    <w:rsid w:val="00E823D9"/>
    <w:rsid w:val="00E82605"/>
    <w:rsid w:val="00E82F5E"/>
    <w:rsid w:val="00E8351D"/>
    <w:rsid w:val="00E848BD"/>
    <w:rsid w:val="00E8541B"/>
    <w:rsid w:val="00E860E7"/>
    <w:rsid w:val="00E86125"/>
    <w:rsid w:val="00E8684D"/>
    <w:rsid w:val="00E86EC4"/>
    <w:rsid w:val="00E877E5"/>
    <w:rsid w:val="00E902B7"/>
    <w:rsid w:val="00E90579"/>
    <w:rsid w:val="00E907C7"/>
    <w:rsid w:val="00E91BCF"/>
    <w:rsid w:val="00E921C5"/>
    <w:rsid w:val="00E928AB"/>
    <w:rsid w:val="00E92FE4"/>
    <w:rsid w:val="00E93DBA"/>
    <w:rsid w:val="00E94A91"/>
    <w:rsid w:val="00E9614C"/>
    <w:rsid w:val="00E965D2"/>
    <w:rsid w:val="00E96CCD"/>
    <w:rsid w:val="00E96F7F"/>
    <w:rsid w:val="00EA05B8"/>
    <w:rsid w:val="00EA121F"/>
    <w:rsid w:val="00EA1E7B"/>
    <w:rsid w:val="00EA245B"/>
    <w:rsid w:val="00EA28CF"/>
    <w:rsid w:val="00EA2CFB"/>
    <w:rsid w:val="00EA341A"/>
    <w:rsid w:val="00EA3684"/>
    <w:rsid w:val="00EA40D0"/>
    <w:rsid w:val="00EA5C3B"/>
    <w:rsid w:val="00EA5E9C"/>
    <w:rsid w:val="00EA6AB8"/>
    <w:rsid w:val="00EA76EC"/>
    <w:rsid w:val="00EA7B76"/>
    <w:rsid w:val="00EB0033"/>
    <w:rsid w:val="00EB068A"/>
    <w:rsid w:val="00EB0ACA"/>
    <w:rsid w:val="00EB32CE"/>
    <w:rsid w:val="00EB358F"/>
    <w:rsid w:val="00EB35BA"/>
    <w:rsid w:val="00EB6ABF"/>
    <w:rsid w:val="00EB793E"/>
    <w:rsid w:val="00EC0543"/>
    <w:rsid w:val="00EC1AFC"/>
    <w:rsid w:val="00EC1D57"/>
    <w:rsid w:val="00EC25DB"/>
    <w:rsid w:val="00EC296C"/>
    <w:rsid w:val="00EC2F39"/>
    <w:rsid w:val="00EC2FD9"/>
    <w:rsid w:val="00EC33AA"/>
    <w:rsid w:val="00EC3B67"/>
    <w:rsid w:val="00EC3F01"/>
    <w:rsid w:val="00EC56D8"/>
    <w:rsid w:val="00EC57A9"/>
    <w:rsid w:val="00EC6944"/>
    <w:rsid w:val="00EC6A75"/>
    <w:rsid w:val="00EC6D93"/>
    <w:rsid w:val="00EC7201"/>
    <w:rsid w:val="00EC7798"/>
    <w:rsid w:val="00EC7F9C"/>
    <w:rsid w:val="00ED0BAB"/>
    <w:rsid w:val="00ED1076"/>
    <w:rsid w:val="00ED13CF"/>
    <w:rsid w:val="00ED1F90"/>
    <w:rsid w:val="00ED206B"/>
    <w:rsid w:val="00ED4665"/>
    <w:rsid w:val="00ED5745"/>
    <w:rsid w:val="00ED78F6"/>
    <w:rsid w:val="00ED7AAC"/>
    <w:rsid w:val="00ED7E59"/>
    <w:rsid w:val="00EE0E6E"/>
    <w:rsid w:val="00EE2435"/>
    <w:rsid w:val="00EE30D3"/>
    <w:rsid w:val="00EE3160"/>
    <w:rsid w:val="00EE4838"/>
    <w:rsid w:val="00EE4A29"/>
    <w:rsid w:val="00EE633A"/>
    <w:rsid w:val="00EE6DC8"/>
    <w:rsid w:val="00EE742E"/>
    <w:rsid w:val="00EF041F"/>
    <w:rsid w:val="00EF1E55"/>
    <w:rsid w:val="00EF21DF"/>
    <w:rsid w:val="00EF2934"/>
    <w:rsid w:val="00EF3FF7"/>
    <w:rsid w:val="00EF4627"/>
    <w:rsid w:val="00EF4D5B"/>
    <w:rsid w:val="00EF63F5"/>
    <w:rsid w:val="00EF6DEC"/>
    <w:rsid w:val="00EF7DEC"/>
    <w:rsid w:val="00F00845"/>
    <w:rsid w:val="00F02A2C"/>
    <w:rsid w:val="00F03534"/>
    <w:rsid w:val="00F0421E"/>
    <w:rsid w:val="00F05FC5"/>
    <w:rsid w:val="00F06C81"/>
    <w:rsid w:val="00F06EDD"/>
    <w:rsid w:val="00F072F2"/>
    <w:rsid w:val="00F07914"/>
    <w:rsid w:val="00F10D4C"/>
    <w:rsid w:val="00F1166D"/>
    <w:rsid w:val="00F12B29"/>
    <w:rsid w:val="00F1327F"/>
    <w:rsid w:val="00F13296"/>
    <w:rsid w:val="00F132E5"/>
    <w:rsid w:val="00F1331B"/>
    <w:rsid w:val="00F1389C"/>
    <w:rsid w:val="00F13D68"/>
    <w:rsid w:val="00F140BC"/>
    <w:rsid w:val="00F146AC"/>
    <w:rsid w:val="00F15E6F"/>
    <w:rsid w:val="00F1620A"/>
    <w:rsid w:val="00F1749C"/>
    <w:rsid w:val="00F179D8"/>
    <w:rsid w:val="00F17C86"/>
    <w:rsid w:val="00F21CEF"/>
    <w:rsid w:val="00F222EE"/>
    <w:rsid w:val="00F22339"/>
    <w:rsid w:val="00F224F0"/>
    <w:rsid w:val="00F233B8"/>
    <w:rsid w:val="00F2394E"/>
    <w:rsid w:val="00F23CD1"/>
    <w:rsid w:val="00F24EB0"/>
    <w:rsid w:val="00F26631"/>
    <w:rsid w:val="00F2763A"/>
    <w:rsid w:val="00F30571"/>
    <w:rsid w:val="00F30BD8"/>
    <w:rsid w:val="00F31004"/>
    <w:rsid w:val="00F312C5"/>
    <w:rsid w:val="00F316B9"/>
    <w:rsid w:val="00F31CA9"/>
    <w:rsid w:val="00F32810"/>
    <w:rsid w:val="00F3286A"/>
    <w:rsid w:val="00F3287F"/>
    <w:rsid w:val="00F32E2B"/>
    <w:rsid w:val="00F33AE4"/>
    <w:rsid w:val="00F3443F"/>
    <w:rsid w:val="00F34A1F"/>
    <w:rsid w:val="00F36511"/>
    <w:rsid w:val="00F36E3C"/>
    <w:rsid w:val="00F3792C"/>
    <w:rsid w:val="00F37C13"/>
    <w:rsid w:val="00F37F62"/>
    <w:rsid w:val="00F40191"/>
    <w:rsid w:val="00F4021D"/>
    <w:rsid w:val="00F404EE"/>
    <w:rsid w:val="00F40B60"/>
    <w:rsid w:val="00F41785"/>
    <w:rsid w:val="00F42066"/>
    <w:rsid w:val="00F42678"/>
    <w:rsid w:val="00F43C6B"/>
    <w:rsid w:val="00F4405E"/>
    <w:rsid w:val="00F445F9"/>
    <w:rsid w:val="00F45CAF"/>
    <w:rsid w:val="00F46C9F"/>
    <w:rsid w:val="00F50824"/>
    <w:rsid w:val="00F52772"/>
    <w:rsid w:val="00F53924"/>
    <w:rsid w:val="00F54045"/>
    <w:rsid w:val="00F55D31"/>
    <w:rsid w:val="00F605EB"/>
    <w:rsid w:val="00F60920"/>
    <w:rsid w:val="00F6122A"/>
    <w:rsid w:val="00F61310"/>
    <w:rsid w:val="00F62983"/>
    <w:rsid w:val="00F636D1"/>
    <w:rsid w:val="00F64BFF"/>
    <w:rsid w:val="00F64C4D"/>
    <w:rsid w:val="00F64DCE"/>
    <w:rsid w:val="00F65126"/>
    <w:rsid w:val="00F65D46"/>
    <w:rsid w:val="00F66824"/>
    <w:rsid w:val="00F670AC"/>
    <w:rsid w:val="00F70DB8"/>
    <w:rsid w:val="00F74586"/>
    <w:rsid w:val="00F74D1D"/>
    <w:rsid w:val="00F74EC8"/>
    <w:rsid w:val="00F75F96"/>
    <w:rsid w:val="00F7666B"/>
    <w:rsid w:val="00F77471"/>
    <w:rsid w:val="00F775FE"/>
    <w:rsid w:val="00F80A85"/>
    <w:rsid w:val="00F80D2F"/>
    <w:rsid w:val="00F814AA"/>
    <w:rsid w:val="00F82528"/>
    <w:rsid w:val="00F828DD"/>
    <w:rsid w:val="00F84445"/>
    <w:rsid w:val="00F853EC"/>
    <w:rsid w:val="00F8765D"/>
    <w:rsid w:val="00F90723"/>
    <w:rsid w:val="00F90A7B"/>
    <w:rsid w:val="00F91DF4"/>
    <w:rsid w:val="00F94C77"/>
    <w:rsid w:val="00F95B31"/>
    <w:rsid w:val="00F97061"/>
    <w:rsid w:val="00F97CEE"/>
    <w:rsid w:val="00F97D62"/>
    <w:rsid w:val="00FA5308"/>
    <w:rsid w:val="00FB0EB7"/>
    <w:rsid w:val="00FB148A"/>
    <w:rsid w:val="00FB2467"/>
    <w:rsid w:val="00FB2B90"/>
    <w:rsid w:val="00FB3C88"/>
    <w:rsid w:val="00FB5DE1"/>
    <w:rsid w:val="00FB6ED5"/>
    <w:rsid w:val="00FB6F11"/>
    <w:rsid w:val="00FC0A45"/>
    <w:rsid w:val="00FC1E80"/>
    <w:rsid w:val="00FC33F7"/>
    <w:rsid w:val="00FC3FAF"/>
    <w:rsid w:val="00FC41FD"/>
    <w:rsid w:val="00FC464E"/>
    <w:rsid w:val="00FC4862"/>
    <w:rsid w:val="00FC5994"/>
    <w:rsid w:val="00FC5B19"/>
    <w:rsid w:val="00FC670B"/>
    <w:rsid w:val="00FC725F"/>
    <w:rsid w:val="00FC7A32"/>
    <w:rsid w:val="00FC7B98"/>
    <w:rsid w:val="00FD078F"/>
    <w:rsid w:val="00FD0856"/>
    <w:rsid w:val="00FD0F2F"/>
    <w:rsid w:val="00FD112A"/>
    <w:rsid w:val="00FD1CF4"/>
    <w:rsid w:val="00FD2252"/>
    <w:rsid w:val="00FD24DE"/>
    <w:rsid w:val="00FD290D"/>
    <w:rsid w:val="00FD2B7C"/>
    <w:rsid w:val="00FD2D05"/>
    <w:rsid w:val="00FD3DDB"/>
    <w:rsid w:val="00FD4FB1"/>
    <w:rsid w:val="00FD72DE"/>
    <w:rsid w:val="00FE08F5"/>
    <w:rsid w:val="00FE0E36"/>
    <w:rsid w:val="00FE12C8"/>
    <w:rsid w:val="00FE1824"/>
    <w:rsid w:val="00FE326C"/>
    <w:rsid w:val="00FE333A"/>
    <w:rsid w:val="00FE3367"/>
    <w:rsid w:val="00FE38AE"/>
    <w:rsid w:val="00FE5384"/>
    <w:rsid w:val="00FE5C88"/>
    <w:rsid w:val="00FE5C8B"/>
    <w:rsid w:val="00FE6EBE"/>
    <w:rsid w:val="00FE724C"/>
    <w:rsid w:val="00FF055D"/>
    <w:rsid w:val="00FF0FEB"/>
    <w:rsid w:val="00FF136E"/>
    <w:rsid w:val="00FF2210"/>
    <w:rsid w:val="00FF313A"/>
    <w:rsid w:val="00FF389C"/>
    <w:rsid w:val="00FF3EA7"/>
    <w:rsid w:val="00FF3FFD"/>
    <w:rsid w:val="00FF4FAC"/>
    <w:rsid w:val="00FF7F0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5C"/>
    <w:pPr>
      <w:overflowPunct w:val="0"/>
      <w:autoSpaceDE w:val="0"/>
      <w:autoSpaceDN w:val="0"/>
      <w:adjustRightInd w:val="0"/>
      <w:textAlignment w:val="baseline"/>
    </w:pPr>
  </w:style>
  <w:style w:type="paragraph" w:styleId="Naslov1">
    <w:name w:val="heading 1"/>
    <w:basedOn w:val="Normal"/>
    <w:next w:val="Normal"/>
    <w:qFormat/>
    <w:rsid w:val="002C621B"/>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outlineLvl w:val="0"/>
    </w:pPr>
    <w:rPr>
      <w:sz w:val="24"/>
    </w:rPr>
  </w:style>
  <w:style w:type="paragraph" w:styleId="Naslov2">
    <w:name w:val="heading 2"/>
    <w:basedOn w:val="Normal"/>
    <w:next w:val="Normal"/>
    <w:qFormat/>
    <w:rsid w:val="002C621B"/>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sz w:val="24"/>
    </w:rPr>
  </w:style>
  <w:style w:type="paragraph" w:styleId="Naslov3">
    <w:name w:val="heading 3"/>
    <w:basedOn w:val="Normal"/>
    <w:next w:val="Normal"/>
    <w:qFormat/>
    <w:rsid w:val="002C621B"/>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sz w:val="24"/>
    </w:rPr>
  </w:style>
  <w:style w:type="paragraph" w:styleId="Naslov4">
    <w:name w:val="heading 4"/>
    <w:basedOn w:val="Normal"/>
    <w:next w:val="Normal"/>
    <w:qFormat/>
    <w:rsid w:val="002C621B"/>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sz w:val="28"/>
    </w:rPr>
  </w:style>
  <w:style w:type="paragraph" w:styleId="Naslov5">
    <w:name w:val="heading 5"/>
    <w:basedOn w:val="Normal"/>
    <w:next w:val="Normal"/>
    <w:qFormat/>
    <w:rsid w:val="002C621B"/>
    <w:pPr>
      <w:keepNext/>
      <w:outlineLvl w:val="4"/>
    </w:pPr>
    <w:rPr>
      <w:sz w:val="28"/>
    </w:rPr>
  </w:style>
  <w:style w:type="paragraph" w:styleId="Naslov6">
    <w:name w:val="heading 6"/>
    <w:basedOn w:val="Normal"/>
    <w:next w:val="Normal"/>
    <w:qFormat/>
    <w:rsid w:val="002C621B"/>
    <w:pPr>
      <w:keepNext/>
      <w:numPr>
        <w:numId w:val="1"/>
      </w:numPr>
      <w:tabs>
        <w:tab w:val="left" w:pos="-720"/>
        <w:tab w:val="left" w:pos="1"/>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sz w:val="24"/>
    </w:rPr>
  </w:style>
  <w:style w:type="paragraph" w:styleId="Naslov7">
    <w:name w:val="heading 7"/>
    <w:basedOn w:val="Normal"/>
    <w:next w:val="Normal"/>
    <w:qFormat/>
    <w:rsid w:val="002C621B"/>
    <w:pPr>
      <w:keepNext/>
      <w:jc w:val="center"/>
      <w:outlineLvl w:val="6"/>
    </w:pPr>
    <w:rPr>
      <w:sz w:val="24"/>
    </w:rPr>
  </w:style>
  <w:style w:type="paragraph" w:styleId="Naslov8">
    <w:name w:val="heading 8"/>
    <w:basedOn w:val="Normal"/>
    <w:next w:val="Normal"/>
    <w:qFormat/>
    <w:rsid w:val="002C621B"/>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outlineLvl w:val="7"/>
    </w:pPr>
    <w:rPr>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2C621B"/>
    <w:pPr>
      <w:jc w:val="center"/>
    </w:pPr>
    <w:rPr>
      <w:b/>
      <w:sz w:val="22"/>
    </w:rPr>
  </w:style>
  <w:style w:type="paragraph" w:styleId="Zaglavlje">
    <w:name w:val="header"/>
    <w:basedOn w:val="Normal"/>
    <w:link w:val="ZaglavljeChar"/>
    <w:uiPriority w:val="99"/>
    <w:rsid w:val="002C621B"/>
    <w:pPr>
      <w:tabs>
        <w:tab w:val="center" w:pos="4320"/>
        <w:tab w:val="right" w:pos="8640"/>
      </w:tabs>
    </w:pPr>
  </w:style>
  <w:style w:type="character" w:customStyle="1" w:styleId="ZaglavljeChar">
    <w:name w:val="Zaglavlje Char"/>
    <w:link w:val="Zaglavlje"/>
    <w:uiPriority w:val="99"/>
    <w:rsid w:val="003F7F2B"/>
  </w:style>
  <w:style w:type="character" w:styleId="Brojstranice">
    <w:name w:val="page number"/>
    <w:basedOn w:val="Zadanifontodlomka"/>
    <w:rsid w:val="002C621B"/>
  </w:style>
  <w:style w:type="paragraph" w:customStyle="1" w:styleId="BodyText27">
    <w:name w:val="Body Text 27"/>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4"/>
    </w:rPr>
  </w:style>
  <w:style w:type="paragraph" w:customStyle="1" w:styleId="BodyText26">
    <w:name w:val="Body Text 26"/>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Times New" w:hAnsi="Times New"/>
      <w:sz w:val="24"/>
    </w:rPr>
  </w:style>
  <w:style w:type="paragraph" w:styleId="Tijeloteksta">
    <w:name w:val="Body Text"/>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tyle>
  <w:style w:type="paragraph" w:customStyle="1" w:styleId="BodyText31">
    <w:name w:val="Body Text 31"/>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customStyle="1" w:styleId="BodyText25">
    <w:name w:val="Body Text 25"/>
    <w:basedOn w:val="Normal"/>
    <w:rsid w:val="002C621B"/>
    <w:pPr>
      <w:ind w:firstLine="720"/>
      <w:jc w:val="both"/>
    </w:pPr>
    <w:rPr>
      <w:sz w:val="24"/>
    </w:rPr>
  </w:style>
  <w:style w:type="paragraph" w:styleId="Tekstfusnote">
    <w:name w:val="footnote text"/>
    <w:basedOn w:val="Normal"/>
    <w:semiHidden/>
    <w:rsid w:val="002C621B"/>
  </w:style>
  <w:style w:type="character" w:styleId="Referencafusnote">
    <w:name w:val="footnote reference"/>
    <w:semiHidden/>
    <w:rsid w:val="002C621B"/>
    <w:rPr>
      <w:vertAlign w:val="superscript"/>
    </w:rPr>
  </w:style>
  <w:style w:type="paragraph" w:customStyle="1" w:styleId="BodyText24">
    <w:name w:val="Body Text 24"/>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customStyle="1" w:styleId="BodyText23">
    <w:name w:val="Body Text 23"/>
    <w:basedOn w:val="Normal"/>
    <w:rsid w:val="002C621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Pr>
      <w:sz w:val="24"/>
    </w:rPr>
  </w:style>
  <w:style w:type="paragraph" w:styleId="Podnoje">
    <w:name w:val="footer"/>
    <w:basedOn w:val="Normal"/>
    <w:link w:val="PodnojeChar"/>
    <w:uiPriority w:val="99"/>
    <w:rsid w:val="002C621B"/>
    <w:pPr>
      <w:tabs>
        <w:tab w:val="center" w:pos="4536"/>
        <w:tab w:val="right" w:pos="9072"/>
      </w:tabs>
    </w:pPr>
  </w:style>
  <w:style w:type="character" w:customStyle="1" w:styleId="PodnojeChar">
    <w:name w:val="Podnožje Char"/>
    <w:basedOn w:val="Zadanifontodlomka"/>
    <w:link w:val="Podnoje"/>
    <w:uiPriority w:val="99"/>
    <w:rsid w:val="00171874"/>
  </w:style>
  <w:style w:type="paragraph" w:customStyle="1" w:styleId="BodyText22">
    <w:name w:val="Body Text 22"/>
    <w:basedOn w:val="Normal"/>
    <w:rsid w:val="002C621B"/>
    <w:pPr>
      <w:ind w:left="426" w:hanging="426"/>
      <w:jc w:val="both"/>
    </w:pPr>
    <w:rPr>
      <w:color w:val="000000"/>
      <w:sz w:val="24"/>
    </w:rPr>
  </w:style>
  <w:style w:type="paragraph" w:customStyle="1" w:styleId="BodyText21">
    <w:name w:val="Body Text 21"/>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sz w:val="24"/>
    </w:rPr>
  </w:style>
  <w:style w:type="paragraph" w:styleId="Kartadokumenta">
    <w:name w:val="Document Map"/>
    <w:basedOn w:val="Normal"/>
    <w:semiHidden/>
    <w:rsid w:val="002C621B"/>
    <w:pPr>
      <w:shd w:val="clear" w:color="auto" w:fill="000080"/>
    </w:pPr>
    <w:rPr>
      <w:rFonts w:ascii="Tahoma" w:hAnsi="Tahoma" w:cs="Tahoma"/>
    </w:rPr>
  </w:style>
  <w:style w:type="table" w:styleId="Reetkatablice">
    <w:name w:val="Table Grid"/>
    <w:basedOn w:val="Obinatablica"/>
    <w:rsid w:val="005F028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A42726"/>
    <w:rPr>
      <w:rFonts w:ascii="Tahoma" w:hAnsi="Tahoma" w:cs="Tahoma"/>
      <w:sz w:val="16"/>
      <w:szCs w:val="16"/>
    </w:rPr>
  </w:style>
  <w:style w:type="paragraph" w:styleId="Odlomakpopisa">
    <w:name w:val="List Paragraph"/>
    <w:basedOn w:val="Normal"/>
    <w:uiPriority w:val="34"/>
    <w:qFormat/>
    <w:rsid w:val="001B4CF4"/>
    <w:pPr>
      <w:ind w:left="720"/>
      <w:contextualSpacing/>
    </w:pPr>
  </w:style>
</w:styles>
</file>

<file path=word/webSettings.xml><?xml version="1.0" encoding="utf-8"?>
<w:webSettings xmlns:r="http://schemas.openxmlformats.org/officeDocument/2006/relationships" xmlns:w="http://schemas.openxmlformats.org/wordprocessingml/2006/main">
  <w:divs>
    <w:div w:id="17508093">
      <w:bodyDiv w:val="1"/>
      <w:marLeft w:val="0"/>
      <w:marRight w:val="0"/>
      <w:marTop w:val="0"/>
      <w:marBottom w:val="0"/>
      <w:divBdr>
        <w:top w:val="none" w:sz="0" w:space="0" w:color="auto"/>
        <w:left w:val="none" w:sz="0" w:space="0" w:color="auto"/>
        <w:bottom w:val="none" w:sz="0" w:space="0" w:color="auto"/>
        <w:right w:val="none" w:sz="0" w:space="0" w:color="auto"/>
      </w:divBdr>
    </w:div>
    <w:div w:id="35543942">
      <w:bodyDiv w:val="1"/>
      <w:marLeft w:val="0"/>
      <w:marRight w:val="0"/>
      <w:marTop w:val="0"/>
      <w:marBottom w:val="0"/>
      <w:divBdr>
        <w:top w:val="none" w:sz="0" w:space="0" w:color="auto"/>
        <w:left w:val="none" w:sz="0" w:space="0" w:color="auto"/>
        <w:bottom w:val="none" w:sz="0" w:space="0" w:color="auto"/>
        <w:right w:val="none" w:sz="0" w:space="0" w:color="auto"/>
      </w:divBdr>
    </w:div>
    <w:div w:id="112754489">
      <w:bodyDiv w:val="1"/>
      <w:marLeft w:val="0"/>
      <w:marRight w:val="0"/>
      <w:marTop w:val="0"/>
      <w:marBottom w:val="0"/>
      <w:divBdr>
        <w:top w:val="none" w:sz="0" w:space="0" w:color="auto"/>
        <w:left w:val="none" w:sz="0" w:space="0" w:color="auto"/>
        <w:bottom w:val="none" w:sz="0" w:space="0" w:color="auto"/>
        <w:right w:val="none" w:sz="0" w:space="0" w:color="auto"/>
      </w:divBdr>
    </w:div>
    <w:div w:id="130447972">
      <w:bodyDiv w:val="1"/>
      <w:marLeft w:val="0"/>
      <w:marRight w:val="0"/>
      <w:marTop w:val="0"/>
      <w:marBottom w:val="0"/>
      <w:divBdr>
        <w:top w:val="none" w:sz="0" w:space="0" w:color="auto"/>
        <w:left w:val="none" w:sz="0" w:space="0" w:color="auto"/>
        <w:bottom w:val="none" w:sz="0" w:space="0" w:color="auto"/>
        <w:right w:val="none" w:sz="0" w:space="0" w:color="auto"/>
      </w:divBdr>
    </w:div>
    <w:div w:id="146559746">
      <w:bodyDiv w:val="1"/>
      <w:marLeft w:val="0"/>
      <w:marRight w:val="0"/>
      <w:marTop w:val="0"/>
      <w:marBottom w:val="0"/>
      <w:divBdr>
        <w:top w:val="none" w:sz="0" w:space="0" w:color="auto"/>
        <w:left w:val="none" w:sz="0" w:space="0" w:color="auto"/>
        <w:bottom w:val="none" w:sz="0" w:space="0" w:color="auto"/>
        <w:right w:val="none" w:sz="0" w:space="0" w:color="auto"/>
      </w:divBdr>
    </w:div>
    <w:div w:id="203718509">
      <w:bodyDiv w:val="1"/>
      <w:marLeft w:val="0"/>
      <w:marRight w:val="0"/>
      <w:marTop w:val="0"/>
      <w:marBottom w:val="0"/>
      <w:divBdr>
        <w:top w:val="none" w:sz="0" w:space="0" w:color="auto"/>
        <w:left w:val="none" w:sz="0" w:space="0" w:color="auto"/>
        <w:bottom w:val="none" w:sz="0" w:space="0" w:color="auto"/>
        <w:right w:val="none" w:sz="0" w:space="0" w:color="auto"/>
      </w:divBdr>
    </w:div>
    <w:div w:id="212080192">
      <w:bodyDiv w:val="1"/>
      <w:marLeft w:val="0"/>
      <w:marRight w:val="0"/>
      <w:marTop w:val="0"/>
      <w:marBottom w:val="0"/>
      <w:divBdr>
        <w:top w:val="none" w:sz="0" w:space="0" w:color="auto"/>
        <w:left w:val="none" w:sz="0" w:space="0" w:color="auto"/>
        <w:bottom w:val="none" w:sz="0" w:space="0" w:color="auto"/>
        <w:right w:val="none" w:sz="0" w:space="0" w:color="auto"/>
      </w:divBdr>
    </w:div>
    <w:div w:id="221209819">
      <w:bodyDiv w:val="1"/>
      <w:marLeft w:val="0"/>
      <w:marRight w:val="0"/>
      <w:marTop w:val="0"/>
      <w:marBottom w:val="0"/>
      <w:divBdr>
        <w:top w:val="none" w:sz="0" w:space="0" w:color="auto"/>
        <w:left w:val="none" w:sz="0" w:space="0" w:color="auto"/>
        <w:bottom w:val="none" w:sz="0" w:space="0" w:color="auto"/>
        <w:right w:val="none" w:sz="0" w:space="0" w:color="auto"/>
      </w:divBdr>
    </w:div>
    <w:div w:id="225335668">
      <w:bodyDiv w:val="1"/>
      <w:marLeft w:val="0"/>
      <w:marRight w:val="0"/>
      <w:marTop w:val="0"/>
      <w:marBottom w:val="0"/>
      <w:divBdr>
        <w:top w:val="none" w:sz="0" w:space="0" w:color="auto"/>
        <w:left w:val="none" w:sz="0" w:space="0" w:color="auto"/>
        <w:bottom w:val="none" w:sz="0" w:space="0" w:color="auto"/>
        <w:right w:val="none" w:sz="0" w:space="0" w:color="auto"/>
      </w:divBdr>
    </w:div>
    <w:div w:id="296110475">
      <w:bodyDiv w:val="1"/>
      <w:marLeft w:val="0"/>
      <w:marRight w:val="0"/>
      <w:marTop w:val="0"/>
      <w:marBottom w:val="0"/>
      <w:divBdr>
        <w:top w:val="none" w:sz="0" w:space="0" w:color="auto"/>
        <w:left w:val="none" w:sz="0" w:space="0" w:color="auto"/>
        <w:bottom w:val="none" w:sz="0" w:space="0" w:color="auto"/>
        <w:right w:val="none" w:sz="0" w:space="0" w:color="auto"/>
      </w:divBdr>
    </w:div>
    <w:div w:id="305470834">
      <w:bodyDiv w:val="1"/>
      <w:marLeft w:val="0"/>
      <w:marRight w:val="0"/>
      <w:marTop w:val="0"/>
      <w:marBottom w:val="0"/>
      <w:divBdr>
        <w:top w:val="none" w:sz="0" w:space="0" w:color="auto"/>
        <w:left w:val="none" w:sz="0" w:space="0" w:color="auto"/>
        <w:bottom w:val="none" w:sz="0" w:space="0" w:color="auto"/>
        <w:right w:val="none" w:sz="0" w:space="0" w:color="auto"/>
      </w:divBdr>
    </w:div>
    <w:div w:id="305746888">
      <w:bodyDiv w:val="1"/>
      <w:marLeft w:val="0"/>
      <w:marRight w:val="0"/>
      <w:marTop w:val="0"/>
      <w:marBottom w:val="0"/>
      <w:divBdr>
        <w:top w:val="none" w:sz="0" w:space="0" w:color="auto"/>
        <w:left w:val="none" w:sz="0" w:space="0" w:color="auto"/>
        <w:bottom w:val="none" w:sz="0" w:space="0" w:color="auto"/>
        <w:right w:val="none" w:sz="0" w:space="0" w:color="auto"/>
      </w:divBdr>
    </w:div>
    <w:div w:id="319504174">
      <w:bodyDiv w:val="1"/>
      <w:marLeft w:val="0"/>
      <w:marRight w:val="0"/>
      <w:marTop w:val="0"/>
      <w:marBottom w:val="0"/>
      <w:divBdr>
        <w:top w:val="none" w:sz="0" w:space="0" w:color="auto"/>
        <w:left w:val="none" w:sz="0" w:space="0" w:color="auto"/>
        <w:bottom w:val="none" w:sz="0" w:space="0" w:color="auto"/>
        <w:right w:val="none" w:sz="0" w:space="0" w:color="auto"/>
      </w:divBdr>
    </w:div>
    <w:div w:id="328405093">
      <w:bodyDiv w:val="1"/>
      <w:marLeft w:val="0"/>
      <w:marRight w:val="0"/>
      <w:marTop w:val="0"/>
      <w:marBottom w:val="0"/>
      <w:divBdr>
        <w:top w:val="none" w:sz="0" w:space="0" w:color="auto"/>
        <w:left w:val="none" w:sz="0" w:space="0" w:color="auto"/>
        <w:bottom w:val="none" w:sz="0" w:space="0" w:color="auto"/>
        <w:right w:val="none" w:sz="0" w:space="0" w:color="auto"/>
      </w:divBdr>
    </w:div>
    <w:div w:id="335614863">
      <w:bodyDiv w:val="1"/>
      <w:marLeft w:val="0"/>
      <w:marRight w:val="0"/>
      <w:marTop w:val="0"/>
      <w:marBottom w:val="0"/>
      <w:divBdr>
        <w:top w:val="none" w:sz="0" w:space="0" w:color="auto"/>
        <w:left w:val="none" w:sz="0" w:space="0" w:color="auto"/>
        <w:bottom w:val="none" w:sz="0" w:space="0" w:color="auto"/>
        <w:right w:val="none" w:sz="0" w:space="0" w:color="auto"/>
      </w:divBdr>
    </w:div>
    <w:div w:id="337580345">
      <w:bodyDiv w:val="1"/>
      <w:marLeft w:val="0"/>
      <w:marRight w:val="0"/>
      <w:marTop w:val="0"/>
      <w:marBottom w:val="0"/>
      <w:divBdr>
        <w:top w:val="none" w:sz="0" w:space="0" w:color="auto"/>
        <w:left w:val="none" w:sz="0" w:space="0" w:color="auto"/>
        <w:bottom w:val="none" w:sz="0" w:space="0" w:color="auto"/>
        <w:right w:val="none" w:sz="0" w:space="0" w:color="auto"/>
      </w:divBdr>
    </w:div>
    <w:div w:id="366878119">
      <w:bodyDiv w:val="1"/>
      <w:marLeft w:val="0"/>
      <w:marRight w:val="0"/>
      <w:marTop w:val="0"/>
      <w:marBottom w:val="0"/>
      <w:divBdr>
        <w:top w:val="none" w:sz="0" w:space="0" w:color="auto"/>
        <w:left w:val="none" w:sz="0" w:space="0" w:color="auto"/>
        <w:bottom w:val="none" w:sz="0" w:space="0" w:color="auto"/>
        <w:right w:val="none" w:sz="0" w:space="0" w:color="auto"/>
      </w:divBdr>
    </w:div>
    <w:div w:id="377973615">
      <w:bodyDiv w:val="1"/>
      <w:marLeft w:val="0"/>
      <w:marRight w:val="0"/>
      <w:marTop w:val="0"/>
      <w:marBottom w:val="0"/>
      <w:divBdr>
        <w:top w:val="none" w:sz="0" w:space="0" w:color="auto"/>
        <w:left w:val="none" w:sz="0" w:space="0" w:color="auto"/>
        <w:bottom w:val="none" w:sz="0" w:space="0" w:color="auto"/>
        <w:right w:val="none" w:sz="0" w:space="0" w:color="auto"/>
      </w:divBdr>
    </w:div>
    <w:div w:id="380523961">
      <w:bodyDiv w:val="1"/>
      <w:marLeft w:val="0"/>
      <w:marRight w:val="0"/>
      <w:marTop w:val="0"/>
      <w:marBottom w:val="0"/>
      <w:divBdr>
        <w:top w:val="none" w:sz="0" w:space="0" w:color="auto"/>
        <w:left w:val="none" w:sz="0" w:space="0" w:color="auto"/>
        <w:bottom w:val="none" w:sz="0" w:space="0" w:color="auto"/>
        <w:right w:val="none" w:sz="0" w:space="0" w:color="auto"/>
      </w:divBdr>
    </w:div>
    <w:div w:id="391268567">
      <w:bodyDiv w:val="1"/>
      <w:marLeft w:val="0"/>
      <w:marRight w:val="0"/>
      <w:marTop w:val="0"/>
      <w:marBottom w:val="0"/>
      <w:divBdr>
        <w:top w:val="none" w:sz="0" w:space="0" w:color="auto"/>
        <w:left w:val="none" w:sz="0" w:space="0" w:color="auto"/>
        <w:bottom w:val="none" w:sz="0" w:space="0" w:color="auto"/>
        <w:right w:val="none" w:sz="0" w:space="0" w:color="auto"/>
      </w:divBdr>
    </w:div>
    <w:div w:id="392512650">
      <w:bodyDiv w:val="1"/>
      <w:marLeft w:val="0"/>
      <w:marRight w:val="0"/>
      <w:marTop w:val="0"/>
      <w:marBottom w:val="0"/>
      <w:divBdr>
        <w:top w:val="none" w:sz="0" w:space="0" w:color="auto"/>
        <w:left w:val="none" w:sz="0" w:space="0" w:color="auto"/>
        <w:bottom w:val="none" w:sz="0" w:space="0" w:color="auto"/>
        <w:right w:val="none" w:sz="0" w:space="0" w:color="auto"/>
      </w:divBdr>
    </w:div>
    <w:div w:id="409160028">
      <w:bodyDiv w:val="1"/>
      <w:marLeft w:val="0"/>
      <w:marRight w:val="0"/>
      <w:marTop w:val="0"/>
      <w:marBottom w:val="0"/>
      <w:divBdr>
        <w:top w:val="none" w:sz="0" w:space="0" w:color="auto"/>
        <w:left w:val="none" w:sz="0" w:space="0" w:color="auto"/>
        <w:bottom w:val="none" w:sz="0" w:space="0" w:color="auto"/>
        <w:right w:val="none" w:sz="0" w:space="0" w:color="auto"/>
      </w:divBdr>
    </w:div>
    <w:div w:id="430587949">
      <w:bodyDiv w:val="1"/>
      <w:marLeft w:val="0"/>
      <w:marRight w:val="0"/>
      <w:marTop w:val="0"/>
      <w:marBottom w:val="0"/>
      <w:divBdr>
        <w:top w:val="none" w:sz="0" w:space="0" w:color="auto"/>
        <w:left w:val="none" w:sz="0" w:space="0" w:color="auto"/>
        <w:bottom w:val="none" w:sz="0" w:space="0" w:color="auto"/>
        <w:right w:val="none" w:sz="0" w:space="0" w:color="auto"/>
      </w:divBdr>
    </w:div>
    <w:div w:id="443892494">
      <w:bodyDiv w:val="1"/>
      <w:marLeft w:val="0"/>
      <w:marRight w:val="0"/>
      <w:marTop w:val="0"/>
      <w:marBottom w:val="0"/>
      <w:divBdr>
        <w:top w:val="none" w:sz="0" w:space="0" w:color="auto"/>
        <w:left w:val="none" w:sz="0" w:space="0" w:color="auto"/>
        <w:bottom w:val="none" w:sz="0" w:space="0" w:color="auto"/>
        <w:right w:val="none" w:sz="0" w:space="0" w:color="auto"/>
      </w:divBdr>
    </w:div>
    <w:div w:id="444736336">
      <w:bodyDiv w:val="1"/>
      <w:marLeft w:val="0"/>
      <w:marRight w:val="0"/>
      <w:marTop w:val="0"/>
      <w:marBottom w:val="0"/>
      <w:divBdr>
        <w:top w:val="none" w:sz="0" w:space="0" w:color="auto"/>
        <w:left w:val="none" w:sz="0" w:space="0" w:color="auto"/>
        <w:bottom w:val="none" w:sz="0" w:space="0" w:color="auto"/>
        <w:right w:val="none" w:sz="0" w:space="0" w:color="auto"/>
      </w:divBdr>
    </w:div>
    <w:div w:id="449470583">
      <w:bodyDiv w:val="1"/>
      <w:marLeft w:val="0"/>
      <w:marRight w:val="0"/>
      <w:marTop w:val="0"/>
      <w:marBottom w:val="0"/>
      <w:divBdr>
        <w:top w:val="none" w:sz="0" w:space="0" w:color="auto"/>
        <w:left w:val="none" w:sz="0" w:space="0" w:color="auto"/>
        <w:bottom w:val="none" w:sz="0" w:space="0" w:color="auto"/>
        <w:right w:val="none" w:sz="0" w:space="0" w:color="auto"/>
      </w:divBdr>
    </w:div>
    <w:div w:id="458837776">
      <w:bodyDiv w:val="1"/>
      <w:marLeft w:val="0"/>
      <w:marRight w:val="0"/>
      <w:marTop w:val="0"/>
      <w:marBottom w:val="0"/>
      <w:divBdr>
        <w:top w:val="none" w:sz="0" w:space="0" w:color="auto"/>
        <w:left w:val="none" w:sz="0" w:space="0" w:color="auto"/>
        <w:bottom w:val="none" w:sz="0" w:space="0" w:color="auto"/>
        <w:right w:val="none" w:sz="0" w:space="0" w:color="auto"/>
      </w:divBdr>
    </w:div>
    <w:div w:id="477839870">
      <w:bodyDiv w:val="1"/>
      <w:marLeft w:val="0"/>
      <w:marRight w:val="0"/>
      <w:marTop w:val="0"/>
      <w:marBottom w:val="0"/>
      <w:divBdr>
        <w:top w:val="none" w:sz="0" w:space="0" w:color="auto"/>
        <w:left w:val="none" w:sz="0" w:space="0" w:color="auto"/>
        <w:bottom w:val="none" w:sz="0" w:space="0" w:color="auto"/>
        <w:right w:val="none" w:sz="0" w:space="0" w:color="auto"/>
      </w:divBdr>
    </w:div>
    <w:div w:id="494415677">
      <w:bodyDiv w:val="1"/>
      <w:marLeft w:val="0"/>
      <w:marRight w:val="0"/>
      <w:marTop w:val="0"/>
      <w:marBottom w:val="0"/>
      <w:divBdr>
        <w:top w:val="none" w:sz="0" w:space="0" w:color="auto"/>
        <w:left w:val="none" w:sz="0" w:space="0" w:color="auto"/>
        <w:bottom w:val="none" w:sz="0" w:space="0" w:color="auto"/>
        <w:right w:val="none" w:sz="0" w:space="0" w:color="auto"/>
      </w:divBdr>
    </w:div>
    <w:div w:id="503519313">
      <w:bodyDiv w:val="1"/>
      <w:marLeft w:val="0"/>
      <w:marRight w:val="0"/>
      <w:marTop w:val="0"/>
      <w:marBottom w:val="0"/>
      <w:divBdr>
        <w:top w:val="none" w:sz="0" w:space="0" w:color="auto"/>
        <w:left w:val="none" w:sz="0" w:space="0" w:color="auto"/>
        <w:bottom w:val="none" w:sz="0" w:space="0" w:color="auto"/>
        <w:right w:val="none" w:sz="0" w:space="0" w:color="auto"/>
      </w:divBdr>
    </w:div>
    <w:div w:id="523599596">
      <w:bodyDiv w:val="1"/>
      <w:marLeft w:val="0"/>
      <w:marRight w:val="0"/>
      <w:marTop w:val="0"/>
      <w:marBottom w:val="0"/>
      <w:divBdr>
        <w:top w:val="none" w:sz="0" w:space="0" w:color="auto"/>
        <w:left w:val="none" w:sz="0" w:space="0" w:color="auto"/>
        <w:bottom w:val="none" w:sz="0" w:space="0" w:color="auto"/>
        <w:right w:val="none" w:sz="0" w:space="0" w:color="auto"/>
      </w:divBdr>
    </w:div>
    <w:div w:id="575434327">
      <w:bodyDiv w:val="1"/>
      <w:marLeft w:val="0"/>
      <w:marRight w:val="0"/>
      <w:marTop w:val="0"/>
      <w:marBottom w:val="0"/>
      <w:divBdr>
        <w:top w:val="none" w:sz="0" w:space="0" w:color="auto"/>
        <w:left w:val="none" w:sz="0" w:space="0" w:color="auto"/>
        <w:bottom w:val="none" w:sz="0" w:space="0" w:color="auto"/>
        <w:right w:val="none" w:sz="0" w:space="0" w:color="auto"/>
      </w:divBdr>
    </w:div>
    <w:div w:id="579294125">
      <w:bodyDiv w:val="1"/>
      <w:marLeft w:val="0"/>
      <w:marRight w:val="0"/>
      <w:marTop w:val="0"/>
      <w:marBottom w:val="0"/>
      <w:divBdr>
        <w:top w:val="none" w:sz="0" w:space="0" w:color="auto"/>
        <w:left w:val="none" w:sz="0" w:space="0" w:color="auto"/>
        <w:bottom w:val="none" w:sz="0" w:space="0" w:color="auto"/>
        <w:right w:val="none" w:sz="0" w:space="0" w:color="auto"/>
      </w:divBdr>
    </w:div>
    <w:div w:id="588006114">
      <w:bodyDiv w:val="1"/>
      <w:marLeft w:val="0"/>
      <w:marRight w:val="0"/>
      <w:marTop w:val="0"/>
      <w:marBottom w:val="0"/>
      <w:divBdr>
        <w:top w:val="none" w:sz="0" w:space="0" w:color="auto"/>
        <w:left w:val="none" w:sz="0" w:space="0" w:color="auto"/>
        <w:bottom w:val="none" w:sz="0" w:space="0" w:color="auto"/>
        <w:right w:val="none" w:sz="0" w:space="0" w:color="auto"/>
      </w:divBdr>
    </w:div>
    <w:div w:id="595023842">
      <w:bodyDiv w:val="1"/>
      <w:marLeft w:val="0"/>
      <w:marRight w:val="0"/>
      <w:marTop w:val="0"/>
      <w:marBottom w:val="0"/>
      <w:divBdr>
        <w:top w:val="none" w:sz="0" w:space="0" w:color="auto"/>
        <w:left w:val="none" w:sz="0" w:space="0" w:color="auto"/>
        <w:bottom w:val="none" w:sz="0" w:space="0" w:color="auto"/>
        <w:right w:val="none" w:sz="0" w:space="0" w:color="auto"/>
      </w:divBdr>
    </w:div>
    <w:div w:id="604384563">
      <w:bodyDiv w:val="1"/>
      <w:marLeft w:val="0"/>
      <w:marRight w:val="0"/>
      <w:marTop w:val="0"/>
      <w:marBottom w:val="0"/>
      <w:divBdr>
        <w:top w:val="none" w:sz="0" w:space="0" w:color="auto"/>
        <w:left w:val="none" w:sz="0" w:space="0" w:color="auto"/>
        <w:bottom w:val="none" w:sz="0" w:space="0" w:color="auto"/>
        <w:right w:val="none" w:sz="0" w:space="0" w:color="auto"/>
      </w:divBdr>
    </w:div>
    <w:div w:id="645012436">
      <w:bodyDiv w:val="1"/>
      <w:marLeft w:val="0"/>
      <w:marRight w:val="0"/>
      <w:marTop w:val="0"/>
      <w:marBottom w:val="0"/>
      <w:divBdr>
        <w:top w:val="none" w:sz="0" w:space="0" w:color="auto"/>
        <w:left w:val="none" w:sz="0" w:space="0" w:color="auto"/>
        <w:bottom w:val="none" w:sz="0" w:space="0" w:color="auto"/>
        <w:right w:val="none" w:sz="0" w:space="0" w:color="auto"/>
      </w:divBdr>
    </w:div>
    <w:div w:id="665792974">
      <w:bodyDiv w:val="1"/>
      <w:marLeft w:val="0"/>
      <w:marRight w:val="0"/>
      <w:marTop w:val="0"/>
      <w:marBottom w:val="0"/>
      <w:divBdr>
        <w:top w:val="none" w:sz="0" w:space="0" w:color="auto"/>
        <w:left w:val="none" w:sz="0" w:space="0" w:color="auto"/>
        <w:bottom w:val="none" w:sz="0" w:space="0" w:color="auto"/>
        <w:right w:val="none" w:sz="0" w:space="0" w:color="auto"/>
      </w:divBdr>
    </w:div>
    <w:div w:id="672072356">
      <w:bodyDiv w:val="1"/>
      <w:marLeft w:val="0"/>
      <w:marRight w:val="0"/>
      <w:marTop w:val="0"/>
      <w:marBottom w:val="0"/>
      <w:divBdr>
        <w:top w:val="none" w:sz="0" w:space="0" w:color="auto"/>
        <w:left w:val="none" w:sz="0" w:space="0" w:color="auto"/>
        <w:bottom w:val="none" w:sz="0" w:space="0" w:color="auto"/>
        <w:right w:val="none" w:sz="0" w:space="0" w:color="auto"/>
      </w:divBdr>
    </w:div>
    <w:div w:id="702091645">
      <w:bodyDiv w:val="1"/>
      <w:marLeft w:val="0"/>
      <w:marRight w:val="0"/>
      <w:marTop w:val="0"/>
      <w:marBottom w:val="0"/>
      <w:divBdr>
        <w:top w:val="none" w:sz="0" w:space="0" w:color="auto"/>
        <w:left w:val="none" w:sz="0" w:space="0" w:color="auto"/>
        <w:bottom w:val="none" w:sz="0" w:space="0" w:color="auto"/>
        <w:right w:val="none" w:sz="0" w:space="0" w:color="auto"/>
      </w:divBdr>
    </w:div>
    <w:div w:id="713622978">
      <w:bodyDiv w:val="1"/>
      <w:marLeft w:val="0"/>
      <w:marRight w:val="0"/>
      <w:marTop w:val="0"/>
      <w:marBottom w:val="0"/>
      <w:divBdr>
        <w:top w:val="none" w:sz="0" w:space="0" w:color="auto"/>
        <w:left w:val="none" w:sz="0" w:space="0" w:color="auto"/>
        <w:bottom w:val="none" w:sz="0" w:space="0" w:color="auto"/>
        <w:right w:val="none" w:sz="0" w:space="0" w:color="auto"/>
      </w:divBdr>
    </w:div>
    <w:div w:id="723913580">
      <w:bodyDiv w:val="1"/>
      <w:marLeft w:val="0"/>
      <w:marRight w:val="0"/>
      <w:marTop w:val="0"/>
      <w:marBottom w:val="0"/>
      <w:divBdr>
        <w:top w:val="none" w:sz="0" w:space="0" w:color="auto"/>
        <w:left w:val="none" w:sz="0" w:space="0" w:color="auto"/>
        <w:bottom w:val="none" w:sz="0" w:space="0" w:color="auto"/>
        <w:right w:val="none" w:sz="0" w:space="0" w:color="auto"/>
      </w:divBdr>
    </w:div>
    <w:div w:id="729499164">
      <w:bodyDiv w:val="1"/>
      <w:marLeft w:val="0"/>
      <w:marRight w:val="0"/>
      <w:marTop w:val="0"/>
      <w:marBottom w:val="0"/>
      <w:divBdr>
        <w:top w:val="none" w:sz="0" w:space="0" w:color="auto"/>
        <w:left w:val="none" w:sz="0" w:space="0" w:color="auto"/>
        <w:bottom w:val="none" w:sz="0" w:space="0" w:color="auto"/>
        <w:right w:val="none" w:sz="0" w:space="0" w:color="auto"/>
      </w:divBdr>
    </w:div>
    <w:div w:id="761728270">
      <w:bodyDiv w:val="1"/>
      <w:marLeft w:val="0"/>
      <w:marRight w:val="0"/>
      <w:marTop w:val="0"/>
      <w:marBottom w:val="0"/>
      <w:divBdr>
        <w:top w:val="none" w:sz="0" w:space="0" w:color="auto"/>
        <w:left w:val="none" w:sz="0" w:space="0" w:color="auto"/>
        <w:bottom w:val="none" w:sz="0" w:space="0" w:color="auto"/>
        <w:right w:val="none" w:sz="0" w:space="0" w:color="auto"/>
      </w:divBdr>
    </w:div>
    <w:div w:id="776633051">
      <w:bodyDiv w:val="1"/>
      <w:marLeft w:val="0"/>
      <w:marRight w:val="0"/>
      <w:marTop w:val="0"/>
      <w:marBottom w:val="0"/>
      <w:divBdr>
        <w:top w:val="none" w:sz="0" w:space="0" w:color="auto"/>
        <w:left w:val="none" w:sz="0" w:space="0" w:color="auto"/>
        <w:bottom w:val="none" w:sz="0" w:space="0" w:color="auto"/>
        <w:right w:val="none" w:sz="0" w:space="0" w:color="auto"/>
      </w:divBdr>
    </w:div>
    <w:div w:id="779031285">
      <w:bodyDiv w:val="1"/>
      <w:marLeft w:val="0"/>
      <w:marRight w:val="0"/>
      <w:marTop w:val="0"/>
      <w:marBottom w:val="0"/>
      <w:divBdr>
        <w:top w:val="none" w:sz="0" w:space="0" w:color="auto"/>
        <w:left w:val="none" w:sz="0" w:space="0" w:color="auto"/>
        <w:bottom w:val="none" w:sz="0" w:space="0" w:color="auto"/>
        <w:right w:val="none" w:sz="0" w:space="0" w:color="auto"/>
      </w:divBdr>
    </w:div>
    <w:div w:id="789976348">
      <w:bodyDiv w:val="1"/>
      <w:marLeft w:val="0"/>
      <w:marRight w:val="0"/>
      <w:marTop w:val="0"/>
      <w:marBottom w:val="0"/>
      <w:divBdr>
        <w:top w:val="none" w:sz="0" w:space="0" w:color="auto"/>
        <w:left w:val="none" w:sz="0" w:space="0" w:color="auto"/>
        <w:bottom w:val="none" w:sz="0" w:space="0" w:color="auto"/>
        <w:right w:val="none" w:sz="0" w:space="0" w:color="auto"/>
      </w:divBdr>
    </w:div>
    <w:div w:id="805774948">
      <w:bodyDiv w:val="1"/>
      <w:marLeft w:val="0"/>
      <w:marRight w:val="0"/>
      <w:marTop w:val="0"/>
      <w:marBottom w:val="0"/>
      <w:divBdr>
        <w:top w:val="none" w:sz="0" w:space="0" w:color="auto"/>
        <w:left w:val="none" w:sz="0" w:space="0" w:color="auto"/>
        <w:bottom w:val="none" w:sz="0" w:space="0" w:color="auto"/>
        <w:right w:val="none" w:sz="0" w:space="0" w:color="auto"/>
      </w:divBdr>
    </w:div>
    <w:div w:id="815537119">
      <w:bodyDiv w:val="1"/>
      <w:marLeft w:val="0"/>
      <w:marRight w:val="0"/>
      <w:marTop w:val="0"/>
      <w:marBottom w:val="0"/>
      <w:divBdr>
        <w:top w:val="none" w:sz="0" w:space="0" w:color="auto"/>
        <w:left w:val="none" w:sz="0" w:space="0" w:color="auto"/>
        <w:bottom w:val="none" w:sz="0" w:space="0" w:color="auto"/>
        <w:right w:val="none" w:sz="0" w:space="0" w:color="auto"/>
      </w:divBdr>
    </w:div>
    <w:div w:id="833840029">
      <w:bodyDiv w:val="1"/>
      <w:marLeft w:val="0"/>
      <w:marRight w:val="0"/>
      <w:marTop w:val="0"/>
      <w:marBottom w:val="0"/>
      <w:divBdr>
        <w:top w:val="none" w:sz="0" w:space="0" w:color="auto"/>
        <w:left w:val="none" w:sz="0" w:space="0" w:color="auto"/>
        <w:bottom w:val="none" w:sz="0" w:space="0" w:color="auto"/>
        <w:right w:val="none" w:sz="0" w:space="0" w:color="auto"/>
      </w:divBdr>
    </w:div>
    <w:div w:id="846015560">
      <w:bodyDiv w:val="1"/>
      <w:marLeft w:val="0"/>
      <w:marRight w:val="0"/>
      <w:marTop w:val="0"/>
      <w:marBottom w:val="0"/>
      <w:divBdr>
        <w:top w:val="none" w:sz="0" w:space="0" w:color="auto"/>
        <w:left w:val="none" w:sz="0" w:space="0" w:color="auto"/>
        <w:bottom w:val="none" w:sz="0" w:space="0" w:color="auto"/>
        <w:right w:val="none" w:sz="0" w:space="0" w:color="auto"/>
      </w:divBdr>
    </w:div>
    <w:div w:id="847672444">
      <w:bodyDiv w:val="1"/>
      <w:marLeft w:val="0"/>
      <w:marRight w:val="0"/>
      <w:marTop w:val="0"/>
      <w:marBottom w:val="0"/>
      <w:divBdr>
        <w:top w:val="none" w:sz="0" w:space="0" w:color="auto"/>
        <w:left w:val="none" w:sz="0" w:space="0" w:color="auto"/>
        <w:bottom w:val="none" w:sz="0" w:space="0" w:color="auto"/>
        <w:right w:val="none" w:sz="0" w:space="0" w:color="auto"/>
      </w:divBdr>
    </w:div>
    <w:div w:id="875392687">
      <w:bodyDiv w:val="1"/>
      <w:marLeft w:val="0"/>
      <w:marRight w:val="0"/>
      <w:marTop w:val="0"/>
      <w:marBottom w:val="0"/>
      <w:divBdr>
        <w:top w:val="none" w:sz="0" w:space="0" w:color="auto"/>
        <w:left w:val="none" w:sz="0" w:space="0" w:color="auto"/>
        <w:bottom w:val="none" w:sz="0" w:space="0" w:color="auto"/>
        <w:right w:val="none" w:sz="0" w:space="0" w:color="auto"/>
      </w:divBdr>
    </w:div>
    <w:div w:id="892470827">
      <w:bodyDiv w:val="1"/>
      <w:marLeft w:val="0"/>
      <w:marRight w:val="0"/>
      <w:marTop w:val="0"/>
      <w:marBottom w:val="0"/>
      <w:divBdr>
        <w:top w:val="none" w:sz="0" w:space="0" w:color="auto"/>
        <w:left w:val="none" w:sz="0" w:space="0" w:color="auto"/>
        <w:bottom w:val="none" w:sz="0" w:space="0" w:color="auto"/>
        <w:right w:val="none" w:sz="0" w:space="0" w:color="auto"/>
      </w:divBdr>
    </w:div>
    <w:div w:id="894120205">
      <w:bodyDiv w:val="1"/>
      <w:marLeft w:val="0"/>
      <w:marRight w:val="0"/>
      <w:marTop w:val="0"/>
      <w:marBottom w:val="0"/>
      <w:divBdr>
        <w:top w:val="none" w:sz="0" w:space="0" w:color="auto"/>
        <w:left w:val="none" w:sz="0" w:space="0" w:color="auto"/>
        <w:bottom w:val="none" w:sz="0" w:space="0" w:color="auto"/>
        <w:right w:val="none" w:sz="0" w:space="0" w:color="auto"/>
      </w:divBdr>
    </w:div>
    <w:div w:id="905606578">
      <w:bodyDiv w:val="1"/>
      <w:marLeft w:val="0"/>
      <w:marRight w:val="0"/>
      <w:marTop w:val="0"/>
      <w:marBottom w:val="0"/>
      <w:divBdr>
        <w:top w:val="none" w:sz="0" w:space="0" w:color="auto"/>
        <w:left w:val="none" w:sz="0" w:space="0" w:color="auto"/>
        <w:bottom w:val="none" w:sz="0" w:space="0" w:color="auto"/>
        <w:right w:val="none" w:sz="0" w:space="0" w:color="auto"/>
      </w:divBdr>
    </w:div>
    <w:div w:id="909387237">
      <w:bodyDiv w:val="1"/>
      <w:marLeft w:val="0"/>
      <w:marRight w:val="0"/>
      <w:marTop w:val="0"/>
      <w:marBottom w:val="0"/>
      <w:divBdr>
        <w:top w:val="none" w:sz="0" w:space="0" w:color="auto"/>
        <w:left w:val="none" w:sz="0" w:space="0" w:color="auto"/>
        <w:bottom w:val="none" w:sz="0" w:space="0" w:color="auto"/>
        <w:right w:val="none" w:sz="0" w:space="0" w:color="auto"/>
      </w:divBdr>
    </w:div>
    <w:div w:id="928126234">
      <w:bodyDiv w:val="1"/>
      <w:marLeft w:val="0"/>
      <w:marRight w:val="0"/>
      <w:marTop w:val="0"/>
      <w:marBottom w:val="0"/>
      <w:divBdr>
        <w:top w:val="none" w:sz="0" w:space="0" w:color="auto"/>
        <w:left w:val="none" w:sz="0" w:space="0" w:color="auto"/>
        <w:bottom w:val="none" w:sz="0" w:space="0" w:color="auto"/>
        <w:right w:val="none" w:sz="0" w:space="0" w:color="auto"/>
      </w:divBdr>
    </w:div>
    <w:div w:id="932740927">
      <w:bodyDiv w:val="1"/>
      <w:marLeft w:val="0"/>
      <w:marRight w:val="0"/>
      <w:marTop w:val="0"/>
      <w:marBottom w:val="0"/>
      <w:divBdr>
        <w:top w:val="none" w:sz="0" w:space="0" w:color="auto"/>
        <w:left w:val="none" w:sz="0" w:space="0" w:color="auto"/>
        <w:bottom w:val="none" w:sz="0" w:space="0" w:color="auto"/>
        <w:right w:val="none" w:sz="0" w:space="0" w:color="auto"/>
      </w:divBdr>
    </w:div>
    <w:div w:id="935358077">
      <w:bodyDiv w:val="1"/>
      <w:marLeft w:val="0"/>
      <w:marRight w:val="0"/>
      <w:marTop w:val="0"/>
      <w:marBottom w:val="0"/>
      <w:divBdr>
        <w:top w:val="none" w:sz="0" w:space="0" w:color="auto"/>
        <w:left w:val="none" w:sz="0" w:space="0" w:color="auto"/>
        <w:bottom w:val="none" w:sz="0" w:space="0" w:color="auto"/>
        <w:right w:val="none" w:sz="0" w:space="0" w:color="auto"/>
      </w:divBdr>
    </w:div>
    <w:div w:id="936986626">
      <w:bodyDiv w:val="1"/>
      <w:marLeft w:val="0"/>
      <w:marRight w:val="0"/>
      <w:marTop w:val="0"/>
      <w:marBottom w:val="0"/>
      <w:divBdr>
        <w:top w:val="none" w:sz="0" w:space="0" w:color="auto"/>
        <w:left w:val="none" w:sz="0" w:space="0" w:color="auto"/>
        <w:bottom w:val="none" w:sz="0" w:space="0" w:color="auto"/>
        <w:right w:val="none" w:sz="0" w:space="0" w:color="auto"/>
      </w:divBdr>
    </w:div>
    <w:div w:id="952202099">
      <w:bodyDiv w:val="1"/>
      <w:marLeft w:val="0"/>
      <w:marRight w:val="0"/>
      <w:marTop w:val="0"/>
      <w:marBottom w:val="0"/>
      <w:divBdr>
        <w:top w:val="none" w:sz="0" w:space="0" w:color="auto"/>
        <w:left w:val="none" w:sz="0" w:space="0" w:color="auto"/>
        <w:bottom w:val="none" w:sz="0" w:space="0" w:color="auto"/>
        <w:right w:val="none" w:sz="0" w:space="0" w:color="auto"/>
      </w:divBdr>
    </w:div>
    <w:div w:id="966357406">
      <w:bodyDiv w:val="1"/>
      <w:marLeft w:val="0"/>
      <w:marRight w:val="0"/>
      <w:marTop w:val="0"/>
      <w:marBottom w:val="0"/>
      <w:divBdr>
        <w:top w:val="none" w:sz="0" w:space="0" w:color="auto"/>
        <w:left w:val="none" w:sz="0" w:space="0" w:color="auto"/>
        <w:bottom w:val="none" w:sz="0" w:space="0" w:color="auto"/>
        <w:right w:val="none" w:sz="0" w:space="0" w:color="auto"/>
      </w:divBdr>
    </w:div>
    <w:div w:id="971204592">
      <w:bodyDiv w:val="1"/>
      <w:marLeft w:val="0"/>
      <w:marRight w:val="0"/>
      <w:marTop w:val="0"/>
      <w:marBottom w:val="0"/>
      <w:divBdr>
        <w:top w:val="none" w:sz="0" w:space="0" w:color="auto"/>
        <w:left w:val="none" w:sz="0" w:space="0" w:color="auto"/>
        <w:bottom w:val="none" w:sz="0" w:space="0" w:color="auto"/>
        <w:right w:val="none" w:sz="0" w:space="0" w:color="auto"/>
      </w:divBdr>
    </w:div>
    <w:div w:id="986594959">
      <w:bodyDiv w:val="1"/>
      <w:marLeft w:val="0"/>
      <w:marRight w:val="0"/>
      <w:marTop w:val="0"/>
      <w:marBottom w:val="0"/>
      <w:divBdr>
        <w:top w:val="none" w:sz="0" w:space="0" w:color="auto"/>
        <w:left w:val="none" w:sz="0" w:space="0" w:color="auto"/>
        <w:bottom w:val="none" w:sz="0" w:space="0" w:color="auto"/>
        <w:right w:val="none" w:sz="0" w:space="0" w:color="auto"/>
      </w:divBdr>
    </w:div>
    <w:div w:id="987707784">
      <w:bodyDiv w:val="1"/>
      <w:marLeft w:val="0"/>
      <w:marRight w:val="0"/>
      <w:marTop w:val="0"/>
      <w:marBottom w:val="0"/>
      <w:divBdr>
        <w:top w:val="none" w:sz="0" w:space="0" w:color="auto"/>
        <w:left w:val="none" w:sz="0" w:space="0" w:color="auto"/>
        <w:bottom w:val="none" w:sz="0" w:space="0" w:color="auto"/>
        <w:right w:val="none" w:sz="0" w:space="0" w:color="auto"/>
      </w:divBdr>
    </w:div>
    <w:div w:id="1031954294">
      <w:bodyDiv w:val="1"/>
      <w:marLeft w:val="0"/>
      <w:marRight w:val="0"/>
      <w:marTop w:val="0"/>
      <w:marBottom w:val="0"/>
      <w:divBdr>
        <w:top w:val="none" w:sz="0" w:space="0" w:color="auto"/>
        <w:left w:val="none" w:sz="0" w:space="0" w:color="auto"/>
        <w:bottom w:val="none" w:sz="0" w:space="0" w:color="auto"/>
        <w:right w:val="none" w:sz="0" w:space="0" w:color="auto"/>
      </w:divBdr>
    </w:div>
    <w:div w:id="1056734374">
      <w:bodyDiv w:val="1"/>
      <w:marLeft w:val="0"/>
      <w:marRight w:val="0"/>
      <w:marTop w:val="0"/>
      <w:marBottom w:val="0"/>
      <w:divBdr>
        <w:top w:val="none" w:sz="0" w:space="0" w:color="auto"/>
        <w:left w:val="none" w:sz="0" w:space="0" w:color="auto"/>
        <w:bottom w:val="none" w:sz="0" w:space="0" w:color="auto"/>
        <w:right w:val="none" w:sz="0" w:space="0" w:color="auto"/>
      </w:divBdr>
    </w:div>
    <w:div w:id="1064068601">
      <w:bodyDiv w:val="1"/>
      <w:marLeft w:val="0"/>
      <w:marRight w:val="0"/>
      <w:marTop w:val="0"/>
      <w:marBottom w:val="0"/>
      <w:divBdr>
        <w:top w:val="none" w:sz="0" w:space="0" w:color="auto"/>
        <w:left w:val="none" w:sz="0" w:space="0" w:color="auto"/>
        <w:bottom w:val="none" w:sz="0" w:space="0" w:color="auto"/>
        <w:right w:val="none" w:sz="0" w:space="0" w:color="auto"/>
      </w:divBdr>
    </w:div>
    <w:div w:id="1064329351">
      <w:bodyDiv w:val="1"/>
      <w:marLeft w:val="0"/>
      <w:marRight w:val="0"/>
      <w:marTop w:val="0"/>
      <w:marBottom w:val="0"/>
      <w:divBdr>
        <w:top w:val="none" w:sz="0" w:space="0" w:color="auto"/>
        <w:left w:val="none" w:sz="0" w:space="0" w:color="auto"/>
        <w:bottom w:val="none" w:sz="0" w:space="0" w:color="auto"/>
        <w:right w:val="none" w:sz="0" w:space="0" w:color="auto"/>
      </w:divBdr>
    </w:div>
    <w:div w:id="1071536394">
      <w:bodyDiv w:val="1"/>
      <w:marLeft w:val="0"/>
      <w:marRight w:val="0"/>
      <w:marTop w:val="0"/>
      <w:marBottom w:val="0"/>
      <w:divBdr>
        <w:top w:val="none" w:sz="0" w:space="0" w:color="auto"/>
        <w:left w:val="none" w:sz="0" w:space="0" w:color="auto"/>
        <w:bottom w:val="none" w:sz="0" w:space="0" w:color="auto"/>
        <w:right w:val="none" w:sz="0" w:space="0" w:color="auto"/>
      </w:divBdr>
    </w:div>
    <w:div w:id="1093017303">
      <w:bodyDiv w:val="1"/>
      <w:marLeft w:val="0"/>
      <w:marRight w:val="0"/>
      <w:marTop w:val="0"/>
      <w:marBottom w:val="0"/>
      <w:divBdr>
        <w:top w:val="none" w:sz="0" w:space="0" w:color="auto"/>
        <w:left w:val="none" w:sz="0" w:space="0" w:color="auto"/>
        <w:bottom w:val="none" w:sz="0" w:space="0" w:color="auto"/>
        <w:right w:val="none" w:sz="0" w:space="0" w:color="auto"/>
      </w:divBdr>
    </w:div>
    <w:div w:id="1103572765">
      <w:bodyDiv w:val="1"/>
      <w:marLeft w:val="0"/>
      <w:marRight w:val="0"/>
      <w:marTop w:val="0"/>
      <w:marBottom w:val="0"/>
      <w:divBdr>
        <w:top w:val="none" w:sz="0" w:space="0" w:color="auto"/>
        <w:left w:val="none" w:sz="0" w:space="0" w:color="auto"/>
        <w:bottom w:val="none" w:sz="0" w:space="0" w:color="auto"/>
        <w:right w:val="none" w:sz="0" w:space="0" w:color="auto"/>
      </w:divBdr>
    </w:div>
    <w:div w:id="1111587084">
      <w:bodyDiv w:val="1"/>
      <w:marLeft w:val="0"/>
      <w:marRight w:val="0"/>
      <w:marTop w:val="0"/>
      <w:marBottom w:val="0"/>
      <w:divBdr>
        <w:top w:val="none" w:sz="0" w:space="0" w:color="auto"/>
        <w:left w:val="none" w:sz="0" w:space="0" w:color="auto"/>
        <w:bottom w:val="none" w:sz="0" w:space="0" w:color="auto"/>
        <w:right w:val="none" w:sz="0" w:space="0" w:color="auto"/>
      </w:divBdr>
    </w:div>
    <w:div w:id="1120101198">
      <w:bodyDiv w:val="1"/>
      <w:marLeft w:val="0"/>
      <w:marRight w:val="0"/>
      <w:marTop w:val="0"/>
      <w:marBottom w:val="0"/>
      <w:divBdr>
        <w:top w:val="none" w:sz="0" w:space="0" w:color="auto"/>
        <w:left w:val="none" w:sz="0" w:space="0" w:color="auto"/>
        <w:bottom w:val="none" w:sz="0" w:space="0" w:color="auto"/>
        <w:right w:val="none" w:sz="0" w:space="0" w:color="auto"/>
      </w:divBdr>
    </w:div>
    <w:div w:id="1121413647">
      <w:bodyDiv w:val="1"/>
      <w:marLeft w:val="0"/>
      <w:marRight w:val="0"/>
      <w:marTop w:val="0"/>
      <w:marBottom w:val="0"/>
      <w:divBdr>
        <w:top w:val="none" w:sz="0" w:space="0" w:color="auto"/>
        <w:left w:val="none" w:sz="0" w:space="0" w:color="auto"/>
        <w:bottom w:val="none" w:sz="0" w:space="0" w:color="auto"/>
        <w:right w:val="none" w:sz="0" w:space="0" w:color="auto"/>
      </w:divBdr>
    </w:div>
    <w:div w:id="1129783312">
      <w:bodyDiv w:val="1"/>
      <w:marLeft w:val="0"/>
      <w:marRight w:val="0"/>
      <w:marTop w:val="0"/>
      <w:marBottom w:val="0"/>
      <w:divBdr>
        <w:top w:val="none" w:sz="0" w:space="0" w:color="auto"/>
        <w:left w:val="none" w:sz="0" w:space="0" w:color="auto"/>
        <w:bottom w:val="none" w:sz="0" w:space="0" w:color="auto"/>
        <w:right w:val="none" w:sz="0" w:space="0" w:color="auto"/>
      </w:divBdr>
    </w:div>
    <w:div w:id="1148594071">
      <w:bodyDiv w:val="1"/>
      <w:marLeft w:val="0"/>
      <w:marRight w:val="0"/>
      <w:marTop w:val="0"/>
      <w:marBottom w:val="0"/>
      <w:divBdr>
        <w:top w:val="none" w:sz="0" w:space="0" w:color="auto"/>
        <w:left w:val="none" w:sz="0" w:space="0" w:color="auto"/>
        <w:bottom w:val="none" w:sz="0" w:space="0" w:color="auto"/>
        <w:right w:val="none" w:sz="0" w:space="0" w:color="auto"/>
      </w:divBdr>
    </w:div>
    <w:div w:id="1153377717">
      <w:bodyDiv w:val="1"/>
      <w:marLeft w:val="0"/>
      <w:marRight w:val="0"/>
      <w:marTop w:val="0"/>
      <w:marBottom w:val="0"/>
      <w:divBdr>
        <w:top w:val="none" w:sz="0" w:space="0" w:color="auto"/>
        <w:left w:val="none" w:sz="0" w:space="0" w:color="auto"/>
        <w:bottom w:val="none" w:sz="0" w:space="0" w:color="auto"/>
        <w:right w:val="none" w:sz="0" w:space="0" w:color="auto"/>
      </w:divBdr>
    </w:div>
    <w:div w:id="1189220020">
      <w:bodyDiv w:val="1"/>
      <w:marLeft w:val="0"/>
      <w:marRight w:val="0"/>
      <w:marTop w:val="0"/>
      <w:marBottom w:val="0"/>
      <w:divBdr>
        <w:top w:val="none" w:sz="0" w:space="0" w:color="auto"/>
        <w:left w:val="none" w:sz="0" w:space="0" w:color="auto"/>
        <w:bottom w:val="none" w:sz="0" w:space="0" w:color="auto"/>
        <w:right w:val="none" w:sz="0" w:space="0" w:color="auto"/>
      </w:divBdr>
    </w:div>
    <w:div w:id="1222325620">
      <w:bodyDiv w:val="1"/>
      <w:marLeft w:val="0"/>
      <w:marRight w:val="0"/>
      <w:marTop w:val="0"/>
      <w:marBottom w:val="0"/>
      <w:divBdr>
        <w:top w:val="none" w:sz="0" w:space="0" w:color="auto"/>
        <w:left w:val="none" w:sz="0" w:space="0" w:color="auto"/>
        <w:bottom w:val="none" w:sz="0" w:space="0" w:color="auto"/>
        <w:right w:val="none" w:sz="0" w:space="0" w:color="auto"/>
      </w:divBdr>
    </w:div>
    <w:div w:id="1228154240">
      <w:bodyDiv w:val="1"/>
      <w:marLeft w:val="0"/>
      <w:marRight w:val="0"/>
      <w:marTop w:val="0"/>
      <w:marBottom w:val="0"/>
      <w:divBdr>
        <w:top w:val="none" w:sz="0" w:space="0" w:color="auto"/>
        <w:left w:val="none" w:sz="0" w:space="0" w:color="auto"/>
        <w:bottom w:val="none" w:sz="0" w:space="0" w:color="auto"/>
        <w:right w:val="none" w:sz="0" w:space="0" w:color="auto"/>
      </w:divBdr>
    </w:div>
    <w:div w:id="1228763344">
      <w:bodyDiv w:val="1"/>
      <w:marLeft w:val="0"/>
      <w:marRight w:val="0"/>
      <w:marTop w:val="0"/>
      <w:marBottom w:val="0"/>
      <w:divBdr>
        <w:top w:val="none" w:sz="0" w:space="0" w:color="auto"/>
        <w:left w:val="none" w:sz="0" w:space="0" w:color="auto"/>
        <w:bottom w:val="none" w:sz="0" w:space="0" w:color="auto"/>
        <w:right w:val="none" w:sz="0" w:space="0" w:color="auto"/>
      </w:divBdr>
    </w:div>
    <w:div w:id="1234848398">
      <w:bodyDiv w:val="1"/>
      <w:marLeft w:val="0"/>
      <w:marRight w:val="0"/>
      <w:marTop w:val="0"/>
      <w:marBottom w:val="0"/>
      <w:divBdr>
        <w:top w:val="none" w:sz="0" w:space="0" w:color="auto"/>
        <w:left w:val="none" w:sz="0" w:space="0" w:color="auto"/>
        <w:bottom w:val="none" w:sz="0" w:space="0" w:color="auto"/>
        <w:right w:val="none" w:sz="0" w:space="0" w:color="auto"/>
      </w:divBdr>
    </w:div>
    <w:div w:id="1238831245">
      <w:bodyDiv w:val="1"/>
      <w:marLeft w:val="0"/>
      <w:marRight w:val="0"/>
      <w:marTop w:val="0"/>
      <w:marBottom w:val="0"/>
      <w:divBdr>
        <w:top w:val="none" w:sz="0" w:space="0" w:color="auto"/>
        <w:left w:val="none" w:sz="0" w:space="0" w:color="auto"/>
        <w:bottom w:val="none" w:sz="0" w:space="0" w:color="auto"/>
        <w:right w:val="none" w:sz="0" w:space="0" w:color="auto"/>
      </w:divBdr>
    </w:div>
    <w:div w:id="1239243710">
      <w:bodyDiv w:val="1"/>
      <w:marLeft w:val="0"/>
      <w:marRight w:val="0"/>
      <w:marTop w:val="0"/>
      <w:marBottom w:val="0"/>
      <w:divBdr>
        <w:top w:val="none" w:sz="0" w:space="0" w:color="auto"/>
        <w:left w:val="none" w:sz="0" w:space="0" w:color="auto"/>
        <w:bottom w:val="none" w:sz="0" w:space="0" w:color="auto"/>
        <w:right w:val="none" w:sz="0" w:space="0" w:color="auto"/>
      </w:divBdr>
    </w:div>
    <w:div w:id="1248030228">
      <w:bodyDiv w:val="1"/>
      <w:marLeft w:val="0"/>
      <w:marRight w:val="0"/>
      <w:marTop w:val="0"/>
      <w:marBottom w:val="0"/>
      <w:divBdr>
        <w:top w:val="none" w:sz="0" w:space="0" w:color="auto"/>
        <w:left w:val="none" w:sz="0" w:space="0" w:color="auto"/>
        <w:bottom w:val="none" w:sz="0" w:space="0" w:color="auto"/>
        <w:right w:val="none" w:sz="0" w:space="0" w:color="auto"/>
      </w:divBdr>
    </w:div>
    <w:div w:id="1272324453">
      <w:bodyDiv w:val="1"/>
      <w:marLeft w:val="0"/>
      <w:marRight w:val="0"/>
      <w:marTop w:val="0"/>
      <w:marBottom w:val="0"/>
      <w:divBdr>
        <w:top w:val="none" w:sz="0" w:space="0" w:color="auto"/>
        <w:left w:val="none" w:sz="0" w:space="0" w:color="auto"/>
        <w:bottom w:val="none" w:sz="0" w:space="0" w:color="auto"/>
        <w:right w:val="none" w:sz="0" w:space="0" w:color="auto"/>
      </w:divBdr>
    </w:div>
    <w:div w:id="1289312289">
      <w:bodyDiv w:val="1"/>
      <w:marLeft w:val="0"/>
      <w:marRight w:val="0"/>
      <w:marTop w:val="0"/>
      <w:marBottom w:val="0"/>
      <w:divBdr>
        <w:top w:val="none" w:sz="0" w:space="0" w:color="auto"/>
        <w:left w:val="none" w:sz="0" w:space="0" w:color="auto"/>
        <w:bottom w:val="none" w:sz="0" w:space="0" w:color="auto"/>
        <w:right w:val="none" w:sz="0" w:space="0" w:color="auto"/>
      </w:divBdr>
    </w:div>
    <w:div w:id="1293749944">
      <w:bodyDiv w:val="1"/>
      <w:marLeft w:val="0"/>
      <w:marRight w:val="0"/>
      <w:marTop w:val="0"/>
      <w:marBottom w:val="0"/>
      <w:divBdr>
        <w:top w:val="none" w:sz="0" w:space="0" w:color="auto"/>
        <w:left w:val="none" w:sz="0" w:space="0" w:color="auto"/>
        <w:bottom w:val="none" w:sz="0" w:space="0" w:color="auto"/>
        <w:right w:val="none" w:sz="0" w:space="0" w:color="auto"/>
      </w:divBdr>
    </w:div>
    <w:div w:id="1296718046">
      <w:bodyDiv w:val="1"/>
      <w:marLeft w:val="0"/>
      <w:marRight w:val="0"/>
      <w:marTop w:val="0"/>
      <w:marBottom w:val="0"/>
      <w:divBdr>
        <w:top w:val="none" w:sz="0" w:space="0" w:color="auto"/>
        <w:left w:val="none" w:sz="0" w:space="0" w:color="auto"/>
        <w:bottom w:val="none" w:sz="0" w:space="0" w:color="auto"/>
        <w:right w:val="none" w:sz="0" w:space="0" w:color="auto"/>
      </w:divBdr>
    </w:div>
    <w:div w:id="1322150343">
      <w:bodyDiv w:val="1"/>
      <w:marLeft w:val="0"/>
      <w:marRight w:val="0"/>
      <w:marTop w:val="0"/>
      <w:marBottom w:val="0"/>
      <w:divBdr>
        <w:top w:val="none" w:sz="0" w:space="0" w:color="auto"/>
        <w:left w:val="none" w:sz="0" w:space="0" w:color="auto"/>
        <w:bottom w:val="none" w:sz="0" w:space="0" w:color="auto"/>
        <w:right w:val="none" w:sz="0" w:space="0" w:color="auto"/>
      </w:divBdr>
    </w:div>
    <w:div w:id="1351373798">
      <w:bodyDiv w:val="1"/>
      <w:marLeft w:val="0"/>
      <w:marRight w:val="0"/>
      <w:marTop w:val="0"/>
      <w:marBottom w:val="0"/>
      <w:divBdr>
        <w:top w:val="none" w:sz="0" w:space="0" w:color="auto"/>
        <w:left w:val="none" w:sz="0" w:space="0" w:color="auto"/>
        <w:bottom w:val="none" w:sz="0" w:space="0" w:color="auto"/>
        <w:right w:val="none" w:sz="0" w:space="0" w:color="auto"/>
      </w:divBdr>
    </w:div>
    <w:div w:id="1361198575">
      <w:bodyDiv w:val="1"/>
      <w:marLeft w:val="0"/>
      <w:marRight w:val="0"/>
      <w:marTop w:val="0"/>
      <w:marBottom w:val="0"/>
      <w:divBdr>
        <w:top w:val="none" w:sz="0" w:space="0" w:color="auto"/>
        <w:left w:val="none" w:sz="0" w:space="0" w:color="auto"/>
        <w:bottom w:val="none" w:sz="0" w:space="0" w:color="auto"/>
        <w:right w:val="none" w:sz="0" w:space="0" w:color="auto"/>
      </w:divBdr>
    </w:div>
    <w:div w:id="1363240846">
      <w:bodyDiv w:val="1"/>
      <w:marLeft w:val="0"/>
      <w:marRight w:val="0"/>
      <w:marTop w:val="0"/>
      <w:marBottom w:val="0"/>
      <w:divBdr>
        <w:top w:val="none" w:sz="0" w:space="0" w:color="auto"/>
        <w:left w:val="none" w:sz="0" w:space="0" w:color="auto"/>
        <w:bottom w:val="none" w:sz="0" w:space="0" w:color="auto"/>
        <w:right w:val="none" w:sz="0" w:space="0" w:color="auto"/>
      </w:divBdr>
    </w:div>
    <w:div w:id="1381705496">
      <w:bodyDiv w:val="1"/>
      <w:marLeft w:val="0"/>
      <w:marRight w:val="0"/>
      <w:marTop w:val="0"/>
      <w:marBottom w:val="0"/>
      <w:divBdr>
        <w:top w:val="none" w:sz="0" w:space="0" w:color="auto"/>
        <w:left w:val="none" w:sz="0" w:space="0" w:color="auto"/>
        <w:bottom w:val="none" w:sz="0" w:space="0" w:color="auto"/>
        <w:right w:val="none" w:sz="0" w:space="0" w:color="auto"/>
      </w:divBdr>
    </w:div>
    <w:div w:id="1383168262">
      <w:bodyDiv w:val="1"/>
      <w:marLeft w:val="0"/>
      <w:marRight w:val="0"/>
      <w:marTop w:val="0"/>
      <w:marBottom w:val="0"/>
      <w:divBdr>
        <w:top w:val="none" w:sz="0" w:space="0" w:color="auto"/>
        <w:left w:val="none" w:sz="0" w:space="0" w:color="auto"/>
        <w:bottom w:val="none" w:sz="0" w:space="0" w:color="auto"/>
        <w:right w:val="none" w:sz="0" w:space="0" w:color="auto"/>
      </w:divBdr>
    </w:div>
    <w:div w:id="1395398587">
      <w:bodyDiv w:val="1"/>
      <w:marLeft w:val="0"/>
      <w:marRight w:val="0"/>
      <w:marTop w:val="0"/>
      <w:marBottom w:val="0"/>
      <w:divBdr>
        <w:top w:val="none" w:sz="0" w:space="0" w:color="auto"/>
        <w:left w:val="none" w:sz="0" w:space="0" w:color="auto"/>
        <w:bottom w:val="none" w:sz="0" w:space="0" w:color="auto"/>
        <w:right w:val="none" w:sz="0" w:space="0" w:color="auto"/>
      </w:divBdr>
    </w:div>
    <w:div w:id="1400398137">
      <w:bodyDiv w:val="1"/>
      <w:marLeft w:val="0"/>
      <w:marRight w:val="0"/>
      <w:marTop w:val="0"/>
      <w:marBottom w:val="0"/>
      <w:divBdr>
        <w:top w:val="none" w:sz="0" w:space="0" w:color="auto"/>
        <w:left w:val="none" w:sz="0" w:space="0" w:color="auto"/>
        <w:bottom w:val="none" w:sz="0" w:space="0" w:color="auto"/>
        <w:right w:val="none" w:sz="0" w:space="0" w:color="auto"/>
      </w:divBdr>
    </w:div>
    <w:div w:id="1417020106">
      <w:bodyDiv w:val="1"/>
      <w:marLeft w:val="0"/>
      <w:marRight w:val="0"/>
      <w:marTop w:val="0"/>
      <w:marBottom w:val="0"/>
      <w:divBdr>
        <w:top w:val="none" w:sz="0" w:space="0" w:color="auto"/>
        <w:left w:val="none" w:sz="0" w:space="0" w:color="auto"/>
        <w:bottom w:val="none" w:sz="0" w:space="0" w:color="auto"/>
        <w:right w:val="none" w:sz="0" w:space="0" w:color="auto"/>
      </w:divBdr>
    </w:div>
    <w:div w:id="1425955900">
      <w:bodyDiv w:val="1"/>
      <w:marLeft w:val="0"/>
      <w:marRight w:val="0"/>
      <w:marTop w:val="0"/>
      <w:marBottom w:val="0"/>
      <w:divBdr>
        <w:top w:val="none" w:sz="0" w:space="0" w:color="auto"/>
        <w:left w:val="none" w:sz="0" w:space="0" w:color="auto"/>
        <w:bottom w:val="none" w:sz="0" w:space="0" w:color="auto"/>
        <w:right w:val="none" w:sz="0" w:space="0" w:color="auto"/>
      </w:divBdr>
    </w:div>
    <w:div w:id="1437364253">
      <w:bodyDiv w:val="1"/>
      <w:marLeft w:val="0"/>
      <w:marRight w:val="0"/>
      <w:marTop w:val="0"/>
      <w:marBottom w:val="0"/>
      <w:divBdr>
        <w:top w:val="none" w:sz="0" w:space="0" w:color="auto"/>
        <w:left w:val="none" w:sz="0" w:space="0" w:color="auto"/>
        <w:bottom w:val="none" w:sz="0" w:space="0" w:color="auto"/>
        <w:right w:val="none" w:sz="0" w:space="0" w:color="auto"/>
      </w:divBdr>
    </w:div>
    <w:div w:id="1443379106">
      <w:bodyDiv w:val="1"/>
      <w:marLeft w:val="0"/>
      <w:marRight w:val="0"/>
      <w:marTop w:val="0"/>
      <w:marBottom w:val="0"/>
      <w:divBdr>
        <w:top w:val="none" w:sz="0" w:space="0" w:color="auto"/>
        <w:left w:val="none" w:sz="0" w:space="0" w:color="auto"/>
        <w:bottom w:val="none" w:sz="0" w:space="0" w:color="auto"/>
        <w:right w:val="none" w:sz="0" w:space="0" w:color="auto"/>
      </w:divBdr>
    </w:div>
    <w:div w:id="1450733779">
      <w:bodyDiv w:val="1"/>
      <w:marLeft w:val="0"/>
      <w:marRight w:val="0"/>
      <w:marTop w:val="0"/>
      <w:marBottom w:val="0"/>
      <w:divBdr>
        <w:top w:val="none" w:sz="0" w:space="0" w:color="auto"/>
        <w:left w:val="none" w:sz="0" w:space="0" w:color="auto"/>
        <w:bottom w:val="none" w:sz="0" w:space="0" w:color="auto"/>
        <w:right w:val="none" w:sz="0" w:space="0" w:color="auto"/>
      </w:divBdr>
    </w:div>
    <w:div w:id="1457068804">
      <w:bodyDiv w:val="1"/>
      <w:marLeft w:val="0"/>
      <w:marRight w:val="0"/>
      <w:marTop w:val="0"/>
      <w:marBottom w:val="0"/>
      <w:divBdr>
        <w:top w:val="none" w:sz="0" w:space="0" w:color="auto"/>
        <w:left w:val="none" w:sz="0" w:space="0" w:color="auto"/>
        <w:bottom w:val="none" w:sz="0" w:space="0" w:color="auto"/>
        <w:right w:val="none" w:sz="0" w:space="0" w:color="auto"/>
      </w:divBdr>
    </w:div>
    <w:div w:id="1484732998">
      <w:bodyDiv w:val="1"/>
      <w:marLeft w:val="0"/>
      <w:marRight w:val="0"/>
      <w:marTop w:val="0"/>
      <w:marBottom w:val="0"/>
      <w:divBdr>
        <w:top w:val="none" w:sz="0" w:space="0" w:color="auto"/>
        <w:left w:val="none" w:sz="0" w:space="0" w:color="auto"/>
        <w:bottom w:val="none" w:sz="0" w:space="0" w:color="auto"/>
        <w:right w:val="none" w:sz="0" w:space="0" w:color="auto"/>
      </w:divBdr>
    </w:div>
    <w:div w:id="1487552652">
      <w:bodyDiv w:val="1"/>
      <w:marLeft w:val="0"/>
      <w:marRight w:val="0"/>
      <w:marTop w:val="0"/>
      <w:marBottom w:val="0"/>
      <w:divBdr>
        <w:top w:val="none" w:sz="0" w:space="0" w:color="auto"/>
        <w:left w:val="none" w:sz="0" w:space="0" w:color="auto"/>
        <w:bottom w:val="none" w:sz="0" w:space="0" w:color="auto"/>
        <w:right w:val="none" w:sz="0" w:space="0" w:color="auto"/>
      </w:divBdr>
    </w:div>
    <w:div w:id="1492596595">
      <w:bodyDiv w:val="1"/>
      <w:marLeft w:val="0"/>
      <w:marRight w:val="0"/>
      <w:marTop w:val="0"/>
      <w:marBottom w:val="0"/>
      <w:divBdr>
        <w:top w:val="none" w:sz="0" w:space="0" w:color="auto"/>
        <w:left w:val="none" w:sz="0" w:space="0" w:color="auto"/>
        <w:bottom w:val="none" w:sz="0" w:space="0" w:color="auto"/>
        <w:right w:val="none" w:sz="0" w:space="0" w:color="auto"/>
      </w:divBdr>
    </w:div>
    <w:div w:id="1500316425">
      <w:bodyDiv w:val="1"/>
      <w:marLeft w:val="0"/>
      <w:marRight w:val="0"/>
      <w:marTop w:val="0"/>
      <w:marBottom w:val="0"/>
      <w:divBdr>
        <w:top w:val="none" w:sz="0" w:space="0" w:color="auto"/>
        <w:left w:val="none" w:sz="0" w:space="0" w:color="auto"/>
        <w:bottom w:val="none" w:sz="0" w:space="0" w:color="auto"/>
        <w:right w:val="none" w:sz="0" w:space="0" w:color="auto"/>
      </w:divBdr>
    </w:div>
    <w:div w:id="1502115120">
      <w:bodyDiv w:val="1"/>
      <w:marLeft w:val="0"/>
      <w:marRight w:val="0"/>
      <w:marTop w:val="0"/>
      <w:marBottom w:val="0"/>
      <w:divBdr>
        <w:top w:val="none" w:sz="0" w:space="0" w:color="auto"/>
        <w:left w:val="none" w:sz="0" w:space="0" w:color="auto"/>
        <w:bottom w:val="none" w:sz="0" w:space="0" w:color="auto"/>
        <w:right w:val="none" w:sz="0" w:space="0" w:color="auto"/>
      </w:divBdr>
    </w:div>
    <w:div w:id="1504081066">
      <w:bodyDiv w:val="1"/>
      <w:marLeft w:val="0"/>
      <w:marRight w:val="0"/>
      <w:marTop w:val="0"/>
      <w:marBottom w:val="0"/>
      <w:divBdr>
        <w:top w:val="none" w:sz="0" w:space="0" w:color="auto"/>
        <w:left w:val="none" w:sz="0" w:space="0" w:color="auto"/>
        <w:bottom w:val="none" w:sz="0" w:space="0" w:color="auto"/>
        <w:right w:val="none" w:sz="0" w:space="0" w:color="auto"/>
      </w:divBdr>
    </w:div>
    <w:div w:id="1520270407">
      <w:bodyDiv w:val="1"/>
      <w:marLeft w:val="0"/>
      <w:marRight w:val="0"/>
      <w:marTop w:val="0"/>
      <w:marBottom w:val="0"/>
      <w:divBdr>
        <w:top w:val="none" w:sz="0" w:space="0" w:color="auto"/>
        <w:left w:val="none" w:sz="0" w:space="0" w:color="auto"/>
        <w:bottom w:val="none" w:sz="0" w:space="0" w:color="auto"/>
        <w:right w:val="none" w:sz="0" w:space="0" w:color="auto"/>
      </w:divBdr>
    </w:div>
    <w:div w:id="1533498783">
      <w:bodyDiv w:val="1"/>
      <w:marLeft w:val="0"/>
      <w:marRight w:val="0"/>
      <w:marTop w:val="0"/>
      <w:marBottom w:val="0"/>
      <w:divBdr>
        <w:top w:val="none" w:sz="0" w:space="0" w:color="auto"/>
        <w:left w:val="none" w:sz="0" w:space="0" w:color="auto"/>
        <w:bottom w:val="none" w:sz="0" w:space="0" w:color="auto"/>
        <w:right w:val="none" w:sz="0" w:space="0" w:color="auto"/>
      </w:divBdr>
    </w:div>
    <w:div w:id="1534532783">
      <w:bodyDiv w:val="1"/>
      <w:marLeft w:val="0"/>
      <w:marRight w:val="0"/>
      <w:marTop w:val="0"/>
      <w:marBottom w:val="0"/>
      <w:divBdr>
        <w:top w:val="none" w:sz="0" w:space="0" w:color="auto"/>
        <w:left w:val="none" w:sz="0" w:space="0" w:color="auto"/>
        <w:bottom w:val="none" w:sz="0" w:space="0" w:color="auto"/>
        <w:right w:val="none" w:sz="0" w:space="0" w:color="auto"/>
      </w:divBdr>
    </w:div>
    <w:div w:id="1539050460">
      <w:bodyDiv w:val="1"/>
      <w:marLeft w:val="0"/>
      <w:marRight w:val="0"/>
      <w:marTop w:val="0"/>
      <w:marBottom w:val="0"/>
      <w:divBdr>
        <w:top w:val="none" w:sz="0" w:space="0" w:color="auto"/>
        <w:left w:val="none" w:sz="0" w:space="0" w:color="auto"/>
        <w:bottom w:val="none" w:sz="0" w:space="0" w:color="auto"/>
        <w:right w:val="none" w:sz="0" w:space="0" w:color="auto"/>
      </w:divBdr>
    </w:div>
    <w:div w:id="1564485435">
      <w:bodyDiv w:val="1"/>
      <w:marLeft w:val="0"/>
      <w:marRight w:val="0"/>
      <w:marTop w:val="0"/>
      <w:marBottom w:val="0"/>
      <w:divBdr>
        <w:top w:val="none" w:sz="0" w:space="0" w:color="auto"/>
        <w:left w:val="none" w:sz="0" w:space="0" w:color="auto"/>
        <w:bottom w:val="none" w:sz="0" w:space="0" w:color="auto"/>
        <w:right w:val="none" w:sz="0" w:space="0" w:color="auto"/>
      </w:divBdr>
    </w:div>
    <w:div w:id="1565753223">
      <w:bodyDiv w:val="1"/>
      <w:marLeft w:val="0"/>
      <w:marRight w:val="0"/>
      <w:marTop w:val="0"/>
      <w:marBottom w:val="0"/>
      <w:divBdr>
        <w:top w:val="none" w:sz="0" w:space="0" w:color="auto"/>
        <w:left w:val="none" w:sz="0" w:space="0" w:color="auto"/>
        <w:bottom w:val="none" w:sz="0" w:space="0" w:color="auto"/>
        <w:right w:val="none" w:sz="0" w:space="0" w:color="auto"/>
      </w:divBdr>
    </w:div>
    <w:div w:id="1568493251">
      <w:bodyDiv w:val="1"/>
      <w:marLeft w:val="0"/>
      <w:marRight w:val="0"/>
      <w:marTop w:val="0"/>
      <w:marBottom w:val="0"/>
      <w:divBdr>
        <w:top w:val="none" w:sz="0" w:space="0" w:color="auto"/>
        <w:left w:val="none" w:sz="0" w:space="0" w:color="auto"/>
        <w:bottom w:val="none" w:sz="0" w:space="0" w:color="auto"/>
        <w:right w:val="none" w:sz="0" w:space="0" w:color="auto"/>
      </w:divBdr>
    </w:div>
    <w:div w:id="1572426263">
      <w:bodyDiv w:val="1"/>
      <w:marLeft w:val="0"/>
      <w:marRight w:val="0"/>
      <w:marTop w:val="0"/>
      <w:marBottom w:val="0"/>
      <w:divBdr>
        <w:top w:val="none" w:sz="0" w:space="0" w:color="auto"/>
        <w:left w:val="none" w:sz="0" w:space="0" w:color="auto"/>
        <w:bottom w:val="none" w:sz="0" w:space="0" w:color="auto"/>
        <w:right w:val="none" w:sz="0" w:space="0" w:color="auto"/>
      </w:divBdr>
    </w:div>
    <w:div w:id="1582328793">
      <w:bodyDiv w:val="1"/>
      <w:marLeft w:val="0"/>
      <w:marRight w:val="0"/>
      <w:marTop w:val="0"/>
      <w:marBottom w:val="0"/>
      <w:divBdr>
        <w:top w:val="none" w:sz="0" w:space="0" w:color="auto"/>
        <w:left w:val="none" w:sz="0" w:space="0" w:color="auto"/>
        <w:bottom w:val="none" w:sz="0" w:space="0" w:color="auto"/>
        <w:right w:val="none" w:sz="0" w:space="0" w:color="auto"/>
      </w:divBdr>
    </w:div>
    <w:div w:id="1593395825">
      <w:bodyDiv w:val="1"/>
      <w:marLeft w:val="0"/>
      <w:marRight w:val="0"/>
      <w:marTop w:val="0"/>
      <w:marBottom w:val="0"/>
      <w:divBdr>
        <w:top w:val="none" w:sz="0" w:space="0" w:color="auto"/>
        <w:left w:val="none" w:sz="0" w:space="0" w:color="auto"/>
        <w:bottom w:val="none" w:sz="0" w:space="0" w:color="auto"/>
        <w:right w:val="none" w:sz="0" w:space="0" w:color="auto"/>
      </w:divBdr>
    </w:div>
    <w:div w:id="1603994863">
      <w:bodyDiv w:val="1"/>
      <w:marLeft w:val="0"/>
      <w:marRight w:val="0"/>
      <w:marTop w:val="0"/>
      <w:marBottom w:val="0"/>
      <w:divBdr>
        <w:top w:val="none" w:sz="0" w:space="0" w:color="auto"/>
        <w:left w:val="none" w:sz="0" w:space="0" w:color="auto"/>
        <w:bottom w:val="none" w:sz="0" w:space="0" w:color="auto"/>
        <w:right w:val="none" w:sz="0" w:space="0" w:color="auto"/>
      </w:divBdr>
    </w:div>
    <w:div w:id="1609854270">
      <w:bodyDiv w:val="1"/>
      <w:marLeft w:val="0"/>
      <w:marRight w:val="0"/>
      <w:marTop w:val="0"/>
      <w:marBottom w:val="0"/>
      <w:divBdr>
        <w:top w:val="none" w:sz="0" w:space="0" w:color="auto"/>
        <w:left w:val="none" w:sz="0" w:space="0" w:color="auto"/>
        <w:bottom w:val="none" w:sz="0" w:space="0" w:color="auto"/>
        <w:right w:val="none" w:sz="0" w:space="0" w:color="auto"/>
      </w:divBdr>
    </w:div>
    <w:div w:id="1628467479">
      <w:bodyDiv w:val="1"/>
      <w:marLeft w:val="0"/>
      <w:marRight w:val="0"/>
      <w:marTop w:val="0"/>
      <w:marBottom w:val="0"/>
      <w:divBdr>
        <w:top w:val="none" w:sz="0" w:space="0" w:color="auto"/>
        <w:left w:val="none" w:sz="0" w:space="0" w:color="auto"/>
        <w:bottom w:val="none" w:sz="0" w:space="0" w:color="auto"/>
        <w:right w:val="none" w:sz="0" w:space="0" w:color="auto"/>
      </w:divBdr>
    </w:div>
    <w:div w:id="1638142447">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655912036">
      <w:bodyDiv w:val="1"/>
      <w:marLeft w:val="0"/>
      <w:marRight w:val="0"/>
      <w:marTop w:val="0"/>
      <w:marBottom w:val="0"/>
      <w:divBdr>
        <w:top w:val="none" w:sz="0" w:space="0" w:color="auto"/>
        <w:left w:val="none" w:sz="0" w:space="0" w:color="auto"/>
        <w:bottom w:val="none" w:sz="0" w:space="0" w:color="auto"/>
        <w:right w:val="none" w:sz="0" w:space="0" w:color="auto"/>
      </w:divBdr>
    </w:div>
    <w:div w:id="1661272831">
      <w:bodyDiv w:val="1"/>
      <w:marLeft w:val="0"/>
      <w:marRight w:val="0"/>
      <w:marTop w:val="0"/>
      <w:marBottom w:val="0"/>
      <w:divBdr>
        <w:top w:val="none" w:sz="0" w:space="0" w:color="auto"/>
        <w:left w:val="none" w:sz="0" w:space="0" w:color="auto"/>
        <w:bottom w:val="none" w:sz="0" w:space="0" w:color="auto"/>
        <w:right w:val="none" w:sz="0" w:space="0" w:color="auto"/>
      </w:divBdr>
    </w:div>
    <w:div w:id="1685785356">
      <w:bodyDiv w:val="1"/>
      <w:marLeft w:val="0"/>
      <w:marRight w:val="0"/>
      <w:marTop w:val="0"/>
      <w:marBottom w:val="0"/>
      <w:divBdr>
        <w:top w:val="none" w:sz="0" w:space="0" w:color="auto"/>
        <w:left w:val="none" w:sz="0" w:space="0" w:color="auto"/>
        <w:bottom w:val="none" w:sz="0" w:space="0" w:color="auto"/>
        <w:right w:val="none" w:sz="0" w:space="0" w:color="auto"/>
      </w:divBdr>
    </w:div>
    <w:div w:id="1713845485">
      <w:bodyDiv w:val="1"/>
      <w:marLeft w:val="0"/>
      <w:marRight w:val="0"/>
      <w:marTop w:val="0"/>
      <w:marBottom w:val="0"/>
      <w:divBdr>
        <w:top w:val="none" w:sz="0" w:space="0" w:color="auto"/>
        <w:left w:val="none" w:sz="0" w:space="0" w:color="auto"/>
        <w:bottom w:val="none" w:sz="0" w:space="0" w:color="auto"/>
        <w:right w:val="none" w:sz="0" w:space="0" w:color="auto"/>
      </w:divBdr>
    </w:div>
    <w:div w:id="1740324686">
      <w:bodyDiv w:val="1"/>
      <w:marLeft w:val="0"/>
      <w:marRight w:val="0"/>
      <w:marTop w:val="0"/>
      <w:marBottom w:val="0"/>
      <w:divBdr>
        <w:top w:val="none" w:sz="0" w:space="0" w:color="auto"/>
        <w:left w:val="none" w:sz="0" w:space="0" w:color="auto"/>
        <w:bottom w:val="none" w:sz="0" w:space="0" w:color="auto"/>
        <w:right w:val="none" w:sz="0" w:space="0" w:color="auto"/>
      </w:divBdr>
    </w:div>
    <w:div w:id="1763910170">
      <w:bodyDiv w:val="1"/>
      <w:marLeft w:val="0"/>
      <w:marRight w:val="0"/>
      <w:marTop w:val="0"/>
      <w:marBottom w:val="0"/>
      <w:divBdr>
        <w:top w:val="none" w:sz="0" w:space="0" w:color="auto"/>
        <w:left w:val="none" w:sz="0" w:space="0" w:color="auto"/>
        <w:bottom w:val="none" w:sz="0" w:space="0" w:color="auto"/>
        <w:right w:val="none" w:sz="0" w:space="0" w:color="auto"/>
      </w:divBdr>
    </w:div>
    <w:div w:id="1804033220">
      <w:bodyDiv w:val="1"/>
      <w:marLeft w:val="0"/>
      <w:marRight w:val="0"/>
      <w:marTop w:val="0"/>
      <w:marBottom w:val="0"/>
      <w:divBdr>
        <w:top w:val="none" w:sz="0" w:space="0" w:color="auto"/>
        <w:left w:val="none" w:sz="0" w:space="0" w:color="auto"/>
        <w:bottom w:val="none" w:sz="0" w:space="0" w:color="auto"/>
        <w:right w:val="none" w:sz="0" w:space="0" w:color="auto"/>
      </w:divBdr>
    </w:div>
    <w:div w:id="1804806676">
      <w:bodyDiv w:val="1"/>
      <w:marLeft w:val="0"/>
      <w:marRight w:val="0"/>
      <w:marTop w:val="0"/>
      <w:marBottom w:val="0"/>
      <w:divBdr>
        <w:top w:val="none" w:sz="0" w:space="0" w:color="auto"/>
        <w:left w:val="none" w:sz="0" w:space="0" w:color="auto"/>
        <w:bottom w:val="none" w:sz="0" w:space="0" w:color="auto"/>
        <w:right w:val="none" w:sz="0" w:space="0" w:color="auto"/>
      </w:divBdr>
    </w:div>
    <w:div w:id="1810901055">
      <w:bodyDiv w:val="1"/>
      <w:marLeft w:val="0"/>
      <w:marRight w:val="0"/>
      <w:marTop w:val="0"/>
      <w:marBottom w:val="0"/>
      <w:divBdr>
        <w:top w:val="none" w:sz="0" w:space="0" w:color="auto"/>
        <w:left w:val="none" w:sz="0" w:space="0" w:color="auto"/>
        <w:bottom w:val="none" w:sz="0" w:space="0" w:color="auto"/>
        <w:right w:val="none" w:sz="0" w:space="0" w:color="auto"/>
      </w:divBdr>
    </w:div>
    <w:div w:id="1865753609">
      <w:bodyDiv w:val="1"/>
      <w:marLeft w:val="0"/>
      <w:marRight w:val="0"/>
      <w:marTop w:val="0"/>
      <w:marBottom w:val="0"/>
      <w:divBdr>
        <w:top w:val="none" w:sz="0" w:space="0" w:color="auto"/>
        <w:left w:val="none" w:sz="0" w:space="0" w:color="auto"/>
        <w:bottom w:val="none" w:sz="0" w:space="0" w:color="auto"/>
        <w:right w:val="none" w:sz="0" w:space="0" w:color="auto"/>
      </w:divBdr>
    </w:div>
    <w:div w:id="1866823825">
      <w:bodyDiv w:val="1"/>
      <w:marLeft w:val="0"/>
      <w:marRight w:val="0"/>
      <w:marTop w:val="0"/>
      <w:marBottom w:val="0"/>
      <w:divBdr>
        <w:top w:val="none" w:sz="0" w:space="0" w:color="auto"/>
        <w:left w:val="none" w:sz="0" w:space="0" w:color="auto"/>
        <w:bottom w:val="none" w:sz="0" w:space="0" w:color="auto"/>
        <w:right w:val="none" w:sz="0" w:space="0" w:color="auto"/>
      </w:divBdr>
    </w:div>
    <w:div w:id="1896773134">
      <w:bodyDiv w:val="1"/>
      <w:marLeft w:val="0"/>
      <w:marRight w:val="0"/>
      <w:marTop w:val="0"/>
      <w:marBottom w:val="0"/>
      <w:divBdr>
        <w:top w:val="none" w:sz="0" w:space="0" w:color="auto"/>
        <w:left w:val="none" w:sz="0" w:space="0" w:color="auto"/>
        <w:bottom w:val="none" w:sz="0" w:space="0" w:color="auto"/>
        <w:right w:val="none" w:sz="0" w:space="0" w:color="auto"/>
      </w:divBdr>
    </w:div>
    <w:div w:id="1898710426">
      <w:bodyDiv w:val="1"/>
      <w:marLeft w:val="0"/>
      <w:marRight w:val="0"/>
      <w:marTop w:val="0"/>
      <w:marBottom w:val="0"/>
      <w:divBdr>
        <w:top w:val="none" w:sz="0" w:space="0" w:color="auto"/>
        <w:left w:val="none" w:sz="0" w:space="0" w:color="auto"/>
        <w:bottom w:val="none" w:sz="0" w:space="0" w:color="auto"/>
        <w:right w:val="none" w:sz="0" w:space="0" w:color="auto"/>
      </w:divBdr>
    </w:div>
    <w:div w:id="1920795335">
      <w:bodyDiv w:val="1"/>
      <w:marLeft w:val="0"/>
      <w:marRight w:val="0"/>
      <w:marTop w:val="0"/>
      <w:marBottom w:val="0"/>
      <w:divBdr>
        <w:top w:val="none" w:sz="0" w:space="0" w:color="auto"/>
        <w:left w:val="none" w:sz="0" w:space="0" w:color="auto"/>
        <w:bottom w:val="none" w:sz="0" w:space="0" w:color="auto"/>
        <w:right w:val="none" w:sz="0" w:space="0" w:color="auto"/>
      </w:divBdr>
    </w:div>
    <w:div w:id="1922517966">
      <w:bodyDiv w:val="1"/>
      <w:marLeft w:val="0"/>
      <w:marRight w:val="0"/>
      <w:marTop w:val="0"/>
      <w:marBottom w:val="0"/>
      <w:divBdr>
        <w:top w:val="none" w:sz="0" w:space="0" w:color="auto"/>
        <w:left w:val="none" w:sz="0" w:space="0" w:color="auto"/>
        <w:bottom w:val="none" w:sz="0" w:space="0" w:color="auto"/>
        <w:right w:val="none" w:sz="0" w:space="0" w:color="auto"/>
      </w:divBdr>
    </w:div>
    <w:div w:id="1929463037">
      <w:bodyDiv w:val="1"/>
      <w:marLeft w:val="0"/>
      <w:marRight w:val="0"/>
      <w:marTop w:val="0"/>
      <w:marBottom w:val="0"/>
      <w:divBdr>
        <w:top w:val="none" w:sz="0" w:space="0" w:color="auto"/>
        <w:left w:val="none" w:sz="0" w:space="0" w:color="auto"/>
        <w:bottom w:val="none" w:sz="0" w:space="0" w:color="auto"/>
        <w:right w:val="none" w:sz="0" w:space="0" w:color="auto"/>
      </w:divBdr>
    </w:div>
    <w:div w:id="1931084405">
      <w:bodyDiv w:val="1"/>
      <w:marLeft w:val="0"/>
      <w:marRight w:val="0"/>
      <w:marTop w:val="0"/>
      <w:marBottom w:val="0"/>
      <w:divBdr>
        <w:top w:val="none" w:sz="0" w:space="0" w:color="auto"/>
        <w:left w:val="none" w:sz="0" w:space="0" w:color="auto"/>
        <w:bottom w:val="none" w:sz="0" w:space="0" w:color="auto"/>
        <w:right w:val="none" w:sz="0" w:space="0" w:color="auto"/>
      </w:divBdr>
    </w:div>
    <w:div w:id="1939826653">
      <w:bodyDiv w:val="1"/>
      <w:marLeft w:val="0"/>
      <w:marRight w:val="0"/>
      <w:marTop w:val="0"/>
      <w:marBottom w:val="0"/>
      <w:divBdr>
        <w:top w:val="none" w:sz="0" w:space="0" w:color="auto"/>
        <w:left w:val="none" w:sz="0" w:space="0" w:color="auto"/>
        <w:bottom w:val="none" w:sz="0" w:space="0" w:color="auto"/>
        <w:right w:val="none" w:sz="0" w:space="0" w:color="auto"/>
      </w:divBdr>
    </w:div>
    <w:div w:id="1940478647">
      <w:bodyDiv w:val="1"/>
      <w:marLeft w:val="0"/>
      <w:marRight w:val="0"/>
      <w:marTop w:val="0"/>
      <w:marBottom w:val="0"/>
      <w:divBdr>
        <w:top w:val="none" w:sz="0" w:space="0" w:color="auto"/>
        <w:left w:val="none" w:sz="0" w:space="0" w:color="auto"/>
        <w:bottom w:val="none" w:sz="0" w:space="0" w:color="auto"/>
        <w:right w:val="none" w:sz="0" w:space="0" w:color="auto"/>
      </w:divBdr>
    </w:div>
    <w:div w:id="1952973480">
      <w:bodyDiv w:val="1"/>
      <w:marLeft w:val="0"/>
      <w:marRight w:val="0"/>
      <w:marTop w:val="0"/>
      <w:marBottom w:val="0"/>
      <w:divBdr>
        <w:top w:val="none" w:sz="0" w:space="0" w:color="auto"/>
        <w:left w:val="none" w:sz="0" w:space="0" w:color="auto"/>
        <w:bottom w:val="none" w:sz="0" w:space="0" w:color="auto"/>
        <w:right w:val="none" w:sz="0" w:space="0" w:color="auto"/>
      </w:divBdr>
    </w:div>
    <w:div w:id="1958440316">
      <w:bodyDiv w:val="1"/>
      <w:marLeft w:val="0"/>
      <w:marRight w:val="0"/>
      <w:marTop w:val="0"/>
      <w:marBottom w:val="0"/>
      <w:divBdr>
        <w:top w:val="none" w:sz="0" w:space="0" w:color="auto"/>
        <w:left w:val="none" w:sz="0" w:space="0" w:color="auto"/>
        <w:bottom w:val="none" w:sz="0" w:space="0" w:color="auto"/>
        <w:right w:val="none" w:sz="0" w:space="0" w:color="auto"/>
      </w:divBdr>
    </w:div>
    <w:div w:id="1973558432">
      <w:bodyDiv w:val="1"/>
      <w:marLeft w:val="0"/>
      <w:marRight w:val="0"/>
      <w:marTop w:val="0"/>
      <w:marBottom w:val="0"/>
      <w:divBdr>
        <w:top w:val="none" w:sz="0" w:space="0" w:color="auto"/>
        <w:left w:val="none" w:sz="0" w:space="0" w:color="auto"/>
        <w:bottom w:val="none" w:sz="0" w:space="0" w:color="auto"/>
        <w:right w:val="none" w:sz="0" w:space="0" w:color="auto"/>
      </w:divBdr>
    </w:div>
    <w:div w:id="1976717206">
      <w:bodyDiv w:val="1"/>
      <w:marLeft w:val="0"/>
      <w:marRight w:val="0"/>
      <w:marTop w:val="0"/>
      <w:marBottom w:val="0"/>
      <w:divBdr>
        <w:top w:val="none" w:sz="0" w:space="0" w:color="auto"/>
        <w:left w:val="none" w:sz="0" w:space="0" w:color="auto"/>
        <w:bottom w:val="none" w:sz="0" w:space="0" w:color="auto"/>
        <w:right w:val="none" w:sz="0" w:space="0" w:color="auto"/>
      </w:divBdr>
    </w:div>
    <w:div w:id="1977837383">
      <w:bodyDiv w:val="1"/>
      <w:marLeft w:val="0"/>
      <w:marRight w:val="0"/>
      <w:marTop w:val="0"/>
      <w:marBottom w:val="0"/>
      <w:divBdr>
        <w:top w:val="none" w:sz="0" w:space="0" w:color="auto"/>
        <w:left w:val="none" w:sz="0" w:space="0" w:color="auto"/>
        <w:bottom w:val="none" w:sz="0" w:space="0" w:color="auto"/>
        <w:right w:val="none" w:sz="0" w:space="0" w:color="auto"/>
      </w:divBdr>
    </w:div>
    <w:div w:id="2002467725">
      <w:bodyDiv w:val="1"/>
      <w:marLeft w:val="0"/>
      <w:marRight w:val="0"/>
      <w:marTop w:val="0"/>
      <w:marBottom w:val="0"/>
      <w:divBdr>
        <w:top w:val="none" w:sz="0" w:space="0" w:color="auto"/>
        <w:left w:val="none" w:sz="0" w:space="0" w:color="auto"/>
        <w:bottom w:val="none" w:sz="0" w:space="0" w:color="auto"/>
        <w:right w:val="none" w:sz="0" w:space="0" w:color="auto"/>
      </w:divBdr>
    </w:div>
    <w:div w:id="2013220973">
      <w:bodyDiv w:val="1"/>
      <w:marLeft w:val="0"/>
      <w:marRight w:val="0"/>
      <w:marTop w:val="0"/>
      <w:marBottom w:val="0"/>
      <w:divBdr>
        <w:top w:val="none" w:sz="0" w:space="0" w:color="auto"/>
        <w:left w:val="none" w:sz="0" w:space="0" w:color="auto"/>
        <w:bottom w:val="none" w:sz="0" w:space="0" w:color="auto"/>
        <w:right w:val="none" w:sz="0" w:space="0" w:color="auto"/>
      </w:divBdr>
    </w:div>
    <w:div w:id="2024086521">
      <w:bodyDiv w:val="1"/>
      <w:marLeft w:val="0"/>
      <w:marRight w:val="0"/>
      <w:marTop w:val="0"/>
      <w:marBottom w:val="0"/>
      <w:divBdr>
        <w:top w:val="none" w:sz="0" w:space="0" w:color="auto"/>
        <w:left w:val="none" w:sz="0" w:space="0" w:color="auto"/>
        <w:bottom w:val="none" w:sz="0" w:space="0" w:color="auto"/>
        <w:right w:val="none" w:sz="0" w:space="0" w:color="auto"/>
      </w:divBdr>
    </w:div>
    <w:div w:id="2028628126">
      <w:bodyDiv w:val="1"/>
      <w:marLeft w:val="0"/>
      <w:marRight w:val="0"/>
      <w:marTop w:val="0"/>
      <w:marBottom w:val="0"/>
      <w:divBdr>
        <w:top w:val="none" w:sz="0" w:space="0" w:color="auto"/>
        <w:left w:val="none" w:sz="0" w:space="0" w:color="auto"/>
        <w:bottom w:val="none" w:sz="0" w:space="0" w:color="auto"/>
        <w:right w:val="none" w:sz="0" w:space="0" w:color="auto"/>
      </w:divBdr>
    </w:div>
    <w:div w:id="2052412120">
      <w:bodyDiv w:val="1"/>
      <w:marLeft w:val="0"/>
      <w:marRight w:val="0"/>
      <w:marTop w:val="0"/>
      <w:marBottom w:val="0"/>
      <w:divBdr>
        <w:top w:val="none" w:sz="0" w:space="0" w:color="auto"/>
        <w:left w:val="none" w:sz="0" w:space="0" w:color="auto"/>
        <w:bottom w:val="none" w:sz="0" w:space="0" w:color="auto"/>
        <w:right w:val="none" w:sz="0" w:space="0" w:color="auto"/>
      </w:divBdr>
    </w:div>
    <w:div w:id="2052724863">
      <w:bodyDiv w:val="1"/>
      <w:marLeft w:val="0"/>
      <w:marRight w:val="0"/>
      <w:marTop w:val="0"/>
      <w:marBottom w:val="0"/>
      <w:divBdr>
        <w:top w:val="none" w:sz="0" w:space="0" w:color="auto"/>
        <w:left w:val="none" w:sz="0" w:space="0" w:color="auto"/>
        <w:bottom w:val="none" w:sz="0" w:space="0" w:color="auto"/>
        <w:right w:val="none" w:sz="0" w:space="0" w:color="auto"/>
      </w:divBdr>
    </w:div>
    <w:div w:id="2060127429">
      <w:bodyDiv w:val="1"/>
      <w:marLeft w:val="0"/>
      <w:marRight w:val="0"/>
      <w:marTop w:val="0"/>
      <w:marBottom w:val="0"/>
      <w:divBdr>
        <w:top w:val="none" w:sz="0" w:space="0" w:color="auto"/>
        <w:left w:val="none" w:sz="0" w:space="0" w:color="auto"/>
        <w:bottom w:val="none" w:sz="0" w:space="0" w:color="auto"/>
        <w:right w:val="none" w:sz="0" w:space="0" w:color="auto"/>
      </w:divBdr>
    </w:div>
    <w:div w:id="2060856736">
      <w:bodyDiv w:val="1"/>
      <w:marLeft w:val="0"/>
      <w:marRight w:val="0"/>
      <w:marTop w:val="0"/>
      <w:marBottom w:val="0"/>
      <w:divBdr>
        <w:top w:val="none" w:sz="0" w:space="0" w:color="auto"/>
        <w:left w:val="none" w:sz="0" w:space="0" w:color="auto"/>
        <w:bottom w:val="none" w:sz="0" w:space="0" w:color="auto"/>
        <w:right w:val="none" w:sz="0" w:space="0" w:color="auto"/>
      </w:divBdr>
    </w:div>
    <w:div w:id="2065372096">
      <w:bodyDiv w:val="1"/>
      <w:marLeft w:val="0"/>
      <w:marRight w:val="0"/>
      <w:marTop w:val="0"/>
      <w:marBottom w:val="0"/>
      <w:divBdr>
        <w:top w:val="none" w:sz="0" w:space="0" w:color="auto"/>
        <w:left w:val="none" w:sz="0" w:space="0" w:color="auto"/>
        <w:bottom w:val="none" w:sz="0" w:space="0" w:color="auto"/>
        <w:right w:val="none" w:sz="0" w:space="0" w:color="auto"/>
      </w:divBdr>
    </w:div>
    <w:div w:id="2092658230">
      <w:bodyDiv w:val="1"/>
      <w:marLeft w:val="0"/>
      <w:marRight w:val="0"/>
      <w:marTop w:val="0"/>
      <w:marBottom w:val="0"/>
      <w:divBdr>
        <w:top w:val="none" w:sz="0" w:space="0" w:color="auto"/>
        <w:left w:val="none" w:sz="0" w:space="0" w:color="auto"/>
        <w:bottom w:val="none" w:sz="0" w:space="0" w:color="auto"/>
        <w:right w:val="none" w:sz="0" w:space="0" w:color="auto"/>
      </w:divBdr>
    </w:div>
    <w:div w:id="2095664899">
      <w:bodyDiv w:val="1"/>
      <w:marLeft w:val="0"/>
      <w:marRight w:val="0"/>
      <w:marTop w:val="0"/>
      <w:marBottom w:val="0"/>
      <w:divBdr>
        <w:top w:val="none" w:sz="0" w:space="0" w:color="auto"/>
        <w:left w:val="none" w:sz="0" w:space="0" w:color="auto"/>
        <w:bottom w:val="none" w:sz="0" w:space="0" w:color="auto"/>
        <w:right w:val="none" w:sz="0" w:space="0" w:color="auto"/>
      </w:divBdr>
    </w:div>
    <w:div w:id="2097629857">
      <w:bodyDiv w:val="1"/>
      <w:marLeft w:val="0"/>
      <w:marRight w:val="0"/>
      <w:marTop w:val="0"/>
      <w:marBottom w:val="0"/>
      <w:divBdr>
        <w:top w:val="none" w:sz="0" w:space="0" w:color="auto"/>
        <w:left w:val="none" w:sz="0" w:space="0" w:color="auto"/>
        <w:bottom w:val="none" w:sz="0" w:space="0" w:color="auto"/>
        <w:right w:val="none" w:sz="0" w:space="0" w:color="auto"/>
      </w:divBdr>
    </w:div>
    <w:div w:id="2111318804">
      <w:bodyDiv w:val="1"/>
      <w:marLeft w:val="0"/>
      <w:marRight w:val="0"/>
      <w:marTop w:val="0"/>
      <w:marBottom w:val="0"/>
      <w:divBdr>
        <w:top w:val="none" w:sz="0" w:space="0" w:color="auto"/>
        <w:left w:val="none" w:sz="0" w:space="0" w:color="auto"/>
        <w:bottom w:val="none" w:sz="0" w:space="0" w:color="auto"/>
        <w:right w:val="none" w:sz="0" w:space="0" w:color="auto"/>
      </w:divBdr>
    </w:div>
    <w:div w:id="2118868758">
      <w:bodyDiv w:val="1"/>
      <w:marLeft w:val="0"/>
      <w:marRight w:val="0"/>
      <w:marTop w:val="0"/>
      <w:marBottom w:val="0"/>
      <w:divBdr>
        <w:top w:val="none" w:sz="0" w:space="0" w:color="auto"/>
        <w:left w:val="none" w:sz="0" w:space="0" w:color="auto"/>
        <w:bottom w:val="none" w:sz="0" w:space="0" w:color="auto"/>
        <w:right w:val="none" w:sz="0" w:space="0" w:color="auto"/>
      </w:divBdr>
    </w:div>
    <w:div w:id="2128115375">
      <w:bodyDiv w:val="1"/>
      <w:marLeft w:val="0"/>
      <w:marRight w:val="0"/>
      <w:marTop w:val="0"/>
      <w:marBottom w:val="0"/>
      <w:divBdr>
        <w:top w:val="none" w:sz="0" w:space="0" w:color="auto"/>
        <w:left w:val="none" w:sz="0" w:space="0" w:color="auto"/>
        <w:bottom w:val="none" w:sz="0" w:space="0" w:color="auto"/>
        <w:right w:val="none" w:sz="0" w:space="0" w:color="auto"/>
      </w:divBdr>
    </w:div>
    <w:div w:id="2134399921">
      <w:bodyDiv w:val="1"/>
      <w:marLeft w:val="0"/>
      <w:marRight w:val="0"/>
      <w:marTop w:val="0"/>
      <w:marBottom w:val="0"/>
      <w:divBdr>
        <w:top w:val="none" w:sz="0" w:space="0" w:color="auto"/>
        <w:left w:val="none" w:sz="0" w:space="0" w:color="auto"/>
        <w:bottom w:val="none" w:sz="0" w:space="0" w:color="auto"/>
        <w:right w:val="none" w:sz="0" w:space="0" w:color="auto"/>
      </w:divBdr>
    </w:div>
    <w:div w:id="21398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image" Target="media/image5.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autoTitleDeleted val="1"/>
    <c:plotArea>
      <c:layout/>
      <c:lineChart>
        <c:grouping val="standard"/>
        <c:ser>
          <c:idx val="0"/>
          <c:order val="0"/>
          <c:tx>
            <c:strRef>
              <c:f>Sheet5!$C$4</c:f>
              <c:strCache>
                <c:ptCount val="1"/>
                <c:pt idx="0">
                  <c:v>U k u p n o</c:v>
                </c:pt>
              </c:strCache>
            </c:strRef>
          </c:tx>
          <c:dLbls>
            <c:spPr>
              <a:noFill/>
              <a:ln>
                <a:noFill/>
              </a:ln>
              <a:effectLst/>
            </c:spPr>
            <c:showVal val="1"/>
            <c:extLst>
              <c:ext xmlns:c15="http://schemas.microsoft.com/office/drawing/2012/chart" uri="{CE6537A1-D6FC-4f65-9D91-7224C49458BB}">
                <c15:showLeaderLines val="0"/>
              </c:ext>
            </c:extLst>
          </c:dLbls>
          <c:cat>
            <c:strRef>
              <c:f>Sheet5!$D$3:$H$3</c:f>
              <c:strCache>
                <c:ptCount val="5"/>
                <c:pt idx="0">
                  <c:v>Ostvarenje 2013.</c:v>
                </c:pt>
                <c:pt idx="1">
                  <c:v>Ostvarenje 2014.</c:v>
                </c:pt>
                <c:pt idx="2">
                  <c:v>Ostvarenje 2015.</c:v>
                </c:pt>
                <c:pt idx="3">
                  <c:v>Ostvarenje 2016.</c:v>
                </c:pt>
                <c:pt idx="4">
                  <c:v>Ostvarenje 2017.</c:v>
                </c:pt>
              </c:strCache>
            </c:strRef>
          </c:cat>
          <c:val>
            <c:numRef>
              <c:f>Sheet5!$D$4:$H$4</c:f>
              <c:numCache>
                <c:formatCode>#,##0</c:formatCode>
                <c:ptCount val="5"/>
                <c:pt idx="0">
                  <c:v>379831</c:v>
                </c:pt>
                <c:pt idx="1">
                  <c:v>407254</c:v>
                </c:pt>
                <c:pt idx="2">
                  <c:v>397007</c:v>
                </c:pt>
                <c:pt idx="3">
                  <c:v>413281</c:v>
                </c:pt>
                <c:pt idx="4">
                  <c:v>404893</c:v>
                </c:pt>
              </c:numCache>
            </c:numRef>
          </c:val>
        </c:ser>
        <c:marker val="1"/>
        <c:axId val="167163008"/>
        <c:axId val="167164544"/>
      </c:lineChart>
      <c:catAx>
        <c:axId val="167163008"/>
        <c:scaling>
          <c:orientation val="minMax"/>
        </c:scaling>
        <c:axPos val="b"/>
        <c:numFmt formatCode="General" sourceLinked="0"/>
        <c:tickLblPos val="nextTo"/>
        <c:crossAx val="167164544"/>
        <c:crosses val="autoZero"/>
        <c:auto val="1"/>
        <c:lblAlgn val="ctr"/>
        <c:lblOffset val="100"/>
      </c:catAx>
      <c:valAx>
        <c:axId val="167164544"/>
        <c:scaling>
          <c:orientation val="minMax"/>
        </c:scaling>
        <c:axPos val="l"/>
        <c:majorGridlines/>
        <c:numFmt formatCode="#,##0" sourceLinked="1"/>
        <c:tickLblPos val="nextTo"/>
        <c:crossAx val="16716300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chart>
    <c:plotArea>
      <c:layout/>
      <c:barChart>
        <c:barDir val="col"/>
        <c:grouping val="clustered"/>
        <c:ser>
          <c:idx val="0"/>
          <c:order val="0"/>
          <c:tx>
            <c:strRef>
              <c:f>Sheet6!$E$3</c:f>
              <c:strCache>
                <c:ptCount val="1"/>
                <c:pt idx="0">
                  <c:v>Ostvarenje 2013.</c:v>
                </c:pt>
              </c:strCache>
            </c:strRef>
          </c:tx>
          <c:cat>
            <c:strRef>
              <c:f>Sheet6!$D$4:$D$9</c:f>
              <c:strCache>
                <c:ptCount val="6"/>
                <c:pt idx="0">
                  <c:v>Porezni</c:v>
                </c:pt>
                <c:pt idx="1">
                  <c:v>Neporezni</c:v>
                </c:pt>
                <c:pt idx="2">
                  <c:v>Kapitalni</c:v>
                </c:pt>
                <c:pt idx="3">
                  <c:v>Potpore</c:v>
                </c:pt>
                <c:pt idx="4">
                  <c:v>Primici od zaduženja</c:v>
                </c:pt>
                <c:pt idx="5">
                  <c:v>Viškovi iz preth. razdob.</c:v>
                </c:pt>
              </c:strCache>
            </c:strRef>
          </c:cat>
          <c:val>
            <c:numRef>
              <c:f>Sheet6!$E$4:$E$9</c:f>
              <c:numCache>
                <c:formatCode>#,##0</c:formatCode>
                <c:ptCount val="6"/>
                <c:pt idx="0">
                  <c:v>141762</c:v>
                </c:pt>
                <c:pt idx="1">
                  <c:v>147656</c:v>
                </c:pt>
                <c:pt idx="2">
                  <c:v>1570</c:v>
                </c:pt>
                <c:pt idx="3">
                  <c:v>45401</c:v>
                </c:pt>
                <c:pt idx="4">
                  <c:v>37764</c:v>
                </c:pt>
                <c:pt idx="5">
                  <c:v>5678</c:v>
                </c:pt>
              </c:numCache>
            </c:numRef>
          </c:val>
        </c:ser>
        <c:ser>
          <c:idx val="1"/>
          <c:order val="1"/>
          <c:tx>
            <c:strRef>
              <c:f>Sheet6!$F$3</c:f>
              <c:strCache>
                <c:ptCount val="1"/>
                <c:pt idx="0">
                  <c:v>Ostvarenje 2014.</c:v>
                </c:pt>
              </c:strCache>
            </c:strRef>
          </c:tx>
          <c:cat>
            <c:strRef>
              <c:f>Sheet6!$D$4:$D$9</c:f>
              <c:strCache>
                <c:ptCount val="6"/>
                <c:pt idx="0">
                  <c:v>Porezni</c:v>
                </c:pt>
                <c:pt idx="1">
                  <c:v>Neporezni</c:v>
                </c:pt>
                <c:pt idx="2">
                  <c:v>Kapitalni</c:v>
                </c:pt>
                <c:pt idx="3">
                  <c:v>Potpore</c:v>
                </c:pt>
                <c:pt idx="4">
                  <c:v>Primici od zaduženja</c:v>
                </c:pt>
                <c:pt idx="5">
                  <c:v>Viškovi iz preth. razdob.</c:v>
                </c:pt>
              </c:strCache>
            </c:strRef>
          </c:cat>
          <c:val>
            <c:numRef>
              <c:f>Sheet6!$F$4:$F$9</c:f>
              <c:numCache>
                <c:formatCode>#,##0</c:formatCode>
                <c:ptCount val="6"/>
                <c:pt idx="0">
                  <c:v>148143</c:v>
                </c:pt>
                <c:pt idx="1">
                  <c:v>179190</c:v>
                </c:pt>
                <c:pt idx="2">
                  <c:v>8101</c:v>
                </c:pt>
                <c:pt idx="3">
                  <c:v>39884</c:v>
                </c:pt>
                <c:pt idx="4">
                  <c:v>26378</c:v>
                </c:pt>
                <c:pt idx="5">
                  <c:v>5558</c:v>
                </c:pt>
              </c:numCache>
            </c:numRef>
          </c:val>
        </c:ser>
        <c:ser>
          <c:idx val="2"/>
          <c:order val="2"/>
          <c:tx>
            <c:strRef>
              <c:f>Sheet6!$G$3</c:f>
              <c:strCache>
                <c:ptCount val="1"/>
                <c:pt idx="0">
                  <c:v>Ostvarenje 2015.</c:v>
                </c:pt>
              </c:strCache>
            </c:strRef>
          </c:tx>
          <c:cat>
            <c:strRef>
              <c:f>Sheet6!$D$4:$D$9</c:f>
              <c:strCache>
                <c:ptCount val="6"/>
                <c:pt idx="0">
                  <c:v>Porezni</c:v>
                </c:pt>
                <c:pt idx="1">
                  <c:v>Neporezni</c:v>
                </c:pt>
                <c:pt idx="2">
                  <c:v>Kapitalni</c:v>
                </c:pt>
                <c:pt idx="3">
                  <c:v>Potpore</c:v>
                </c:pt>
                <c:pt idx="4">
                  <c:v>Primici od zaduženja</c:v>
                </c:pt>
                <c:pt idx="5">
                  <c:v>Viškovi iz preth. razdob.</c:v>
                </c:pt>
              </c:strCache>
            </c:strRef>
          </c:cat>
          <c:val>
            <c:numRef>
              <c:f>Sheet6!$G$4:$G$9</c:f>
              <c:numCache>
                <c:formatCode>#,##0</c:formatCode>
                <c:ptCount val="6"/>
                <c:pt idx="0">
                  <c:v>144871</c:v>
                </c:pt>
                <c:pt idx="1">
                  <c:v>204362</c:v>
                </c:pt>
                <c:pt idx="2">
                  <c:v>3024</c:v>
                </c:pt>
                <c:pt idx="3">
                  <c:v>22493</c:v>
                </c:pt>
                <c:pt idx="4">
                  <c:v>12685</c:v>
                </c:pt>
                <c:pt idx="5">
                  <c:v>9572</c:v>
                </c:pt>
              </c:numCache>
            </c:numRef>
          </c:val>
        </c:ser>
        <c:ser>
          <c:idx val="3"/>
          <c:order val="3"/>
          <c:tx>
            <c:strRef>
              <c:f>Sheet6!$H$3</c:f>
              <c:strCache>
                <c:ptCount val="1"/>
                <c:pt idx="0">
                  <c:v>Ostvarenje 2016.</c:v>
                </c:pt>
              </c:strCache>
            </c:strRef>
          </c:tx>
          <c:cat>
            <c:strRef>
              <c:f>Sheet6!$D$4:$D$9</c:f>
              <c:strCache>
                <c:ptCount val="6"/>
                <c:pt idx="0">
                  <c:v>Porezni</c:v>
                </c:pt>
                <c:pt idx="1">
                  <c:v>Neporezni</c:v>
                </c:pt>
                <c:pt idx="2">
                  <c:v>Kapitalni</c:v>
                </c:pt>
                <c:pt idx="3">
                  <c:v>Potpore</c:v>
                </c:pt>
                <c:pt idx="4">
                  <c:v>Primici od zaduženja</c:v>
                </c:pt>
                <c:pt idx="5">
                  <c:v>Viškovi iz preth. razdob.</c:v>
                </c:pt>
              </c:strCache>
            </c:strRef>
          </c:cat>
          <c:val>
            <c:numRef>
              <c:f>Sheet6!$H$4:$H$9</c:f>
              <c:numCache>
                <c:formatCode>#,##0</c:formatCode>
                <c:ptCount val="6"/>
                <c:pt idx="0">
                  <c:v>156977</c:v>
                </c:pt>
                <c:pt idx="1">
                  <c:v>211847</c:v>
                </c:pt>
                <c:pt idx="2" formatCode="General">
                  <c:v>415</c:v>
                </c:pt>
                <c:pt idx="3">
                  <c:v>18146</c:v>
                </c:pt>
                <c:pt idx="4" formatCode="General">
                  <c:v>86</c:v>
                </c:pt>
                <c:pt idx="5">
                  <c:v>25810</c:v>
                </c:pt>
              </c:numCache>
            </c:numRef>
          </c:val>
        </c:ser>
        <c:ser>
          <c:idx val="4"/>
          <c:order val="4"/>
          <c:tx>
            <c:strRef>
              <c:f>Sheet6!$I$3</c:f>
              <c:strCache>
                <c:ptCount val="1"/>
                <c:pt idx="0">
                  <c:v>Ostvarenje 2017.</c:v>
                </c:pt>
              </c:strCache>
            </c:strRef>
          </c:tx>
          <c:cat>
            <c:strRef>
              <c:f>Sheet6!$D$4:$D$9</c:f>
              <c:strCache>
                <c:ptCount val="6"/>
                <c:pt idx="0">
                  <c:v>Porezni</c:v>
                </c:pt>
                <c:pt idx="1">
                  <c:v>Neporezni</c:v>
                </c:pt>
                <c:pt idx="2">
                  <c:v>Kapitalni</c:v>
                </c:pt>
                <c:pt idx="3">
                  <c:v>Potpore</c:v>
                </c:pt>
                <c:pt idx="4">
                  <c:v>Primici od zaduženja</c:v>
                </c:pt>
                <c:pt idx="5">
                  <c:v>Viškovi iz preth. razdob.</c:v>
                </c:pt>
              </c:strCache>
            </c:strRef>
          </c:cat>
          <c:val>
            <c:numRef>
              <c:f>Sheet6!$I$4:$I$9</c:f>
              <c:numCache>
                <c:formatCode>#,##0</c:formatCode>
                <c:ptCount val="6"/>
                <c:pt idx="0">
                  <c:v>153584</c:v>
                </c:pt>
                <c:pt idx="1">
                  <c:v>227873</c:v>
                </c:pt>
                <c:pt idx="2" formatCode="General">
                  <c:v>27</c:v>
                </c:pt>
                <c:pt idx="3">
                  <c:v>20191</c:v>
                </c:pt>
                <c:pt idx="4" formatCode="General">
                  <c:v>95</c:v>
                </c:pt>
                <c:pt idx="5">
                  <c:v>3123</c:v>
                </c:pt>
              </c:numCache>
            </c:numRef>
          </c:val>
        </c:ser>
        <c:axId val="166746752"/>
        <c:axId val="166769024"/>
      </c:barChart>
      <c:catAx>
        <c:axId val="166746752"/>
        <c:scaling>
          <c:orientation val="minMax"/>
        </c:scaling>
        <c:axPos val="b"/>
        <c:numFmt formatCode="General" sourceLinked="0"/>
        <c:tickLblPos val="nextTo"/>
        <c:crossAx val="166769024"/>
        <c:crosses val="autoZero"/>
        <c:auto val="1"/>
        <c:lblAlgn val="ctr"/>
        <c:lblOffset val="100"/>
      </c:catAx>
      <c:valAx>
        <c:axId val="166769024"/>
        <c:scaling>
          <c:orientation val="minMax"/>
        </c:scaling>
        <c:axPos val="l"/>
        <c:majorGridlines/>
        <c:numFmt formatCode="#,##0" sourceLinked="1"/>
        <c:tickLblPos val="nextTo"/>
        <c:crossAx val="166746752"/>
        <c:crosses val="autoZero"/>
        <c:crossBetween val="between"/>
      </c:valAx>
    </c:plotArea>
    <c:legend>
      <c:legendPos val="r"/>
      <c:layout>
        <c:manualLayout>
          <c:xMode val="edge"/>
          <c:yMode val="edge"/>
          <c:x val="0.80292575882299733"/>
          <c:y val="0.17729921844401983"/>
          <c:w val="0.17126887712959674"/>
          <c:h val="0.4044858029109999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hr-HR"/>
  <c:chart>
    <c:title>
      <c:layout>
        <c:manualLayout>
          <c:xMode val="edge"/>
          <c:yMode val="edge"/>
          <c:x val="0.5537330992770797"/>
          <c:y val="5.0320645835976494E-2"/>
        </c:manualLayout>
      </c:layout>
    </c:title>
    <c:view3D>
      <c:rotX val="30"/>
      <c:perspective val="30"/>
    </c:view3D>
    <c:plotArea>
      <c:layout/>
      <c:pie3DChart>
        <c:varyColors val="1"/>
        <c:ser>
          <c:idx val="0"/>
          <c:order val="0"/>
          <c:tx>
            <c:strRef>
              <c:f>Sheet7!$G$7</c:f>
              <c:strCache>
                <c:ptCount val="1"/>
                <c:pt idx="0">
                  <c:v>Ostvarenje u 2017. godini</c:v>
                </c:pt>
              </c:strCache>
            </c:strRef>
          </c:tx>
          <c:dLbls>
            <c:dLbl>
              <c:idx val="0"/>
              <c:layout>
                <c:manualLayout>
                  <c:x val="6.7398588649472721E-2"/>
                  <c:y val="-8.9255288872023567E-2"/>
                </c:manualLayout>
              </c:layout>
              <c:showVal val="1"/>
              <c:showCatName val="1"/>
              <c:extLst>
                <c:ext xmlns:c15="http://schemas.microsoft.com/office/drawing/2012/chart" uri="{CE6537A1-D6FC-4f65-9D91-7224C49458BB}"/>
              </c:extLst>
            </c:dLbl>
            <c:dLbl>
              <c:idx val="1"/>
              <c:layout>
                <c:manualLayout>
                  <c:x val="-0.12936898512685921"/>
                  <c:y val="6.3881244352652633E-2"/>
                </c:manualLayout>
              </c:layout>
              <c:showVal val="1"/>
              <c:showCatName val="1"/>
              <c:extLst>
                <c:ext xmlns:c15="http://schemas.microsoft.com/office/drawing/2012/chart" uri="{CE6537A1-D6FC-4f65-9D91-7224C49458BB}"/>
              </c:extLst>
            </c:dLbl>
            <c:dLbl>
              <c:idx val="2"/>
              <c:layout>
                <c:manualLayout>
                  <c:x val="-3.738035739544501E-3"/>
                  <c:y val="-5.7461341428706993E-2"/>
                </c:manualLayout>
              </c:layout>
              <c:showVal val="1"/>
              <c:showCatName val="1"/>
              <c:extLst>
                <c:ext xmlns:c15="http://schemas.microsoft.com/office/drawing/2012/chart" uri="{CE6537A1-D6FC-4f65-9D91-7224C49458BB}"/>
              </c:extLst>
            </c:dLbl>
            <c:spPr>
              <a:noFill/>
              <a:ln>
                <a:noFill/>
              </a:ln>
              <a:effectLst/>
            </c:spPr>
            <c:txPr>
              <a:bodyPr/>
              <a:lstStyle/>
              <a:p>
                <a:pPr>
                  <a:defRPr b="1"/>
                </a:pPr>
                <a:endParaRPr lang="sr-Latn-CS"/>
              </a:p>
            </c:txPr>
            <c:showVal val="1"/>
            <c:showCatName val="1"/>
            <c:showLeaderLines val="1"/>
            <c:extLst>
              <c:ext xmlns:c15="http://schemas.microsoft.com/office/drawing/2012/chart" uri="{CE6537A1-D6FC-4f65-9D91-7224C49458BB}"/>
            </c:extLst>
          </c:dLbls>
          <c:cat>
            <c:strRef>
              <c:f>Sheet7!$F$8:$F$10</c:f>
              <c:strCache>
                <c:ptCount val="3"/>
                <c:pt idx="0">
                  <c:v>Porez i prirez na dohodak</c:v>
                </c:pt>
                <c:pt idx="1">
                  <c:v>Porez na imovinu</c:v>
                </c:pt>
                <c:pt idx="2">
                  <c:v>Porez na robu i usluge</c:v>
                </c:pt>
              </c:strCache>
            </c:strRef>
          </c:cat>
          <c:val>
            <c:numRef>
              <c:f>Sheet7!$G$8:$G$10</c:f>
              <c:numCache>
                <c:formatCode>#,##0</c:formatCode>
                <c:ptCount val="3"/>
                <c:pt idx="0">
                  <c:v>118820137</c:v>
                </c:pt>
                <c:pt idx="1">
                  <c:v>23090143</c:v>
                </c:pt>
                <c:pt idx="2">
                  <c:v>11674034</c:v>
                </c:pt>
              </c:numCache>
            </c:numRef>
          </c:val>
        </c:ser>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hr-HR"/>
  <c:chart>
    <c:title/>
    <c:plotArea>
      <c:layout/>
      <c:lineChart>
        <c:grouping val="standard"/>
        <c:ser>
          <c:idx val="0"/>
          <c:order val="0"/>
          <c:tx>
            <c:strRef>
              <c:f>Sheet8!$F$6</c:f>
              <c:strCache>
                <c:ptCount val="1"/>
                <c:pt idx="0">
                  <c:v>PRIHODI OD POREZA</c:v>
                </c:pt>
              </c:strCache>
            </c:strRef>
          </c:tx>
          <c:dLbls>
            <c:dLbl>
              <c:idx val="0"/>
              <c:layout>
                <c:manualLayout>
                  <c:x val="-5.3895723491505593E-2"/>
                  <c:y val="-7.4074074074074001E-2"/>
                </c:manualLayout>
              </c:layout>
              <c:showVal val="1"/>
              <c:extLst>
                <c:ext xmlns:c15="http://schemas.microsoft.com/office/drawing/2012/chart" uri="{CE6537A1-D6FC-4f65-9D91-7224C49458BB}"/>
              </c:extLst>
            </c:dLbl>
            <c:dLbl>
              <c:idx val="1"/>
              <c:layout>
                <c:manualLayout>
                  <c:x val="-2.8119507908611598E-2"/>
                  <c:y val="-4.1152263374485576E-2"/>
                </c:manualLayout>
              </c:layout>
              <c:showVal val="1"/>
              <c:extLst>
                <c:ext xmlns:c15="http://schemas.microsoft.com/office/drawing/2012/chart" uri="{CE6537A1-D6FC-4f65-9D91-7224C49458BB}"/>
              </c:extLst>
            </c:dLbl>
            <c:dLbl>
              <c:idx val="2"/>
              <c:layout>
                <c:manualLayout>
                  <c:x val="-4.9209138840070304E-2"/>
                  <c:y val="6.1728395061728322E-2"/>
                </c:manualLayout>
              </c:layout>
              <c:showVal val="1"/>
              <c:extLst>
                <c:ext xmlns:c15="http://schemas.microsoft.com/office/drawing/2012/chart" uri="{CE6537A1-D6FC-4f65-9D91-7224C49458BB}"/>
              </c:extLst>
            </c:dLbl>
            <c:dLbl>
              <c:idx val="3"/>
              <c:layout>
                <c:manualLayout>
                  <c:x val="-5.8582308142940832E-2"/>
                  <c:y val="-3.7037037037037056E-2"/>
                </c:manualLayout>
              </c:layout>
              <c:showVal val="1"/>
              <c:extLst>
                <c:ext xmlns:c15="http://schemas.microsoft.com/office/drawing/2012/chart" uri="{CE6537A1-D6FC-4f65-9D91-7224C49458BB}"/>
              </c:extLst>
            </c:dLbl>
            <c:dLbl>
              <c:idx val="4"/>
              <c:layout>
                <c:manualLayout>
                  <c:x val="-5.8582308142940832E-2"/>
                  <c:y val="6.9958847736625515E-2"/>
                </c:manualLayout>
              </c:layout>
              <c:showVal val="1"/>
              <c:extLst>
                <c:ext xmlns:c15="http://schemas.microsoft.com/office/drawing/2012/chart" uri="{CE6537A1-D6FC-4f65-9D91-7224C49458BB}"/>
              </c:extLst>
            </c:dLbl>
            <c:spPr>
              <a:noFill/>
              <a:ln>
                <a:noFill/>
              </a:ln>
              <a:effectLst/>
            </c:spPr>
            <c:txPr>
              <a:bodyPr/>
              <a:lstStyle/>
              <a:p>
                <a:pPr>
                  <a:defRPr b="1"/>
                </a:pPr>
                <a:endParaRPr lang="sr-Latn-CS"/>
              </a:p>
            </c:txPr>
            <c:showVal val="1"/>
            <c:extLst>
              <c:ext xmlns:c15="http://schemas.microsoft.com/office/drawing/2012/chart" uri="{CE6537A1-D6FC-4f65-9D91-7224C49458BB}">
                <c15:showLeaderLines val="0"/>
              </c:ext>
            </c:extLst>
          </c:dLbls>
          <c:cat>
            <c:strRef>
              <c:f>Sheet8!$G$5:$K$5</c:f>
              <c:strCache>
                <c:ptCount val="5"/>
                <c:pt idx="0">
                  <c:v>2013.</c:v>
                </c:pt>
                <c:pt idx="1">
                  <c:v>2014.</c:v>
                </c:pt>
                <c:pt idx="2">
                  <c:v>2015.</c:v>
                </c:pt>
                <c:pt idx="3">
                  <c:v>2016.</c:v>
                </c:pt>
                <c:pt idx="4">
                  <c:v>2017.</c:v>
                </c:pt>
              </c:strCache>
            </c:strRef>
          </c:cat>
          <c:val>
            <c:numRef>
              <c:f>Sheet8!$G$6:$K$6</c:f>
              <c:numCache>
                <c:formatCode>#,##0</c:formatCode>
                <c:ptCount val="5"/>
                <c:pt idx="0">
                  <c:v>141761</c:v>
                </c:pt>
                <c:pt idx="1">
                  <c:v>148143</c:v>
                </c:pt>
                <c:pt idx="2">
                  <c:v>144871</c:v>
                </c:pt>
                <c:pt idx="3">
                  <c:v>156977</c:v>
                </c:pt>
                <c:pt idx="4">
                  <c:v>153584</c:v>
                </c:pt>
              </c:numCache>
            </c:numRef>
          </c:val>
        </c:ser>
        <c:marker val="1"/>
        <c:axId val="168401920"/>
        <c:axId val="168407808"/>
      </c:lineChart>
      <c:catAx>
        <c:axId val="168401920"/>
        <c:scaling>
          <c:orientation val="minMax"/>
        </c:scaling>
        <c:axPos val="b"/>
        <c:numFmt formatCode="General" sourceLinked="0"/>
        <c:tickLblPos val="nextTo"/>
        <c:crossAx val="168407808"/>
        <c:crosses val="autoZero"/>
        <c:auto val="1"/>
        <c:lblAlgn val="ctr"/>
        <c:lblOffset val="100"/>
      </c:catAx>
      <c:valAx>
        <c:axId val="168407808"/>
        <c:scaling>
          <c:orientation val="minMax"/>
        </c:scaling>
        <c:axPos val="l"/>
        <c:majorGridlines/>
        <c:numFmt formatCode="#,##0" sourceLinked="1"/>
        <c:tickLblPos val="nextTo"/>
        <c:crossAx val="16840192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hr-HR"/>
  <c:chart>
    <c:title/>
    <c:plotArea>
      <c:layout/>
      <c:lineChart>
        <c:grouping val="stacked"/>
        <c:ser>
          <c:idx val="0"/>
          <c:order val="0"/>
          <c:tx>
            <c:strRef>
              <c:f>Sheet9!$E$6</c:f>
              <c:strCache>
                <c:ptCount val="1"/>
                <c:pt idx="0">
                  <c:v>Prihod od poreza i prireza na dohodak </c:v>
                </c:pt>
              </c:strCache>
            </c:strRef>
          </c:tx>
          <c:dLbls>
            <c:dLbl>
              <c:idx val="0"/>
              <c:layout>
                <c:manualLayout>
                  <c:x val="-3.8149737720553238E-2"/>
                  <c:y val="6.1930783242258716E-2"/>
                </c:manualLayout>
              </c:layout>
              <c:showVal val="1"/>
              <c:extLst>
                <c:ext xmlns:c15="http://schemas.microsoft.com/office/drawing/2012/chart" uri="{CE6537A1-D6FC-4f65-9D91-7224C49458BB}"/>
              </c:extLst>
            </c:dLbl>
            <c:dLbl>
              <c:idx val="1"/>
              <c:layout>
                <c:manualLayout>
                  <c:x val="-4.005722460658083E-2"/>
                  <c:y val="-2.1857923497267805E-2"/>
                </c:manualLayout>
              </c:layout>
              <c:showVal val="1"/>
              <c:extLst>
                <c:ext xmlns:c15="http://schemas.microsoft.com/office/drawing/2012/chart" uri="{CE6537A1-D6FC-4f65-9D91-7224C49458BB}"/>
              </c:extLst>
            </c:dLbl>
            <c:dLbl>
              <c:idx val="2"/>
              <c:layout>
                <c:manualLayout>
                  <c:x val="-4.3872198378636214E-2"/>
                  <c:y val="6.1930783242258716E-2"/>
                </c:manualLayout>
              </c:layout>
              <c:showVal val="1"/>
              <c:extLst>
                <c:ext xmlns:c15="http://schemas.microsoft.com/office/drawing/2012/chart" uri="{CE6537A1-D6FC-4f65-9D91-7224C49458BB}"/>
              </c:extLst>
            </c:dLbl>
            <c:dLbl>
              <c:idx val="3"/>
              <c:layout>
                <c:manualLayout>
                  <c:x val="-3.4334763948497847E-2"/>
                  <c:y val="-4.0072859744990877E-2"/>
                </c:manualLayout>
              </c:layout>
              <c:showVal val="1"/>
              <c:extLst>
                <c:ext xmlns:c15="http://schemas.microsoft.com/office/drawing/2012/chart" uri="{CE6537A1-D6FC-4f65-9D91-7224C49458BB}"/>
              </c:extLst>
            </c:dLbl>
            <c:dLbl>
              <c:idx val="4"/>
              <c:layout>
                <c:manualLayout>
                  <c:x val="-4.5779685264663805E-2"/>
                  <c:y val="6.9216757741348001E-2"/>
                </c:manualLayout>
              </c:layout>
              <c:showVal val="1"/>
              <c:extLst>
                <c:ext xmlns:c15="http://schemas.microsoft.com/office/drawing/2012/chart" uri="{CE6537A1-D6FC-4f65-9D91-7224C49458BB}"/>
              </c:extLst>
            </c:dLbl>
            <c:spPr>
              <a:noFill/>
              <a:ln>
                <a:noFill/>
              </a:ln>
              <a:effectLst/>
            </c:spPr>
            <c:txPr>
              <a:bodyPr/>
              <a:lstStyle/>
              <a:p>
                <a:pPr>
                  <a:defRPr b="1"/>
                </a:pPr>
                <a:endParaRPr lang="sr-Latn-CS"/>
              </a:p>
            </c:txPr>
            <c:showVal val="1"/>
            <c:extLst>
              <c:ext xmlns:c15="http://schemas.microsoft.com/office/drawing/2012/chart" uri="{CE6537A1-D6FC-4f65-9D91-7224C49458BB}">
                <c15:showLeaderLines val="0"/>
              </c:ext>
            </c:extLst>
          </c:dLbls>
          <c:cat>
            <c:strRef>
              <c:f>Sheet9!$F$5:$J$5</c:f>
              <c:strCache>
                <c:ptCount val="5"/>
                <c:pt idx="0">
                  <c:v>2013.</c:v>
                </c:pt>
                <c:pt idx="1">
                  <c:v>2014.</c:v>
                </c:pt>
                <c:pt idx="2">
                  <c:v>2015.</c:v>
                </c:pt>
                <c:pt idx="3">
                  <c:v>2016</c:v>
                </c:pt>
                <c:pt idx="4">
                  <c:v>2017.</c:v>
                </c:pt>
              </c:strCache>
            </c:strRef>
          </c:cat>
          <c:val>
            <c:numRef>
              <c:f>Sheet9!$F$6:$J$6</c:f>
              <c:numCache>
                <c:formatCode>#,##0</c:formatCode>
                <c:ptCount val="5"/>
                <c:pt idx="0">
                  <c:v>116287</c:v>
                </c:pt>
                <c:pt idx="1">
                  <c:v>119306</c:v>
                </c:pt>
                <c:pt idx="2">
                  <c:v>109437</c:v>
                </c:pt>
                <c:pt idx="3">
                  <c:v>121942</c:v>
                </c:pt>
                <c:pt idx="4">
                  <c:v>118820</c:v>
                </c:pt>
              </c:numCache>
            </c:numRef>
          </c:val>
        </c:ser>
        <c:marker val="1"/>
        <c:axId val="166998400"/>
        <c:axId val="166999936"/>
      </c:lineChart>
      <c:catAx>
        <c:axId val="166998400"/>
        <c:scaling>
          <c:orientation val="minMax"/>
        </c:scaling>
        <c:axPos val="b"/>
        <c:numFmt formatCode="General" sourceLinked="0"/>
        <c:tickLblPos val="nextTo"/>
        <c:crossAx val="166999936"/>
        <c:crosses val="autoZero"/>
        <c:auto val="1"/>
        <c:lblAlgn val="ctr"/>
        <c:lblOffset val="100"/>
      </c:catAx>
      <c:valAx>
        <c:axId val="166999936"/>
        <c:scaling>
          <c:orientation val="minMax"/>
        </c:scaling>
        <c:axPos val="l"/>
        <c:majorGridlines/>
        <c:numFmt formatCode="#,##0" sourceLinked="1"/>
        <c:tickLblPos val="nextTo"/>
        <c:crossAx val="166998400"/>
        <c:crosses val="autoZero"/>
        <c:crossBetween val="between"/>
      </c:valAx>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hr-HR"/>
  <c:chart>
    <c:title>
      <c:tx>
        <c:rich>
          <a:bodyPr/>
          <a:lstStyle/>
          <a:p>
            <a:pPr>
              <a:defRPr/>
            </a:pPr>
            <a:r>
              <a:rPr lang="en-US" sz="1600"/>
              <a:t>NEPOREZNI PRIHODI OSTVARENI U RAZDOBLJU 2013. - 2017.</a:t>
            </a:r>
          </a:p>
        </c:rich>
      </c:tx>
    </c:title>
    <c:plotArea>
      <c:layout/>
      <c:lineChart>
        <c:grouping val="standard"/>
        <c:ser>
          <c:idx val="0"/>
          <c:order val="0"/>
          <c:tx>
            <c:strRef>
              <c:f>Sheet10!$E$7</c:f>
              <c:strCache>
                <c:ptCount val="1"/>
                <c:pt idx="0">
                  <c:v>NEPOREZNI PRIHODI OSTVARENI U RAZDOBLJU 2013. - 2017.</c:v>
                </c:pt>
              </c:strCache>
            </c:strRef>
          </c:tx>
          <c:dLbls>
            <c:dLbl>
              <c:idx val="0"/>
              <c:layout>
                <c:manualLayout>
                  <c:x val="-5.2141527001862177E-2"/>
                  <c:y val="-8.4656084656084762E-2"/>
                </c:manualLayout>
              </c:layout>
              <c:showVal val="1"/>
              <c:extLst>
                <c:ext xmlns:c15="http://schemas.microsoft.com/office/drawing/2012/chart" uri="{CE6537A1-D6FC-4f65-9D91-7224C49458BB}"/>
              </c:extLst>
            </c:dLbl>
            <c:dLbl>
              <c:idx val="1"/>
              <c:layout>
                <c:manualLayout>
                  <c:x val="-1.6759776536312863E-2"/>
                  <c:y val="-6.3492063492063502E-2"/>
                </c:manualLayout>
              </c:layout>
              <c:showVal val="1"/>
              <c:extLst>
                <c:ext xmlns:c15="http://schemas.microsoft.com/office/drawing/2012/chart" uri="{CE6537A1-D6FC-4f65-9D91-7224C49458BB}"/>
              </c:extLst>
            </c:dLbl>
            <c:dLbl>
              <c:idx val="2"/>
              <c:layout>
                <c:manualLayout>
                  <c:x val="-1.6759776536312783E-2"/>
                  <c:y val="-6.3492063492063502E-2"/>
                </c:manualLayout>
              </c:layout>
              <c:showVal val="1"/>
              <c:extLst>
                <c:ext xmlns:c15="http://schemas.microsoft.com/office/drawing/2012/chart" uri="{CE6537A1-D6FC-4f65-9D91-7224C49458BB}"/>
              </c:extLst>
            </c:dLbl>
            <c:dLbl>
              <c:idx val="3"/>
              <c:layout>
                <c:manualLayout>
                  <c:x val="-1.6759776536312863E-2"/>
                  <c:y val="-4.6560846560846546E-2"/>
                </c:manualLayout>
              </c:layout>
              <c:showVal val="1"/>
              <c:extLst>
                <c:ext xmlns:c15="http://schemas.microsoft.com/office/drawing/2012/chart" uri="{CE6537A1-D6FC-4f65-9D91-7224C49458BB}"/>
              </c:extLst>
            </c:dLbl>
            <c:dLbl>
              <c:idx val="4"/>
              <c:layout>
                <c:manualLayout>
                  <c:x val="-3.7243947858473098E-2"/>
                  <c:y val="-6.3492063492063502E-2"/>
                </c:manualLayout>
              </c:layout>
              <c:showVal val="1"/>
              <c:extLst>
                <c:ext xmlns:c15="http://schemas.microsoft.com/office/drawing/2012/chart" uri="{CE6537A1-D6FC-4f65-9D91-7224C49458BB}"/>
              </c:extLst>
            </c:dLbl>
            <c:spPr>
              <a:noFill/>
              <a:ln>
                <a:noFill/>
              </a:ln>
              <a:effectLst/>
            </c:spPr>
            <c:txPr>
              <a:bodyPr/>
              <a:lstStyle/>
              <a:p>
                <a:pPr>
                  <a:defRPr b="1"/>
                </a:pPr>
                <a:endParaRPr lang="sr-Latn-CS"/>
              </a:p>
            </c:txPr>
            <c:showVal val="1"/>
            <c:extLst>
              <c:ext xmlns:c15="http://schemas.microsoft.com/office/drawing/2012/chart" uri="{CE6537A1-D6FC-4f65-9D91-7224C49458BB}">
                <c15:showLeaderLines val="0"/>
              </c:ext>
            </c:extLst>
          </c:dLbls>
          <c:cat>
            <c:strRef>
              <c:f>Sheet10!$F$6:$J$6</c:f>
              <c:strCache>
                <c:ptCount val="5"/>
                <c:pt idx="0">
                  <c:v>2013.</c:v>
                </c:pt>
                <c:pt idx="1">
                  <c:v>2014.</c:v>
                </c:pt>
                <c:pt idx="2">
                  <c:v>2015.</c:v>
                </c:pt>
                <c:pt idx="3">
                  <c:v>2016.</c:v>
                </c:pt>
                <c:pt idx="4">
                  <c:v>2017.</c:v>
                </c:pt>
              </c:strCache>
            </c:strRef>
          </c:cat>
          <c:val>
            <c:numRef>
              <c:f>Sheet10!$F$7:$J$7</c:f>
              <c:numCache>
                <c:formatCode>#,##0</c:formatCode>
                <c:ptCount val="5"/>
                <c:pt idx="0">
                  <c:v>192277</c:v>
                </c:pt>
                <c:pt idx="1">
                  <c:v>214716</c:v>
                </c:pt>
                <c:pt idx="2">
                  <c:v>225950</c:v>
                </c:pt>
                <c:pt idx="3">
                  <c:v>228600</c:v>
                </c:pt>
                <c:pt idx="4">
                  <c:v>245535</c:v>
                </c:pt>
              </c:numCache>
            </c:numRef>
          </c:val>
        </c:ser>
        <c:marker val="1"/>
        <c:axId val="166790656"/>
        <c:axId val="166792192"/>
      </c:lineChart>
      <c:catAx>
        <c:axId val="166790656"/>
        <c:scaling>
          <c:orientation val="minMax"/>
        </c:scaling>
        <c:axPos val="b"/>
        <c:numFmt formatCode="General" sourceLinked="0"/>
        <c:tickLblPos val="nextTo"/>
        <c:crossAx val="166792192"/>
        <c:crosses val="autoZero"/>
        <c:auto val="1"/>
        <c:lblAlgn val="ctr"/>
        <c:lblOffset val="100"/>
      </c:catAx>
      <c:valAx>
        <c:axId val="166792192"/>
        <c:scaling>
          <c:orientation val="minMax"/>
        </c:scaling>
        <c:axPos val="l"/>
        <c:majorGridlines/>
        <c:numFmt formatCode="#,##0" sourceLinked="1"/>
        <c:tickLblPos val="nextTo"/>
        <c:crossAx val="16679065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hr-HR"/>
  <c:chart>
    <c:title>
      <c:tx>
        <c:rich>
          <a:bodyPr/>
          <a:lstStyle/>
          <a:p>
            <a:pPr>
              <a:defRPr/>
            </a:pPr>
            <a:r>
              <a:rPr lang="hr-HR"/>
              <a:t>                                      Ostvarenje u 2017. godini</a:t>
            </a:r>
          </a:p>
        </c:rich>
      </c:tx>
      <c:layout>
        <c:manualLayout>
          <c:xMode val="edge"/>
          <c:yMode val="edge"/>
          <c:x val="0.36256037906766159"/>
          <c:y val="0.89887640449438266"/>
        </c:manualLayout>
      </c:layout>
    </c:title>
    <c:view3D>
      <c:rotX val="30"/>
      <c:perspective val="30"/>
    </c:view3D>
    <c:plotArea>
      <c:layout/>
      <c:pie3DChart>
        <c:varyColors val="1"/>
        <c:ser>
          <c:idx val="0"/>
          <c:order val="0"/>
          <c:tx>
            <c:strRef>
              <c:f>Sheet11!$E$3</c:f>
              <c:strCache>
                <c:ptCount val="1"/>
                <c:pt idx="0">
                  <c:v>Ostvarenje u 2017. godini</c:v>
                </c:pt>
              </c:strCache>
            </c:strRef>
          </c:tx>
          <c:dLbls>
            <c:dLbl>
              <c:idx val="0"/>
              <c:layout>
                <c:manualLayout>
                  <c:x val="-2.260583706106507E-2"/>
                  <c:y val="-8.7267331583552099E-2"/>
                </c:manualLayout>
              </c:layout>
              <c:showVal val="1"/>
              <c:showCatName val="1"/>
              <c:extLst>
                <c:ext xmlns:c15="http://schemas.microsoft.com/office/drawing/2012/chart" uri="{CE6537A1-D6FC-4f65-9D91-7224C49458BB}"/>
              </c:extLst>
            </c:dLbl>
            <c:dLbl>
              <c:idx val="1"/>
              <c:layout>
                <c:manualLayout>
                  <c:x val="0.21558566807056095"/>
                  <c:y val="-5.8241119860017468E-2"/>
                </c:manualLayout>
              </c:layout>
              <c:showVal val="1"/>
              <c:showCatName val="1"/>
              <c:extLst>
                <c:ext xmlns:c15="http://schemas.microsoft.com/office/drawing/2012/chart" uri="{CE6537A1-D6FC-4f65-9D91-7224C49458BB}"/>
              </c:extLst>
            </c:dLbl>
            <c:dLbl>
              <c:idx val="2"/>
              <c:layout>
                <c:manualLayout>
                  <c:x val="0.2431624277053864"/>
                  <c:y val="6.3129257719189549E-2"/>
                </c:manualLayout>
              </c:layout>
              <c:tx>
                <c:rich>
                  <a:bodyPr/>
                  <a:lstStyle/>
                  <a:p>
                    <a:r>
                      <a:rPr lang="en-US" sz="900"/>
                      <a:t>Pomoći od međun. organizacija; 3.124</a:t>
                    </a:r>
                  </a:p>
                </c:rich>
              </c:tx>
              <c:showVal val="1"/>
              <c:showCatName val="1"/>
              <c:extLst>
                <c:ext xmlns:c15="http://schemas.microsoft.com/office/drawing/2012/chart" uri="{CE6537A1-D6FC-4f65-9D91-7224C49458BB}"/>
              </c:extLst>
            </c:dLbl>
            <c:dLbl>
              <c:idx val="3"/>
              <c:layout>
                <c:manualLayout>
                  <c:x val="-2.0011161395523242E-2"/>
                  <c:y val="0.15549872265966763"/>
                </c:manualLayout>
              </c:layout>
              <c:showVal val="1"/>
              <c:showCatName val="1"/>
              <c:extLst>
                <c:ext xmlns:c15="http://schemas.microsoft.com/office/drawing/2012/chart" uri="{CE6537A1-D6FC-4f65-9D91-7224C49458BB}"/>
              </c:extLst>
            </c:dLbl>
            <c:dLbl>
              <c:idx val="4"/>
              <c:layout>
                <c:manualLayout>
                  <c:x val="8.9100782756137781E-2"/>
                  <c:y val="3.0804211271343935E-2"/>
                </c:manualLayout>
              </c:layout>
              <c:showVal val="1"/>
              <c:showCatName val="1"/>
              <c:extLst>
                <c:ext xmlns:c15="http://schemas.microsoft.com/office/drawing/2012/chart" uri="{CE6537A1-D6FC-4f65-9D91-7224C49458BB}"/>
              </c:extLst>
            </c:dLbl>
            <c:dLbl>
              <c:idx val="5"/>
              <c:layout>
                <c:manualLayout>
                  <c:x val="-3.374018070750006E-2"/>
                  <c:y val="-4.7759591848771828E-2"/>
                </c:manualLayout>
              </c:layout>
              <c:showVal val="1"/>
              <c:showCatName val="1"/>
              <c:extLst>
                <c:ext xmlns:c15="http://schemas.microsoft.com/office/drawing/2012/chart" uri="{CE6537A1-D6FC-4f65-9D91-7224C49458BB}"/>
              </c:extLst>
            </c:dLbl>
            <c:dLbl>
              <c:idx val="6"/>
              <c:layout>
                <c:manualLayout>
                  <c:x val="1.179941002949852E-2"/>
                  <c:y val="-0.1094258161550031"/>
                </c:manualLayout>
              </c:layout>
              <c:showVal val="1"/>
              <c:showCatName val="1"/>
              <c:extLst>
                <c:ext xmlns:c15="http://schemas.microsoft.com/office/drawing/2012/chart" uri="{CE6537A1-D6FC-4f65-9D91-7224C49458BB}"/>
              </c:extLst>
            </c:dLbl>
            <c:dLbl>
              <c:idx val="7"/>
              <c:layout>
                <c:manualLayout>
                  <c:x val="-3.1914152323879882E-2"/>
                  <c:y val="-0.14348609513698452"/>
                </c:manualLayout>
              </c:layout>
              <c:showVal val="1"/>
              <c:showCatName val="1"/>
              <c:extLst>
                <c:ext xmlns:c15="http://schemas.microsoft.com/office/drawing/2012/chart" uri="{CE6537A1-D6FC-4f65-9D91-7224C49458BB}"/>
              </c:extLst>
            </c:dLbl>
            <c:dLbl>
              <c:idx val="8"/>
              <c:layout>
                <c:manualLayout>
                  <c:x val="-1.4290572085568961E-2"/>
                  <c:y val="-0.102509658202837"/>
                </c:manualLayout>
              </c:layout>
              <c:showVal val="1"/>
              <c:showCatName val="1"/>
              <c:extLst>
                <c:ext xmlns:c15="http://schemas.microsoft.com/office/drawing/2012/chart" uri="{CE6537A1-D6FC-4f65-9D91-7224C49458BB}"/>
              </c:extLst>
            </c:dLbl>
            <c:dLbl>
              <c:idx val="9"/>
              <c:layout>
                <c:manualLayout>
                  <c:x val="-0.13032569158943641"/>
                  <c:y val="-0.11915066796425729"/>
                </c:manualLayout>
              </c:layout>
              <c:showVal val="1"/>
              <c:showCatName val="1"/>
              <c:extLst>
                <c:ext xmlns:c15="http://schemas.microsoft.com/office/drawing/2012/chart" uri="{CE6537A1-D6FC-4f65-9D91-7224C49458BB}"/>
              </c:extLst>
            </c:dLbl>
            <c:dLbl>
              <c:idx val="10"/>
              <c:layout>
                <c:manualLayout>
                  <c:x val="-0.14145028383080038"/>
                  <c:y val="-0.11982418197725295"/>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Sheet11!$D$4:$D$14</c:f>
              <c:strCache>
                <c:ptCount val="11"/>
                <c:pt idx="0">
                  <c:v>Pomoći iz proračuna</c:v>
                </c:pt>
                <c:pt idx="1">
                  <c:v>Pomoći unutar opće države</c:v>
                </c:pt>
                <c:pt idx="2">
                  <c:v>Pomoći od međun. organizacija</c:v>
                </c:pt>
                <c:pt idx="3">
                  <c:v>Prihodi od imovine</c:v>
                </c:pt>
                <c:pt idx="4">
                  <c:v>Pomoći izravnanja dec. funkcija</c:v>
                </c:pt>
                <c:pt idx="5">
                  <c:v>Pomoći temeljem prijenosa EU sredstava</c:v>
                </c:pt>
                <c:pt idx="6">
                  <c:v>Prihodi od naknada i adm .pristojbi</c:v>
                </c:pt>
                <c:pt idx="7">
                  <c:v>Prihodi financijske imovine</c:v>
                </c:pt>
                <c:pt idx="8">
                  <c:v>Komunalni doprinos</c:v>
                </c:pt>
                <c:pt idx="9">
                  <c:v>Komunalna naknada</c:v>
                </c:pt>
                <c:pt idx="10">
                  <c:v>Ostali prihodi</c:v>
                </c:pt>
              </c:strCache>
            </c:strRef>
          </c:cat>
          <c:val>
            <c:numRef>
              <c:f>Sheet11!$E$4:$E$14</c:f>
              <c:numCache>
                <c:formatCode>#,##0</c:formatCode>
                <c:ptCount val="11"/>
                <c:pt idx="0">
                  <c:v>2416</c:v>
                </c:pt>
                <c:pt idx="1">
                  <c:v>3324</c:v>
                </c:pt>
                <c:pt idx="2">
                  <c:v>3124</c:v>
                </c:pt>
                <c:pt idx="3">
                  <c:v>131507</c:v>
                </c:pt>
                <c:pt idx="4">
                  <c:v>10358</c:v>
                </c:pt>
                <c:pt idx="5" formatCode="General">
                  <c:v>969</c:v>
                </c:pt>
                <c:pt idx="6">
                  <c:v>31190</c:v>
                </c:pt>
                <c:pt idx="7">
                  <c:v>2723</c:v>
                </c:pt>
                <c:pt idx="8">
                  <c:v>15287</c:v>
                </c:pt>
                <c:pt idx="9">
                  <c:v>40458</c:v>
                </c:pt>
                <c:pt idx="10">
                  <c:v>4179</c:v>
                </c:pt>
              </c:numCache>
            </c:numRef>
          </c:val>
        </c:ser>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hr-HR"/>
  <c:chart>
    <c:title>
      <c:tx>
        <c:rich>
          <a:bodyPr/>
          <a:lstStyle/>
          <a:p>
            <a:pPr>
              <a:defRPr/>
            </a:pPr>
            <a:r>
              <a:rPr lang="en-US"/>
              <a:t>Ostvar</a:t>
            </a:r>
            <a:r>
              <a:rPr lang="hr-HR"/>
              <a:t>enje</a:t>
            </a:r>
            <a:r>
              <a:rPr lang="en-US"/>
              <a:t>  2017.</a:t>
            </a:r>
          </a:p>
        </c:rich>
      </c:tx>
      <c:layout>
        <c:manualLayout>
          <c:xMode val="edge"/>
          <c:yMode val="edge"/>
          <c:x val="0.68455558491533486"/>
          <c:y val="3.225358099018924E-2"/>
        </c:manualLayout>
      </c:layout>
    </c:title>
    <c:view3D>
      <c:rotX val="30"/>
      <c:perspective val="30"/>
    </c:view3D>
    <c:plotArea>
      <c:layout>
        <c:manualLayout>
          <c:layoutTarget val="inner"/>
          <c:xMode val="edge"/>
          <c:yMode val="edge"/>
          <c:x val="6.574799111921123E-2"/>
          <c:y val="0.18381965684041582"/>
          <c:w val="0.8392713783816067"/>
          <c:h val="0.73972994078219634"/>
        </c:manualLayout>
      </c:layout>
      <c:pie3DChart>
        <c:varyColors val="1"/>
        <c:ser>
          <c:idx val="0"/>
          <c:order val="0"/>
          <c:tx>
            <c:strRef>
              <c:f>Sheet12!$D$3:$D$4</c:f>
              <c:strCache>
                <c:ptCount val="1"/>
                <c:pt idx="0">
                  <c:v>Ostvar.  2017.</c:v>
                </c:pt>
              </c:strCache>
            </c:strRef>
          </c:tx>
          <c:explosion val="11"/>
          <c:dLbls>
            <c:dLbl>
              <c:idx val="0"/>
              <c:layout>
                <c:manualLayout>
                  <c:x val="-1.9637119351112512E-2"/>
                  <c:y val="-5.5659650628030022E-2"/>
                </c:manualLayout>
              </c:layout>
              <c:showVal val="1"/>
              <c:showCatName val="1"/>
              <c:extLst>
                <c:ext xmlns:c15="http://schemas.microsoft.com/office/drawing/2012/chart" uri="{CE6537A1-D6FC-4f65-9D91-7224C49458BB}"/>
              </c:extLst>
            </c:dLbl>
            <c:dLbl>
              <c:idx val="1"/>
              <c:layout>
                <c:manualLayout>
                  <c:x val="0.10603059376017419"/>
                  <c:y val="-1.6160603891455721E-2"/>
                </c:manualLayout>
              </c:layout>
              <c:showVal val="1"/>
              <c:showCatName val="1"/>
              <c:extLst>
                <c:ext xmlns:c15="http://schemas.microsoft.com/office/drawing/2012/chart" uri="{CE6537A1-D6FC-4f65-9D91-7224C49458BB}"/>
              </c:extLst>
            </c:dLbl>
            <c:dLbl>
              <c:idx val="2"/>
              <c:layout>
                <c:manualLayout>
                  <c:x val="7.2603032244287893E-2"/>
                  <c:y val="0.1338248711881137"/>
                </c:manualLayout>
              </c:layout>
              <c:showVal val="1"/>
              <c:showCatName val="1"/>
              <c:extLst>
                <c:ext xmlns:c15="http://schemas.microsoft.com/office/drawing/2012/chart" uri="{CE6537A1-D6FC-4f65-9D91-7224C49458BB}"/>
              </c:extLst>
            </c:dLbl>
            <c:dLbl>
              <c:idx val="3"/>
              <c:layout>
                <c:manualLayout>
                  <c:x val="2.3224563297300823E-2"/>
                  <c:y val="5.2242503079030764E-2"/>
                </c:manualLayout>
              </c:layout>
              <c:tx>
                <c:rich>
                  <a:bodyPr/>
                  <a:lstStyle/>
                  <a:p>
                    <a:r>
                      <a:rPr lang="en-US"/>
                      <a:t>Subvencije ;</a:t>
                    </a:r>
                  </a:p>
                  <a:p>
                    <a:r>
                      <a:rPr lang="en-US"/>
                      <a:t> 23.364</a:t>
                    </a:r>
                  </a:p>
                </c:rich>
              </c:tx>
              <c:showVal val="1"/>
              <c:showCatName val="1"/>
              <c:extLst>
                <c:ext xmlns:c15="http://schemas.microsoft.com/office/drawing/2012/chart" uri="{CE6537A1-D6FC-4f65-9D91-7224C49458BB}"/>
              </c:extLst>
            </c:dLbl>
            <c:dLbl>
              <c:idx val="4"/>
              <c:layout>
                <c:manualLayout>
                  <c:x val="0"/>
                  <c:y val="3.5961234195461961E-4"/>
                </c:manualLayout>
              </c:layout>
              <c:tx>
                <c:rich>
                  <a:bodyPr/>
                  <a:lstStyle/>
                  <a:p>
                    <a:r>
                      <a:rPr lang="en-US"/>
                      <a:t>Pomoći;</a:t>
                    </a:r>
                  </a:p>
                  <a:p>
                    <a:r>
                      <a:rPr lang="en-US"/>
                      <a:t> 18.711</a:t>
                    </a:r>
                  </a:p>
                </c:rich>
              </c:tx>
              <c:showVal val="1"/>
              <c:showCatName val="1"/>
              <c:extLst>
                <c:ext xmlns:c15="http://schemas.microsoft.com/office/drawing/2012/chart" uri="{CE6537A1-D6FC-4f65-9D91-7224C49458BB}"/>
              </c:extLst>
            </c:dLbl>
            <c:dLbl>
              <c:idx val="5"/>
              <c:layout>
                <c:manualLayout>
                  <c:x val="4.2178696272831398E-2"/>
                  <c:y val="1.5624408987540881E-3"/>
                </c:manualLayout>
              </c:layout>
              <c:tx>
                <c:rich>
                  <a:bodyPr/>
                  <a:lstStyle/>
                  <a:p>
                    <a:r>
                      <a:rPr lang="en-US" sz="800"/>
                      <a:t>Naknade građanima i kućanstvima; 22.943</a:t>
                    </a:r>
                  </a:p>
                </c:rich>
              </c:tx>
              <c:showVal val="1"/>
              <c:showCatName val="1"/>
              <c:extLst>
                <c:ext xmlns:c15="http://schemas.microsoft.com/office/drawing/2012/chart" uri="{CE6537A1-D6FC-4f65-9D91-7224C49458BB}"/>
              </c:extLst>
            </c:dLbl>
            <c:dLbl>
              <c:idx val="6"/>
              <c:layout>
                <c:manualLayout>
                  <c:x val="-3.7463366406553476E-2"/>
                  <c:y val="7.3981613458247459E-3"/>
                </c:manualLayout>
              </c:layout>
              <c:showVal val="1"/>
              <c:showCatName val="1"/>
              <c:extLst>
                <c:ext xmlns:c15="http://schemas.microsoft.com/office/drawing/2012/chart" uri="{CE6537A1-D6FC-4f65-9D91-7224C49458BB}"/>
              </c:extLst>
            </c:dLbl>
            <c:dLbl>
              <c:idx val="7"/>
              <c:layout>
                <c:manualLayout>
                  <c:x val="-0.12413634074738771"/>
                  <c:y val="-1.2974204601720277E-2"/>
                </c:manualLayout>
              </c:layout>
              <c:showVal val="1"/>
              <c:showCatName val="1"/>
              <c:extLst>
                <c:ext xmlns:c15="http://schemas.microsoft.com/office/drawing/2012/chart" uri="{CE6537A1-D6FC-4f65-9D91-7224C49458BB}"/>
              </c:extLst>
            </c:dLbl>
            <c:dLbl>
              <c:idx val="8"/>
              <c:layout>
                <c:manualLayout>
                  <c:x val="-0.14400605331485902"/>
                  <c:y val="-0.10758315477677158"/>
                </c:manualLayout>
              </c:layout>
              <c:showVal val="1"/>
              <c:showCatName val="1"/>
              <c:extLst>
                <c:ext xmlns:c15="http://schemas.microsoft.com/office/drawing/2012/chart" uri="{CE6537A1-D6FC-4f65-9D91-7224C49458BB}"/>
              </c:extLst>
            </c:dLbl>
            <c:dLbl>
              <c:idx val="9"/>
              <c:layout>
                <c:manualLayout>
                  <c:x val="1.4967859959209141E-2"/>
                  <c:y val="-0.10192897241096185"/>
                </c:manualLayout>
              </c:layout>
              <c:showVal val="1"/>
              <c:showCatName val="1"/>
              <c:extLst>
                <c:ext xmlns:c15="http://schemas.microsoft.com/office/drawing/2012/chart" uri="{CE6537A1-D6FC-4f65-9D91-7224C49458BB}"/>
              </c:extLst>
            </c:dLbl>
            <c:dLbl>
              <c:idx val="10"/>
              <c:layout>
                <c:manualLayout>
                  <c:x val="7.2787146001368624E-2"/>
                  <c:y val="-0.18326040527886575"/>
                </c:manualLayout>
              </c:layout>
              <c:tx>
                <c:rich>
                  <a:bodyPr/>
                  <a:lstStyle/>
                  <a:p>
                    <a:r>
                      <a:rPr lang="en-US"/>
                      <a:t>Izdaci za dane</a:t>
                    </a:r>
                  </a:p>
                  <a:p>
                    <a:r>
                      <a:rPr lang="en-US"/>
                      <a:t> zajmove; 790</a:t>
                    </a:r>
                  </a:p>
                </c:rich>
              </c:tx>
              <c:showVal val="1"/>
              <c:showCatName val="1"/>
              <c:extLst>
                <c:ext xmlns:c15="http://schemas.microsoft.com/office/drawing/2012/chart" uri="{CE6537A1-D6FC-4f65-9D91-7224C49458BB}"/>
              </c:extLst>
            </c:dLbl>
            <c:dLbl>
              <c:idx val="11"/>
              <c:layout>
                <c:manualLayout>
                  <c:x val="0.22311580519042429"/>
                  <c:y val="-0.11545734579504757"/>
                </c:manualLayout>
              </c:layout>
              <c:showVal val="1"/>
              <c:showCatName val="1"/>
              <c:extLst>
                <c:ext xmlns:c15="http://schemas.microsoft.com/office/drawing/2012/chart" uri="{CE6537A1-D6FC-4f65-9D91-7224C49458BB}"/>
              </c:extLst>
            </c:dLbl>
            <c:dLbl>
              <c:idx val="12"/>
              <c:layout>
                <c:manualLayout>
                  <c:x val="0.28014581136999145"/>
                  <c:y val="-4.6150681076991912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Sheet12!$C$5:$C$17</c:f>
              <c:strCache>
                <c:ptCount val="13"/>
                <c:pt idx="0">
                  <c:v>Rashodi za zaposlene</c:v>
                </c:pt>
                <c:pt idx="1">
                  <c:v>Materijalni rashodi</c:v>
                </c:pt>
                <c:pt idx="2">
                  <c:v>Financijski rashodi</c:v>
                </c:pt>
                <c:pt idx="3">
                  <c:v>Subvencije </c:v>
                </c:pt>
                <c:pt idx="4">
                  <c:v>Pomoći</c:v>
                </c:pt>
                <c:pt idx="5">
                  <c:v>Naknade građanima i kućanstvima</c:v>
                </c:pt>
                <c:pt idx="6">
                  <c:v>Donacije i ostali rashodi</c:v>
                </c:pt>
                <c:pt idx="7">
                  <c:v>Rashodi za nabavu ne proizvedene imovine</c:v>
                </c:pt>
                <c:pt idx="8">
                  <c:v> Rashodi za nabavu proizvedene dugotrajne imovine</c:v>
                </c:pt>
                <c:pt idx="9">
                  <c:v>Dodatna ulaganja na imovini</c:v>
                </c:pt>
                <c:pt idx="10">
                  <c:v>Izdaci za dane zajmove</c:v>
                </c:pt>
                <c:pt idx="11">
                  <c:v>Izdaci za dionice i udjele u glavnici</c:v>
                </c:pt>
                <c:pt idx="12">
                  <c:v>Izdaci za otplatu glav. zajmova</c:v>
                </c:pt>
              </c:strCache>
            </c:strRef>
          </c:cat>
          <c:val>
            <c:numRef>
              <c:f>Sheet12!$D$5:$D$17</c:f>
              <c:numCache>
                <c:formatCode>#,##0</c:formatCode>
                <c:ptCount val="13"/>
                <c:pt idx="0">
                  <c:v>121479</c:v>
                </c:pt>
                <c:pt idx="1">
                  <c:v>108317</c:v>
                </c:pt>
                <c:pt idx="2">
                  <c:v>6232</c:v>
                </c:pt>
                <c:pt idx="3">
                  <c:v>23364</c:v>
                </c:pt>
                <c:pt idx="4">
                  <c:v>18711</c:v>
                </c:pt>
                <c:pt idx="5">
                  <c:v>22943</c:v>
                </c:pt>
                <c:pt idx="6">
                  <c:v>49567</c:v>
                </c:pt>
                <c:pt idx="7" formatCode="General">
                  <c:v>0</c:v>
                </c:pt>
                <c:pt idx="8">
                  <c:v>12392</c:v>
                </c:pt>
                <c:pt idx="9">
                  <c:v>3693</c:v>
                </c:pt>
                <c:pt idx="10" formatCode="General">
                  <c:v>790</c:v>
                </c:pt>
                <c:pt idx="11" formatCode="General">
                  <c:v>0</c:v>
                </c:pt>
                <c:pt idx="12">
                  <c:v>11301</c:v>
                </c:pt>
              </c:numCache>
            </c:numRef>
          </c:val>
        </c:ser>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hr-HR"/>
  <c:chart>
    <c:title>
      <c:tx>
        <c:rich>
          <a:bodyPr/>
          <a:lstStyle/>
          <a:p>
            <a:pPr>
              <a:defRPr/>
            </a:pPr>
            <a:r>
              <a:rPr lang="hr-HR" sz="1400"/>
              <a:t>Rashodi po upravnim odjelima </a:t>
            </a:r>
            <a:r>
              <a:rPr lang="en-US" sz="1400"/>
              <a:t>2017.</a:t>
            </a:r>
            <a:r>
              <a:rPr lang="hr-HR" sz="1400"/>
              <a:t> u 000 kn</a:t>
            </a:r>
            <a:endParaRPr lang="en-US" sz="1400"/>
          </a:p>
        </c:rich>
      </c:tx>
      <c:layout>
        <c:manualLayout>
          <c:xMode val="edge"/>
          <c:yMode val="edge"/>
          <c:x val="2.7806025434469174E-2"/>
          <c:y val="9.3650312941651985E-3"/>
        </c:manualLayout>
      </c:layout>
    </c:title>
    <c:view3D>
      <c:rotX val="30"/>
      <c:perspective val="30"/>
    </c:view3D>
    <c:plotArea>
      <c:layout>
        <c:manualLayout>
          <c:layoutTarget val="inner"/>
          <c:xMode val="edge"/>
          <c:yMode val="edge"/>
          <c:x val="8.6179309553518921E-2"/>
          <c:y val="0.12639601695456137"/>
          <c:w val="0.83492735539205143"/>
          <c:h val="0.7668510252809817"/>
        </c:manualLayout>
      </c:layout>
      <c:pie3DChart>
        <c:varyColors val="1"/>
        <c:ser>
          <c:idx val="0"/>
          <c:order val="0"/>
          <c:tx>
            <c:strRef>
              <c:f>Sheet13!$E$66</c:f>
              <c:strCache>
                <c:ptCount val="1"/>
                <c:pt idx="0">
                  <c:v>2017.</c:v>
                </c:pt>
              </c:strCache>
            </c:strRef>
          </c:tx>
          <c:dLbls>
            <c:dLbl>
              <c:idx val="0"/>
              <c:layout>
                <c:manualLayout>
                  <c:x val="-7.3068858196004186E-2"/>
                  <c:y val="-7.5891166616389227E-2"/>
                </c:manualLayout>
              </c:layout>
              <c:showVal val="1"/>
              <c:showCatName val="1"/>
              <c:extLst>
                <c:ext xmlns:c15="http://schemas.microsoft.com/office/drawing/2012/chart" uri="{CE6537A1-D6FC-4f65-9D91-7224C49458BB}"/>
              </c:extLst>
            </c:dLbl>
            <c:dLbl>
              <c:idx val="1"/>
              <c:layout>
                <c:manualLayout>
                  <c:x val="-2.3064412030463406E-2"/>
                  <c:y val="-0.14703202323663089"/>
                </c:manualLayout>
              </c:layout>
              <c:showVal val="1"/>
              <c:showCatName val="1"/>
              <c:extLst>
                <c:ext xmlns:c15="http://schemas.microsoft.com/office/drawing/2012/chart" uri="{CE6537A1-D6FC-4f65-9D91-7224C49458BB}"/>
              </c:extLst>
            </c:dLbl>
            <c:dLbl>
              <c:idx val="2"/>
              <c:layout>
                <c:manualLayout>
                  <c:x val="-1.0928961748633901E-2"/>
                  <c:y val="-8.6235480343369225E-2"/>
                </c:manualLayout>
              </c:layout>
              <c:showVal val="1"/>
              <c:showCatNam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0"/>
                  <c:y val="2.7681650144763207E-3"/>
                </c:manualLayout>
              </c:layout>
              <c:showVal val="1"/>
              <c:showCatName val="1"/>
              <c:extLst>
                <c:ext xmlns:c15="http://schemas.microsoft.com/office/drawing/2012/chart" uri="{CE6537A1-D6FC-4f65-9D91-7224C49458BB}"/>
              </c:extLst>
            </c:dLbl>
            <c:dLbl>
              <c:idx val="5"/>
              <c:layout>
                <c:manualLayout>
                  <c:x val="-1.0863990361860521E-2"/>
                  <c:y val="0.15526347643606259"/>
                </c:manualLayout>
              </c:layout>
              <c:showVal val="1"/>
              <c:showCatName val="1"/>
              <c:extLst>
                <c:ext xmlns:c15="http://schemas.microsoft.com/office/drawing/2012/chart" uri="{CE6537A1-D6FC-4f65-9D91-7224C49458BB}"/>
              </c:extLst>
            </c:dLbl>
            <c:dLbl>
              <c:idx val="6"/>
              <c:layout>
                <c:manualLayout>
                  <c:x val="-0.12076330622606611"/>
                  <c:y val="0.11128158045282836"/>
                </c:manualLayout>
              </c:layout>
              <c:showVal val="1"/>
              <c:showCatName val="1"/>
              <c:extLst>
                <c:ext xmlns:c15="http://schemas.microsoft.com/office/drawing/2012/chart" uri="{CE6537A1-D6FC-4f65-9D91-7224C49458BB}"/>
              </c:extLst>
            </c:dLbl>
            <c:dLbl>
              <c:idx val="7"/>
              <c:layout>
                <c:manualLayout>
                  <c:x val="-5.6057398562884449E-2"/>
                  <c:y val="1.19239515257716E-2"/>
                </c:manualLayout>
              </c:layout>
              <c:showVal val="1"/>
              <c:showCatName val="1"/>
              <c:extLst>
                <c:ext xmlns:c15="http://schemas.microsoft.com/office/drawing/2012/chart" uri="{CE6537A1-D6FC-4f65-9D91-7224C49458BB}"/>
              </c:extLst>
            </c:dLbl>
            <c:dLbl>
              <c:idx val="8"/>
              <c:layout>
                <c:manualLayout>
                  <c:x val="4.9203275820030833E-3"/>
                  <c:y val="-6.5156605685072963E-2"/>
                </c:manualLayout>
              </c:layout>
              <c:tx>
                <c:rich>
                  <a:bodyPr/>
                  <a:lstStyle/>
                  <a:p>
                    <a:r>
                      <a:rPr lang="en-US" b="1"/>
                      <a:t>U</a:t>
                    </a:r>
                    <a:r>
                      <a:rPr lang="en-US"/>
                      <a:t>pravni odjel </a:t>
                    </a:r>
                  </a:p>
                  <a:p>
                    <a:r>
                      <a:rPr lang="en-US"/>
                      <a:t>za kulturu i baštinu; 77.812</a:t>
                    </a:r>
                  </a:p>
                </c:rich>
              </c:tx>
              <c:showVal val="1"/>
              <c:showCatName val="1"/>
              <c:extLst>
                <c:ext xmlns:c15="http://schemas.microsoft.com/office/drawing/2012/chart" uri="{CE6537A1-D6FC-4f65-9D91-7224C49458BB}"/>
              </c:extLst>
            </c:dLbl>
            <c:dLbl>
              <c:idx val="9"/>
              <c:layout>
                <c:manualLayout>
                  <c:x val="-0.11001290822253768"/>
                  <c:y val="-2.1589476863262042E-2"/>
                </c:manualLayout>
              </c:layout>
              <c:showVal val="1"/>
              <c:showCatName val="1"/>
              <c:extLst>
                <c:ext xmlns:c15="http://schemas.microsoft.com/office/drawing/2012/chart" uri="{CE6537A1-D6FC-4f65-9D91-7224C49458BB}"/>
              </c:extLst>
            </c:dLbl>
            <c:dLbl>
              <c:idx val="10"/>
              <c:layout>
                <c:manualLayout>
                  <c:x val="-9.901424207220022E-2"/>
                  <c:y val="-6.4480062080387132E-2"/>
                </c:manualLayout>
              </c:layout>
              <c:showVal val="1"/>
              <c:showCatNam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1.4048735711314781E-2"/>
                  <c:y val="-1.9542060446529171E-2"/>
                </c:manualLayout>
              </c:layout>
              <c:tx>
                <c:rich>
                  <a:bodyPr/>
                  <a:lstStyle/>
                  <a:p>
                    <a:r>
                      <a:rPr lang="en-US" sz="900" b="1">
                        <a:latin typeface="Calibri" pitchFamily="34" charset="0"/>
                        <a:cs typeface="Calibri" pitchFamily="34" charset="0"/>
                      </a:rPr>
                      <a:t>U</a:t>
                    </a:r>
                    <a:r>
                      <a:rPr lang="en-US" sz="900">
                        <a:latin typeface="Calibri" pitchFamily="34" charset="0"/>
                        <a:cs typeface="Calibri" pitchFamily="34" charset="0"/>
                      </a:rPr>
                      <a:t>pravni odjel za eurospke fondove,regionalnu i međunarodnu suradnju; 5.700</a:t>
                    </a:r>
                  </a:p>
                </c:rich>
              </c:tx>
              <c:showVal val="1"/>
              <c:showCatName val="1"/>
              <c:extLst>
                <c:ext xmlns:c15="http://schemas.microsoft.com/office/drawing/2012/chart" uri="{CE6537A1-D6FC-4f65-9D91-7224C49458BB}"/>
              </c:extLst>
            </c:dLbl>
            <c:spPr>
              <a:noFill/>
              <a:ln>
                <a:noFill/>
              </a:ln>
              <a:effectLst/>
            </c:spPr>
            <c:txPr>
              <a:bodyPr/>
              <a:lstStyle/>
              <a:p>
                <a:pPr>
                  <a:defRPr b="1"/>
                </a:pPr>
                <a:endParaRPr lang="sr-Latn-CS"/>
              </a:p>
            </c:txPr>
            <c:showVal val="1"/>
            <c:showCatName val="1"/>
            <c:showLeaderLines val="1"/>
            <c:extLst>
              <c:ext xmlns:c15="http://schemas.microsoft.com/office/drawing/2012/chart" uri="{CE6537A1-D6FC-4f65-9D91-7224C49458BB}"/>
            </c:extLst>
          </c:dLbls>
          <c:cat>
            <c:strRef>
              <c:f>Sheet13!$D$67:$D$79</c:f>
              <c:strCache>
                <c:ptCount val="13"/>
                <c:pt idx="0">
                  <c:v>Upravni odjel za poslove gradonačelnika</c:v>
                </c:pt>
                <c:pt idx="1">
                  <c:v>Upravni odjel za gospodarenje gradskom  imovinom</c:v>
                </c:pt>
                <c:pt idx="2">
                  <c:v>Služba gradskog vijeća</c:v>
                </c:pt>
                <c:pt idx="3">
                  <c:v>Upravni odjel za financije</c:v>
                </c:pt>
                <c:pt idx="4">
                  <c:v>Upravni odjel za turizam gospodarstvo i more</c:v>
                </c:pt>
                <c:pt idx="5">
                  <c:v>Upravni odjel za komunalne djelat. i mjesnu samoupravu</c:v>
                </c:pt>
                <c:pt idx="6">
                  <c:v>Upravni odjel za urbanizam prostorno planiranje  i zaštitu okoliša</c:v>
                </c:pt>
                <c:pt idx="7">
                  <c:v>Upravni odjel za obraz., šport, socijalnu skrb i civilno društvo</c:v>
                </c:pt>
                <c:pt idx="8">
                  <c:v>Upravni odjel za kulturu i baštinu</c:v>
                </c:pt>
                <c:pt idx="9">
                  <c:v>Upravni odjel za izgradnju i upravljanje projektima</c:v>
                </c:pt>
                <c:pt idx="10">
                  <c:v>Upravni odjel za promet</c:v>
                </c:pt>
                <c:pt idx="11">
                  <c:v>Upravni odjel za izdavannje i provedbu dok. i prostornog uređenja i gradnje</c:v>
                </c:pt>
                <c:pt idx="12">
                  <c:v>Upravni odjel za eurospke fondove,regionalnu i međunarodnu suradnju</c:v>
                </c:pt>
              </c:strCache>
            </c:strRef>
          </c:cat>
          <c:val>
            <c:numRef>
              <c:f>Sheet13!$E$67:$E$79</c:f>
              <c:numCache>
                <c:formatCode>#,##0</c:formatCode>
                <c:ptCount val="13"/>
                <c:pt idx="0">
                  <c:v>49236</c:v>
                </c:pt>
                <c:pt idx="1">
                  <c:v>5729</c:v>
                </c:pt>
                <c:pt idx="2">
                  <c:v>3949</c:v>
                </c:pt>
                <c:pt idx="3" formatCode="General">
                  <c:v>0</c:v>
                </c:pt>
                <c:pt idx="4">
                  <c:v>10728</c:v>
                </c:pt>
                <c:pt idx="5">
                  <c:v>78522</c:v>
                </c:pt>
                <c:pt idx="6">
                  <c:v>1200</c:v>
                </c:pt>
                <c:pt idx="7">
                  <c:v>100467</c:v>
                </c:pt>
                <c:pt idx="8">
                  <c:v>77812</c:v>
                </c:pt>
                <c:pt idx="9">
                  <c:v>32154</c:v>
                </c:pt>
                <c:pt idx="10">
                  <c:v>13292</c:v>
                </c:pt>
                <c:pt idx="11" formatCode="General">
                  <c:v>0</c:v>
                </c:pt>
                <c:pt idx="12">
                  <c:v>5700</c:v>
                </c:pt>
              </c:numCache>
            </c:numRef>
          </c:val>
        </c:ser>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43E87-0121-4CD8-8160-BCED6D55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8336</Words>
  <Characters>47519</Characters>
  <Application>Microsoft Office Word</Application>
  <DocSecurity>0</DocSecurity>
  <Lines>395</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vt:lpstr>
      <vt:lpstr>OBRAZLOŽENJE PRIJEDLOGA</vt:lpstr>
    </vt:vector>
  </TitlesOfParts>
  <Company>Poglavarstvo grada Dubrovnika</Company>
  <LinksUpToDate>false</LinksUpToDate>
  <CharactersWithSpaces>55744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dc:title>
  <dc:creator>niko</dc:creator>
  <cp:lastModifiedBy>finvodpr</cp:lastModifiedBy>
  <cp:revision>2</cp:revision>
  <cp:lastPrinted>2018-04-25T12:16:00Z</cp:lastPrinted>
  <dcterms:created xsi:type="dcterms:W3CDTF">2018-04-27T10:43:00Z</dcterms:created>
  <dcterms:modified xsi:type="dcterms:W3CDTF">2018-04-27T10:43:00Z</dcterms:modified>
</cp:coreProperties>
</file>