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50" w:rsidRDefault="000B2A7C" w:rsidP="00551FA7">
      <w:pPr>
        <w:pStyle w:val="NoSpacing"/>
        <w:spacing w:before="1720"/>
      </w:pPr>
      <w:r>
        <w:t>Gradonačelnik</w:t>
      </w:r>
    </w:p>
    <w:p w:rsidR="004026FF" w:rsidRDefault="004026FF" w:rsidP="004026FF">
      <w:pPr>
        <w:pStyle w:val="NoSpacing"/>
      </w:pPr>
    </w:p>
    <w:p w:rsidR="00505F50" w:rsidRDefault="00505F50" w:rsidP="00505F50">
      <w:pPr>
        <w:pStyle w:val="NoSpacing"/>
      </w:pPr>
      <w:r>
        <w:t>KLASA:</w:t>
      </w:r>
      <w:r w:rsidR="00FD653B">
        <w:t xml:space="preserve"> 363-01/1</w:t>
      </w:r>
      <w:r w:rsidR="00AF4984">
        <w:t>8</w:t>
      </w:r>
      <w:r w:rsidR="00FD653B">
        <w:t>-09/</w:t>
      </w:r>
      <w:r w:rsidR="00AF4984">
        <w:t>07</w:t>
      </w:r>
    </w:p>
    <w:p w:rsidR="00505F50" w:rsidRDefault="00505F50" w:rsidP="00505F50">
      <w:pPr>
        <w:pStyle w:val="NoSpacing"/>
      </w:pPr>
      <w:r>
        <w:t>URBROJ:</w:t>
      </w:r>
      <w:r w:rsidR="00962DAD">
        <w:t xml:space="preserve"> 2117/01-01-1</w:t>
      </w:r>
      <w:r w:rsidR="002271D9">
        <w:t>8</w:t>
      </w:r>
      <w:r w:rsidR="00962DAD">
        <w:t>-2</w:t>
      </w:r>
    </w:p>
    <w:p w:rsidR="00505F50" w:rsidRDefault="00505F50" w:rsidP="00505F50">
      <w:pPr>
        <w:pStyle w:val="NoSpacing"/>
      </w:pPr>
      <w:r>
        <w:t xml:space="preserve">Dubrovnik, </w:t>
      </w:r>
      <w:r w:rsidR="00AF4984">
        <w:t>12</w:t>
      </w:r>
      <w:r>
        <w:t xml:space="preserve">. </w:t>
      </w:r>
      <w:r w:rsidR="002271D9">
        <w:t>siječnja</w:t>
      </w:r>
      <w:r>
        <w:t xml:space="preserve"> 201</w:t>
      </w:r>
      <w:r w:rsidR="002271D9">
        <w:t>8</w:t>
      </w:r>
      <w:r>
        <w:t>.</w:t>
      </w:r>
    </w:p>
    <w:p w:rsidR="004026FF" w:rsidRDefault="004026FF" w:rsidP="000B4258">
      <w:pPr>
        <w:spacing w:before="120" w:after="0" w:line="240" w:lineRule="auto"/>
        <w:jc w:val="both"/>
        <w:rPr>
          <w:rFonts w:ascii="Arial" w:hAnsi="Arial" w:cs="Arial"/>
        </w:rPr>
      </w:pPr>
    </w:p>
    <w:p w:rsidR="004026FF" w:rsidRDefault="004026FF" w:rsidP="000B4258">
      <w:pPr>
        <w:spacing w:before="120" w:after="0" w:line="240" w:lineRule="auto"/>
        <w:jc w:val="both"/>
        <w:rPr>
          <w:rFonts w:ascii="Arial" w:hAnsi="Arial" w:cs="Arial"/>
        </w:rPr>
      </w:pPr>
    </w:p>
    <w:p w:rsidR="004026FF" w:rsidRDefault="004026FF" w:rsidP="000B4258">
      <w:pPr>
        <w:spacing w:before="120" w:after="0" w:line="240" w:lineRule="auto"/>
        <w:jc w:val="both"/>
        <w:rPr>
          <w:rFonts w:ascii="Arial" w:hAnsi="Arial" w:cs="Arial"/>
        </w:rPr>
      </w:pPr>
    </w:p>
    <w:p w:rsidR="004302FA" w:rsidRPr="004302FA" w:rsidRDefault="004302FA" w:rsidP="000B4258">
      <w:pPr>
        <w:spacing w:before="120" w:after="0" w:line="240" w:lineRule="auto"/>
        <w:jc w:val="both"/>
        <w:rPr>
          <w:rFonts w:ascii="Arial" w:hAnsi="Arial" w:cs="Arial"/>
        </w:rPr>
      </w:pPr>
      <w:r w:rsidRPr="004302FA">
        <w:rPr>
          <w:rFonts w:ascii="Arial" w:hAnsi="Arial" w:cs="Arial"/>
        </w:rPr>
        <w:t>Na temelju članka 31. stavka 7. Zakona o komunalnom gospodarstvu ("Narodne novine", broj: 36/95, 109/95, 21/96, 70/97, 128/99, 57/00, 129/00, 59/01, 26/03, 110/04, 178/04, 38/09, 79/09, 153/09, 49/11, 84/11, 90/11, 144/12, 94/13, 153/13, 147/14 i 36/15), članka 48. Zakona o lokalnoj i područnoj (regionalnoj) s</w:t>
      </w:r>
      <w:r w:rsidR="005211D6">
        <w:rPr>
          <w:rFonts w:ascii="Arial" w:hAnsi="Arial" w:cs="Arial"/>
        </w:rPr>
        <w:t>amoupravi ("</w:t>
      </w:r>
      <w:r w:rsidR="000B4258">
        <w:rPr>
          <w:rFonts w:ascii="Arial" w:hAnsi="Arial" w:cs="Arial"/>
        </w:rPr>
        <w:t>Narodne novine</w:t>
      </w:r>
      <w:r w:rsidR="005211D6">
        <w:rPr>
          <w:rFonts w:ascii="Arial" w:hAnsi="Arial" w:cs="Arial"/>
        </w:rPr>
        <w:t>"</w:t>
      </w:r>
      <w:r w:rsidR="000B4258">
        <w:rPr>
          <w:rFonts w:ascii="Arial" w:hAnsi="Arial" w:cs="Arial"/>
        </w:rPr>
        <w:t>, broj:</w:t>
      </w:r>
      <w:r w:rsidRPr="004302FA">
        <w:rPr>
          <w:rFonts w:ascii="Arial" w:hAnsi="Arial" w:cs="Arial"/>
        </w:rPr>
        <w:t xml:space="preserve"> 33/01, 60/01, 129/05, 109/07, 125/08, 36/09, 150/11, 144/12, 19/13 – pročišćeni tekst</w:t>
      </w:r>
      <w:r w:rsidR="002271D9">
        <w:rPr>
          <w:rFonts w:ascii="Arial" w:hAnsi="Arial" w:cs="Arial"/>
        </w:rPr>
        <w:t xml:space="preserve">, </w:t>
      </w:r>
      <w:r w:rsidR="000B4258">
        <w:rPr>
          <w:rFonts w:ascii="Arial" w:hAnsi="Arial" w:cs="Arial"/>
        </w:rPr>
        <w:t>137/15</w:t>
      </w:r>
      <w:r w:rsidR="002271D9">
        <w:rPr>
          <w:rFonts w:ascii="Arial" w:hAnsi="Arial" w:cs="Arial"/>
        </w:rPr>
        <w:t xml:space="preserve"> i 123/17</w:t>
      </w:r>
      <w:r w:rsidRPr="004302FA">
        <w:rPr>
          <w:rFonts w:ascii="Arial" w:hAnsi="Arial" w:cs="Arial"/>
        </w:rPr>
        <w:t>) i članka</w:t>
      </w:r>
      <w:r w:rsidR="005211D6">
        <w:rPr>
          <w:rFonts w:ascii="Arial" w:hAnsi="Arial" w:cs="Arial"/>
        </w:rPr>
        <w:t xml:space="preserve"> 41. Statuta Grada Dubrovnika ("</w:t>
      </w:r>
      <w:r w:rsidRPr="004302FA">
        <w:rPr>
          <w:rFonts w:ascii="Arial" w:hAnsi="Arial" w:cs="Arial"/>
        </w:rPr>
        <w:t>Službeni glasnik Grada Dubrovnika</w:t>
      </w:r>
      <w:r w:rsidR="005211D6">
        <w:rPr>
          <w:rFonts w:ascii="Arial" w:hAnsi="Arial" w:cs="Arial"/>
        </w:rPr>
        <w:t>"</w:t>
      </w:r>
      <w:r w:rsidRPr="004302FA">
        <w:rPr>
          <w:rFonts w:ascii="Arial" w:hAnsi="Arial" w:cs="Arial"/>
        </w:rPr>
        <w:t>, br</w:t>
      </w:r>
      <w:r w:rsidR="000B4258">
        <w:rPr>
          <w:rFonts w:ascii="Arial" w:hAnsi="Arial" w:cs="Arial"/>
        </w:rPr>
        <w:t>oj:</w:t>
      </w:r>
      <w:r w:rsidRPr="004302FA">
        <w:rPr>
          <w:rFonts w:ascii="Arial" w:hAnsi="Arial" w:cs="Arial"/>
        </w:rPr>
        <w:t xml:space="preserve"> 4/09, 6/10, 3/11, 14/12, 5/13, 6/13 – pročišćeni tekst i 9/15),</w:t>
      </w:r>
      <w:r w:rsidR="000B4258">
        <w:rPr>
          <w:rFonts w:ascii="Arial" w:hAnsi="Arial" w:cs="Arial"/>
        </w:rPr>
        <w:t xml:space="preserve"> G</w:t>
      </w:r>
      <w:r w:rsidRPr="004302FA">
        <w:rPr>
          <w:rFonts w:ascii="Arial" w:hAnsi="Arial" w:cs="Arial"/>
        </w:rPr>
        <w:t>radonačelnik Grada Dubrovnika donosi sljedeći</w:t>
      </w:r>
    </w:p>
    <w:p w:rsidR="004302FA" w:rsidRPr="002271D9" w:rsidRDefault="004302FA" w:rsidP="005211D6">
      <w:pPr>
        <w:pStyle w:val="NoSpacing"/>
        <w:spacing w:before="480"/>
        <w:jc w:val="center"/>
        <w:rPr>
          <w:rFonts w:cs="Arial"/>
          <w:b/>
          <w:sz w:val="24"/>
          <w:szCs w:val="24"/>
        </w:rPr>
      </w:pPr>
      <w:r w:rsidRPr="002271D9">
        <w:rPr>
          <w:rFonts w:cs="Arial"/>
          <w:b/>
          <w:sz w:val="24"/>
          <w:szCs w:val="24"/>
        </w:rPr>
        <w:t>Z A K L J U Č A K</w:t>
      </w:r>
    </w:p>
    <w:p w:rsidR="000B4258" w:rsidRPr="005211D6" w:rsidRDefault="004302FA" w:rsidP="002271D9">
      <w:pPr>
        <w:pStyle w:val="Standard"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11D6">
        <w:rPr>
          <w:rStyle w:val="Zadanifontodlomka"/>
          <w:rFonts w:ascii="Arial" w:hAnsi="Arial" w:cs="Arial"/>
          <w:sz w:val="22"/>
          <w:szCs w:val="22"/>
        </w:rPr>
        <w:t>Utvrđuje se Prijedlog Odluke o izmjenama i dopunama Odluke o komunalnom</w:t>
      </w:r>
      <w:r w:rsidR="000B4258" w:rsidRPr="005211D6">
        <w:rPr>
          <w:rFonts w:ascii="Arial" w:hAnsi="Arial" w:cs="Arial"/>
          <w:sz w:val="22"/>
          <w:szCs w:val="22"/>
        </w:rPr>
        <w:t xml:space="preserve"> </w:t>
      </w:r>
      <w:r w:rsidRPr="005211D6">
        <w:rPr>
          <w:rFonts w:ascii="Arial" w:hAnsi="Arial" w:cs="Arial"/>
          <w:sz w:val="22"/>
          <w:szCs w:val="22"/>
        </w:rPr>
        <w:t>doprinosu i dostavlja se Gradskom vijeću Grada Dubrovnika na daljnju raspravu i usvajanje.</w:t>
      </w:r>
    </w:p>
    <w:p w:rsidR="000B4258" w:rsidRPr="005211D6" w:rsidRDefault="002271D9" w:rsidP="002271D9">
      <w:pPr>
        <w:pStyle w:val="Standard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Tekst </w:t>
      </w:r>
      <w:r w:rsidR="009148AF">
        <w:rPr>
          <w:rFonts w:ascii="Arial" w:hAnsi="Arial" w:cs="Arial"/>
          <w:sz w:val="22"/>
          <w:szCs w:val="22"/>
        </w:rPr>
        <w:t xml:space="preserve">Prijedloga </w:t>
      </w:r>
      <w:r w:rsidR="004302FA" w:rsidRPr="005211D6">
        <w:rPr>
          <w:rFonts w:ascii="Arial" w:hAnsi="Arial" w:cs="Arial"/>
          <w:sz w:val="22"/>
          <w:szCs w:val="22"/>
        </w:rPr>
        <w:t>Odluke iz točke 1. ovog Zaključka sastavni je dio istog.</w:t>
      </w:r>
    </w:p>
    <w:p w:rsidR="004302FA" w:rsidRPr="005211D6" w:rsidRDefault="004302FA" w:rsidP="002271D9">
      <w:pPr>
        <w:pStyle w:val="Standard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11D6">
        <w:rPr>
          <w:rFonts w:ascii="Arial" w:hAnsi="Arial" w:cs="Arial"/>
          <w:sz w:val="22"/>
          <w:szCs w:val="22"/>
        </w:rPr>
        <w:t>Izvjestitelj u ovom predmetu biti će privremeni pročelnik Zlatko Uršić.</w:t>
      </w:r>
    </w:p>
    <w:p w:rsidR="003D7FB0" w:rsidRPr="003D7FB0" w:rsidRDefault="003D7FB0" w:rsidP="005211D6">
      <w:pPr>
        <w:pStyle w:val="Standard"/>
        <w:spacing w:before="600"/>
        <w:ind w:left="5664" w:firstLine="709"/>
        <w:rPr>
          <w:rFonts w:ascii="Arial" w:hAnsi="Arial" w:cs="Arial"/>
          <w:sz w:val="22"/>
          <w:szCs w:val="22"/>
        </w:rPr>
      </w:pPr>
      <w:r w:rsidRPr="003D7FB0">
        <w:rPr>
          <w:rFonts w:ascii="Arial" w:hAnsi="Arial" w:cs="Arial"/>
          <w:sz w:val="22"/>
          <w:szCs w:val="22"/>
        </w:rPr>
        <w:t>Gradonačelnik</w:t>
      </w:r>
    </w:p>
    <w:p w:rsidR="003D7FB0" w:rsidRPr="003D7FB0" w:rsidRDefault="000B4258" w:rsidP="000B4258">
      <w:pPr>
        <w:pStyle w:val="Standard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D7FB0" w:rsidRPr="003D7FB0">
        <w:rPr>
          <w:rFonts w:ascii="Arial" w:hAnsi="Arial" w:cs="Arial"/>
          <w:sz w:val="22"/>
          <w:szCs w:val="22"/>
        </w:rPr>
        <w:t>Mato Franković</w:t>
      </w:r>
    </w:p>
    <w:p w:rsidR="004302FA" w:rsidRDefault="003D7FB0" w:rsidP="000B4258">
      <w:pPr>
        <w:pStyle w:val="NoSpacing"/>
        <w:spacing w:before="1200"/>
        <w:rPr>
          <w:rFonts w:cs="Arial"/>
        </w:rPr>
      </w:pPr>
      <w:r>
        <w:rPr>
          <w:rFonts w:cs="Arial"/>
        </w:rPr>
        <w:t>D</w:t>
      </w:r>
      <w:r w:rsidR="000B4258">
        <w:rPr>
          <w:rFonts w:cs="Arial"/>
        </w:rPr>
        <w:t>OSTAVITI</w:t>
      </w:r>
      <w:r>
        <w:rPr>
          <w:rFonts w:cs="Arial"/>
        </w:rPr>
        <w:t>:</w:t>
      </w:r>
    </w:p>
    <w:p w:rsidR="005211D6" w:rsidRDefault="003D7FB0" w:rsidP="005211D6">
      <w:pPr>
        <w:pStyle w:val="NoSpacing"/>
        <w:numPr>
          <w:ilvl w:val="0"/>
          <w:numId w:val="4"/>
        </w:numPr>
        <w:spacing w:before="240"/>
        <w:ind w:left="357" w:hanging="357"/>
        <w:rPr>
          <w:rFonts w:cs="Arial"/>
        </w:rPr>
      </w:pPr>
      <w:r w:rsidRPr="000B4258">
        <w:rPr>
          <w:rFonts w:cs="Arial"/>
        </w:rPr>
        <w:t>Služba Gradskog vijeća Grada Dubrovnika</w:t>
      </w:r>
    </w:p>
    <w:p w:rsidR="005211D6" w:rsidRDefault="005211D6" w:rsidP="005211D6">
      <w:pPr>
        <w:pStyle w:val="NoSpacing"/>
        <w:numPr>
          <w:ilvl w:val="0"/>
          <w:numId w:val="4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Upravni odjel za komunalne djelatnosti</w:t>
      </w:r>
    </w:p>
    <w:p w:rsidR="005211D6" w:rsidRDefault="005211D6" w:rsidP="005211D6">
      <w:pPr>
        <w:pStyle w:val="NoSpacing"/>
        <w:ind w:left="357"/>
        <w:rPr>
          <w:rFonts w:cs="Arial"/>
        </w:rPr>
      </w:pPr>
      <w:r>
        <w:rPr>
          <w:rFonts w:cs="Arial"/>
        </w:rPr>
        <w:t>i mjesnu samoupravu, ovdje</w:t>
      </w:r>
    </w:p>
    <w:p w:rsidR="004026FF" w:rsidRDefault="005211D6" w:rsidP="004026FF">
      <w:pPr>
        <w:pStyle w:val="NoSpacing"/>
        <w:numPr>
          <w:ilvl w:val="0"/>
          <w:numId w:val="4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Pismohrana</w:t>
      </w: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</w:t>
      </w:r>
    </w:p>
    <w:p w:rsidR="004026FF" w:rsidRDefault="004026FF" w:rsidP="004026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 mjesnu samoupravu</w:t>
      </w:r>
    </w:p>
    <w:p w:rsidR="004026FF" w:rsidRDefault="004026FF" w:rsidP="004026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363-01/18-09/07</w:t>
      </w:r>
    </w:p>
    <w:p w:rsidR="004026FF" w:rsidRDefault="004026FF" w:rsidP="004026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2117/01-03-18-1</w:t>
      </w:r>
    </w:p>
    <w:p w:rsidR="004026FF" w:rsidRDefault="004026FF" w:rsidP="004026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12. siječnja 2018.</w:t>
      </w:r>
    </w:p>
    <w:p w:rsidR="004026FF" w:rsidRDefault="004026FF" w:rsidP="004026FF">
      <w:pPr>
        <w:pStyle w:val="Standard"/>
        <w:ind w:left="510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GRADONAČELNIK</w:t>
      </w:r>
    </w:p>
    <w:p w:rsidR="004026FF" w:rsidRDefault="004026FF" w:rsidP="004026FF">
      <w:pPr>
        <w:pStyle w:val="Standard"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GRADA DUBROVNIKA</w:t>
      </w:r>
    </w:p>
    <w:p w:rsidR="004026FF" w:rsidRDefault="004026FF" w:rsidP="004026FF">
      <w:pPr>
        <w:pStyle w:val="Standard"/>
        <w:ind w:left="5103" w:firstLine="142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eastAsia="Times New Roman" w:hAnsi="Arial" w:cs="Arial"/>
          <w:b/>
          <w:sz w:val="22"/>
          <w:szCs w:val="22"/>
        </w:rPr>
        <w:t xml:space="preserve">           </w:t>
      </w:r>
      <w:r>
        <w:rPr>
          <w:rStyle w:val="Zadanifontodlomka"/>
          <w:rFonts w:ascii="Arial" w:hAnsi="Arial" w:cs="Arial"/>
          <w:b/>
          <w:sz w:val="22"/>
          <w:szCs w:val="22"/>
        </w:rPr>
        <w:t>- ovdje-</w:t>
      </w:r>
    </w:p>
    <w:p w:rsidR="004026FF" w:rsidRDefault="004026FF" w:rsidP="004026FF">
      <w:pPr>
        <w:pStyle w:val="Standard"/>
        <w:spacing w:before="360"/>
        <w:ind w:left="1418" w:hanging="1418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hAnsi="Arial" w:cs="Arial"/>
          <w:b/>
          <w:sz w:val="22"/>
          <w:szCs w:val="22"/>
        </w:rPr>
        <w:t>PREDMET:</w:t>
      </w:r>
      <w:r>
        <w:rPr>
          <w:rStyle w:val="Zadanifontodlomka"/>
          <w:rFonts w:ascii="Arial" w:hAnsi="Arial" w:cs="Arial"/>
          <w:b/>
          <w:sz w:val="22"/>
          <w:szCs w:val="22"/>
        </w:rPr>
        <w:tab/>
        <w:t xml:space="preserve">Prijedlog Zaključka o utvrđivanju prijedloga Odluke o izmjenama Odluke o komunalnom doprinosu – </w:t>
      </w:r>
      <w:r>
        <w:rPr>
          <w:rFonts w:ascii="Arial" w:hAnsi="Arial" w:cs="Arial"/>
          <w:sz w:val="22"/>
          <w:szCs w:val="22"/>
        </w:rPr>
        <w:t>dostavlja se</w:t>
      </w:r>
    </w:p>
    <w:p w:rsidR="004026FF" w:rsidRDefault="004026FF" w:rsidP="004026FF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31. stavka 7. Zakona o komunalnom gospodarstvu (Narodne novine, broj: 36/95, 109/95, 21/96, 70/97, 128/99, 57/00, 129/00, 59/01, 26/03, 110/04, 178/04, 38/09, 79/09, 153/09, 49/11, 84/11, 90/11, 144/12, 94/13, 153/13, 147/14 i 36/15) Gradsko vijeće donosi Odluku o komunalnom doprinosu kojom se između ostalog utvrđuju jedinične vrijednosti komunalnog doprinosa po vrsti objekata i uređaja komunalne infrastrukture i po pojedinim zonama, određene u kunama po m</w:t>
      </w:r>
      <w:r>
        <w:rPr>
          <w:rStyle w:val="Zadanifontodlomka"/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građevine.</w:t>
      </w:r>
    </w:p>
    <w:p w:rsidR="004026FF" w:rsidRDefault="004026FF" w:rsidP="004026FF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Predmetnim izmjenama promijenjen je stavak 2. članka 8. Odluke o komunalnom doprinosu na način da su utvrđene nove jedinične vrijednosti komunalnog doprinosa po zonama za građenje objekata i uređaja komunalne infrastrukture za javne površine, nerazvrstane ceste, groblja i javnu rasvjetu, te stavak 1. članka 8a. Odluke u kojem su utvrđene nove jedinične vrijednosti komunalnog doprinosa po zonama za građevine koje su u postupku legalizacije po Zakonu o postupanju s nezakonito izgrađenim zgradama ("Narodne novine", broj: 86/12, 143/13 i 65/17) za javne površine, nerazvrstane ceste, groblja i javnu rasvjetu, a sukladno stavkama u Proračunu Grada Dubrovnika za 2018. godinu, te Programu gradnje objekata i uređaja komunalne infrastrukture za 2018. godinu.</w:t>
      </w:r>
    </w:p>
    <w:p w:rsidR="004026FF" w:rsidRDefault="004026FF" w:rsidP="004026FF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Također, mijenja se i članak 14.b. Odluke o komunalnom doprinosu na način da je u svrhu reguliranja prometa u mirovanju preciznije određen uvjet za oslobađanje od plaćanja komunalnog doprinosa za gradnju garažnog objekta.</w:t>
      </w:r>
    </w:p>
    <w:p w:rsidR="004026FF" w:rsidRDefault="004026FF" w:rsidP="004026FF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naprijed iznesenog predlaže se Gradonačelniku Grada Dubrovnika donijeti slijedeći</w:t>
      </w:r>
    </w:p>
    <w:p w:rsidR="004026FF" w:rsidRDefault="004026FF" w:rsidP="004026FF">
      <w:pPr>
        <w:pStyle w:val="Standard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4026FF" w:rsidRDefault="004026FF" w:rsidP="004026FF">
      <w:pPr>
        <w:pStyle w:val="Standard"/>
        <w:numPr>
          <w:ilvl w:val="0"/>
          <w:numId w:val="5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hAnsi="Arial" w:cs="Arial"/>
          <w:b/>
          <w:sz w:val="22"/>
          <w:szCs w:val="22"/>
        </w:rPr>
        <w:t>Utvrđuje se Prijedlog Odluke o izmjenama Odluke o komunalnom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doprinosu i dostavlja Gradskom vijeću Grada Dubrovnika na daljnju raspravu 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usvajanje.</w:t>
      </w:r>
    </w:p>
    <w:p w:rsidR="004026FF" w:rsidRDefault="004026FF" w:rsidP="004026FF">
      <w:pPr>
        <w:pStyle w:val="Standard"/>
        <w:numPr>
          <w:ilvl w:val="0"/>
          <w:numId w:val="5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Sastavni dio ovog Zaključka je Odluka iz točke 1.ovog Zaključka.</w:t>
      </w:r>
    </w:p>
    <w:p w:rsidR="004026FF" w:rsidRDefault="004026FF" w:rsidP="004026FF">
      <w:pPr>
        <w:pStyle w:val="Standard"/>
        <w:numPr>
          <w:ilvl w:val="0"/>
          <w:numId w:val="5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Izvjestitelj u ovom predmetu biti će privremeni pročelnik Zlatko </w:t>
      </w:r>
      <w:proofErr w:type="spellStart"/>
      <w:r>
        <w:rPr>
          <w:rFonts w:ascii="Arial" w:hAnsi="Arial" w:cs="Arial"/>
          <w:b/>
          <w:sz w:val="22"/>
          <w:szCs w:val="22"/>
        </w:rPr>
        <w:t>Uršić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4026FF" w:rsidRDefault="004026FF" w:rsidP="004026FF">
      <w:pPr>
        <w:pStyle w:val="Standard"/>
        <w:spacing w:before="480"/>
        <w:ind w:left="6095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Privremeni Pročelnik</w:t>
      </w:r>
    </w:p>
    <w:p w:rsidR="004026FF" w:rsidRDefault="004026FF" w:rsidP="004026FF">
      <w:pPr>
        <w:pStyle w:val="Standard"/>
        <w:ind w:left="5955" w:firstLine="708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eastAsia="Times New Roman" w:hAnsi="Arial" w:cs="Arial"/>
          <w:sz w:val="22"/>
          <w:szCs w:val="22"/>
        </w:rPr>
        <w:t xml:space="preserve">Zlatko </w:t>
      </w:r>
      <w:proofErr w:type="spellStart"/>
      <w:r>
        <w:rPr>
          <w:rStyle w:val="Zadanifontodlomka"/>
          <w:rFonts w:ascii="Arial" w:eastAsia="Times New Roman" w:hAnsi="Arial" w:cs="Arial"/>
          <w:sz w:val="22"/>
          <w:szCs w:val="22"/>
        </w:rPr>
        <w:t>Uršić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026FF" w:rsidRDefault="004026FF" w:rsidP="004026FF">
      <w:pPr>
        <w:pStyle w:val="Standard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4026FF" w:rsidRDefault="004026FF" w:rsidP="004026FF">
      <w:pPr>
        <w:pStyle w:val="Standard"/>
        <w:numPr>
          <w:ilvl w:val="0"/>
          <w:numId w:val="7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Naslovu</w:t>
      </w:r>
    </w:p>
    <w:p w:rsidR="004026FF" w:rsidRDefault="004026FF" w:rsidP="004026FF">
      <w:pPr>
        <w:pStyle w:val="Standard"/>
        <w:numPr>
          <w:ilvl w:val="0"/>
          <w:numId w:val="8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4026FF" w:rsidRDefault="004026FF" w:rsidP="004026FF">
      <w:pPr>
        <w:pStyle w:val="Standard"/>
        <w:numPr>
          <w:ilvl w:val="0"/>
          <w:numId w:val="8"/>
        </w:numPr>
        <w:spacing w:before="12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4026FF" w:rsidRDefault="004026FF" w:rsidP="004026FF">
      <w:pPr>
        <w:pStyle w:val="Textbodyuser"/>
        <w:widowControl w:val="0"/>
        <w:tabs>
          <w:tab w:val="center" w:pos="5165"/>
        </w:tabs>
        <w:autoSpaceDE w:val="0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hAnsi="Arial" w:cs="Arial"/>
          <w:sz w:val="22"/>
          <w:szCs w:val="22"/>
        </w:rPr>
        <w:t>Na temelju članka 31. stavka 7. Zakona o komunalnom gospodarstvu ("Narodne novine", broj: 36/95, 109/95 – Uredba, 21/96 – Uredba, 70/97, 128/99, 57/00, 129/00, 59/01, 26/03. – pročišćeni tekst, 82/04, 110/04 – Uredba, 178/04, 38/09, 79/09, 153/09, 49/11, 84/11, 90/11, 144/12, 94/13, 153/13, 147/14 i 36/15) i članka 32. Statuta Grada Dubrovnika ("Službeni glasnik Grada Dubrovnika", broj: 4/09, 6/10, 3/11, 14/12, 5/13, 6/13 i 9/15), Gradsko vijeće Grada Dubrovnika na _____ sjednici, održanoj ___ ____________ 2018. god., donijelo je</w:t>
      </w:r>
    </w:p>
    <w:p w:rsidR="004026FF" w:rsidRDefault="004026FF" w:rsidP="004026FF">
      <w:pPr>
        <w:pStyle w:val="Heading1"/>
        <w:spacing w:before="36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 L U K U</w:t>
      </w:r>
    </w:p>
    <w:p w:rsidR="004026FF" w:rsidRDefault="004026FF" w:rsidP="004026FF">
      <w:pPr>
        <w:pStyle w:val="Standard"/>
        <w:tabs>
          <w:tab w:val="center" w:pos="5165"/>
        </w:tabs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izmjenama Odluke o komunalnom doprinosu</w:t>
      </w:r>
    </w:p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1.</w:t>
      </w:r>
    </w:p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Odluci o komunalnom doprinosu ("Službeni glasnik Grada Dubrovnika", broj: 06/06, 03/07, 01/09, 02/10, 06/10, 01/11, 07/12, 14/12, 05/13, 13/13, 01/14, 08/15, 21/15, 01/16, 14/16, 14/17 i 25/17) članak 8. stavak 2. mijenja se i glasi:</w:t>
      </w:r>
    </w:p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80" w:after="120"/>
        <w:ind w:right="108"/>
        <w:jc w:val="both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hAnsi="Arial" w:cs="Arial"/>
          <w:bCs/>
          <w:sz w:val="22"/>
          <w:szCs w:val="22"/>
        </w:rPr>
        <w:t>"Jedinična vrijednost komunalnog doprinosa po vrsti objekata i uređaja komunalne infrastrukture i po zonama iz članka 7. ove Odluke, određuje se u kunama po m</w:t>
      </w:r>
      <w:r>
        <w:rPr>
          <w:rStyle w:val="Zadanifontodlomka"/>
          <w:rFonts w:ascii="Arial" w:hAnsi="Arial" w:cs="Arial"/>
          <w:bCs/>
          <w:sz w:val="22"/>
          <w:szCs w:val="22"/>
          <w:vertAlign w:val="superscript"/>
        </w:rPr>
        <w:t>3</w:t>
      </w:r>
      <w:r>
        <w:rPr>
          <w:rStyle w:val="Zadanifontodlomka"/>
          <w:rFonts w:ascii="Arial" w:hAnsi="Arial" w:cs="Arial"/>
          <w:bCs/>
          <w:sz w:val="22"/>
          <w:szCs w:val="22"/>
        </w:rPr>
        <w:t xml:space="preserve"> građevine i ista iznosi:</w:t>
      </w:r>
    </w:p>
    <w:tbl>
      <w:tblPr>
        <w:tblW w:w="5888" w:type="dxa"/>
        <w:tblInd w:w="108" w:type="dxa"/>
        <w:tblLook w:val="04A0" w:firstRow="1" w:lastRow="0" w:firstColumn="1" w:lastColumn="0" w:noHBand="0" w:noVBand="1"/>
      </w:tblPr>
      <w:tblGrid>
        <w:gridCol w:w="2000"/>
        <w:gridCol w:w="889"/>
        <w:gridCol w:w="954"/>
        <w:gridCol w:w="1039"/>
        <w:gridCol w:w="1027"/>
      </w:tblGrid>
      <w:tr w:rsidR="004026FF" w:rsidTr="004026FF">
        <w:trPr>
          <w:trHeight w:val="315"/>
        </w:trPr>
        <w:tc>
          <w:tcPr>
            <w:tcW w:w="2000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ZONA</w:t>
            </w:r>
          </w:p>
        </w:tc>
        <w:tc>
          <w:tcPr>
            <w:tcW w:w="868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954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1039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III.</w:t>
            </w:r>
          </w:p>
        </w:tc>
        <w:tc>
          <w:tcPr>
            <w:tcW w:w="1027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IV.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Javne površine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Nerazvrstane ceste</w:t>
            </w:r>
          </w:p>
        </w:tc>
        <w:tc>
          <w:tcPr>
            <w:tcW w:w="868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50,00</w:t>
            </w:r>
          </w:p>
        </w:tc>
        <w:tc>
          <w:tcPr>
            <w:tcW w:w="954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44,00</w:t>
            </w:r>
          </w:p>
        </w:tc>
        <w:tc>
          <w:tcPr>
            <w:tcW w:w="1039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29,00</w:t>
            </w:r>
          </w:p>
        </w:tc>
        <w:tc>
          <w:tcPr>
            <w:tcW w:w="1027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Javna rasvjeta</w:t>
            </w:r>
          </w:p>
        </w:tc>
        <w:tc>
          <w:tcPr>
            <w:tcW w:w="868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8,00</w:t>
            </w:r>
          </w:p>
        </w:tc>
        <w:tc>
          <w:tcPr>
            <w:tcW w:w="954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7,00</w:t>
            </w:r>
          </w:p>
        </w:tc>
        <w:tc>
          <w:tcPr>
            <w:tcW w:w="1039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5,00</w:t>
            </w:r>
          </w:p>
        </w:tc>
        <w:tc>
          <w:tcPr>
            <w:tcW w:w="1027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1,00</w:t>
            </w:r>
          </w:p>
        </w:tc>
      </w:tr>
      <w:tr w:rsidR="004026FF" w:rsidTr="004026F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Groblja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138,00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120,00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80,00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20,00</w:t>
            </w:r>
          </w:p>
        </w:tc>
      </w:tr>
    </w:tbl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2.</w:t>
      </w:r>
    </w:p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Članak 8a. stavak 1. mijenja se i glasi:</w:t>
      </w:r>
    </w:p>
    <w:p w:rsidR="004026FF" w:rsidRDefault="004026FF" w:rsidP="004026FF">
      <w:pPr>
        <w:pStyle w:val="Standard"/>
        <w:tabs>
          <w:tab w:val="left" w:pos="864"/>
          <w:tab w:val="center" w:pos="5165"/>
        </w:tabs>
        <w:autoSpaceDE w:val="0"/>
        <w:spacing w:before="80" w:after="120"/>
        <w:ind w:right="108"/>
        <w:jc w:val="both"/>
        <w:rPr>
          <w:rStyle w:val="Zadanifontodlomka"/>
        </w:rPr>
      </w:pPr>
      <w:r>
        <w:rPr>
          <w:rStyle w:val="Zadanifontodlomka"/>
          <w:rFonts w:ascii="Arial" w:hAnsi="Arial" w:cs="Arial"/>
          <w:bCs/>
          <w:sz w:val="22"/>
          <w:szCs w:val="22"/>
        </w:rPr>
        <w:t>"Za građevine koje su u postupku ozakonjenja nezakonito izgrađenih zgrada po Zakonu o postupanju s nezakonito izgrađenim zgradama ("Narodne novine", broj: 86/12 i 143/13), jedinična vrijednost komunalnog doprinosa po vrsti objekata i uređaja komunalne infrastrukture i po zonama iz članka 7. ove Odluke, određuje se u kunama po m</w:t>
      </w:r>
      <w:r>
        <w:rPr>
          <w:rStyle w:val="Zadanifontodlomka"/>
          <w:rFonts w:ascii="Arial" w:hAnsi="Arial" w:cs="Arial"/>
          <w:bCs/>
          <w:sz w:val="22"/>
          <w:szCs w:val="22"/>
          <w:vertAlign w:val="superscript"/>
        </w:rPr>
        <w:t xml:space="preserve">3 </w:t>
      </w:r>
      <w:r>
        <w:rPr>
          <w:rStyle w:val="Zadanifontodlomka"/>
          <w:rFonts w:ascii="Arial" w:hAnsi="Arial" w:cs="Arial"/>
          <w:bCs/>
          <w:sz w:val="22"/>
          <w:szCs w:val="22"/>
        </w:rPr>
        <w:t>građevine i ista iznosi:</w:t>
      </w:r>
    </w:p>
    <w:tbl>
      <w:tblPr>
        <w:tblW w:w="5888" w:type="dxa"/>
        <w:tblInd w:w="108" w:type="dxa"/>
        <w:tblLook w:val="04A0" w:firstRow="1" w:lastRow="0" w:firstColumn="1" w:lastColumn="0" w:noHBand="0" w:noVBand="1"/>
      </w:tblPr>
      <w:tblGrid>
        <w:gridCol w:w="2000"/>
        <w:gridCol w:w="889"/>
        <w:gridCol w:w="954"/>
        <w:gridCol w:w="1039"/>
        <w:gridCol w:w="1027"/>
      </w:tblGrid>
      <w:tr w:rsidR="004026FF" w:rsidTr="004026FF">
        <w:trPr>
          <w:trHeight w:val="315"/>
        </w:trPr>
        <w:tc>
          <w:tcPr>
            <w:tcW w:w="2000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eastAsia="Times New Roman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ZONA</w:t>
            </w:r>
          </w:p>
        </w:tc>
        <w:tc>
          <w:tcPr>
            <w:tcW w:w="868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954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1039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III.</w:t>
            </w:r>
          </w:p>
        </w:tc>
        <w:tc>
          <w:tcPr>
            <w:tcW w:w="1027" w:type="dxa"/>
            <w:noWrap/>
            <w:vAlign w:val="center"/>
            <w:hideMark/>
          </w:tcPr>
          <w:p w:rsidR="004026FF" w:rsidRDefault="004026FF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IV.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Javne površine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Nerazvrstane ceste</w:t>
            </w:r>
          </w:p>
        </w:tc>
        <w:tc>
          <w:tcPr>
            <w:tcW w:w="868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48,00</w:t>
            </w:r>
          </w:p>
        </w:tc>
        <w:tc>
          <w:tcPr>
            <w:tcW w:w="954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35,00</w:t>
            </w:r>
          </w:p>
        </w:tc>
        <w:tc>
          <w:tcPr>
            <w:tcW w:w="1039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23,00</w:t>
            </w:r>
          </w:p>
        </w:tc>
        <w:tc>
          <w:tcPr>
            <w:tcW w:w="1027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Javna rasvjeta</w:t>
            </w:r>
          </w:p>
        </w:tc>
        <w:tc>
          <w:tcPr>
            <w:tcW w:w="868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8,00</w:t>
            </w:r>
          </w:p>
        </w:tc>
        <w:tc>
          <w:tcPr>
            <w:tcW w:w="954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6,00</w:t>
            </w:r>
          </w:p>
        </w:tc>
        <w:tc>
          <w:tcPr>
            <w:tcW w:w="1039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4,00</w:t>
            </w:r>
          </w:p>
        </w:tc>
        <w:tc>
          <w:tcPr>
            <w:tcW w:w="1027" w:type="dxa"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7,00</w:t>
            </w:r>
          </w:p>
        </w:tc>
      </w:tr>
      <w:tr w:rsidR="004026FF" w:rsidTr="004026FF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Groblja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1,00</w:t>
            </w:r>
          </w:p>
        </w:tc>
      </w:tr>
      <w:tr w:rsidR="004026FF" w:rsidTr="004026FF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131,00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96,00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64,00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26FF" w:rsidRDefault="004026F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16,00</w:t>
            </w:r>
          </w:p>
        </w:tc>
      </w:tr>
    </w:tbl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240" w:after="0" w:line="240" w:lineRule="auto"/>
        <w:ind w:right="11"/>
        <w:jc w:val="center"/>
        <w:rPr>
          <w:rStyle w:val="Zadanifontodlomka"/>
          <w:rFonts w:ascii="Arial" w:hAnsi="Arial" w:cs="Arial"/>
          <w:b/>
          <w:color w:val="000000"/>
        </w:rPr>
      </w:pPr>
      <w:r>
        <w:rPr>
          <w:rStyle w:val="Zadanifontodlomka"/>
          <w:rFonts w:ascii="Arial" w:hAnsi="Arial" w:cs="Arial"/>
          <w:b/>
          <w:color w:val="000000"/>
        </w:rPr>
        <w:lastRenderedPageBreak/>
        <w:t>Članak 3.</w:t>
      </w:r>
    </w:p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120" w:after="0" w:line="240" w:lineRule="auto"/>
        <w:ind w:right="11"/>
        <w:jc w:val="both"/>
        <w:rPr>
          <w:rStyle w:val="Zadanifontodlomka"/>
          <w:rFonts w:ascii="Arial" w:hAnsi="Arial" w:cs="Arial"/>
          <w:color w:val="000000"/>
        </w:rPr>
      </w:pPr>
      <w:r>
        <w:rPr>
          <w:rStyle w:val="Zadanifontodlomka"/>
          <w:rFonts w:ascii="Arial" w:hAnsi="Arial" w:cs="Arial"/>
          <w:color w:val="000000"/>
        </w:rPr>
        <w:t>Članak 14.b. mijenja se i glasi:</w:t>
      </w:r>
    </w:p>
    <w:p w:rsidR="004026FF" w:rsidRDefault="004026FF" w:rsidP="004026FF">
      <w:pPr>
        <w:spacing w:before="80"/>
        <w:jc w:val="both"/>
      </w:pPr>
      <w:r>
        <w:rPr>
          <w:rStyle w:val="Zadanifontodlomka"/>
          <w:rFonts w:ascii="Arial" w:hAnsi="Arial" w:cs="Arial"/>
          <w:color w:val="000000"/>
        </w:rPr>
        <w:t>"</w:t>
      </w:r>
      <w:r>
        <w:rPr>
          <w:rFonts w:ascii="Arial" w:hAnsi="Arial" w:cs="Arial"/>
        </w:rPr>
        <w:t>U svrhu reguliranja prometa u mirovanju, od obveze plaćanja komunalnog doprinosa može se osloboditi investitora ili grupu investitora (više stanara) koji gradi/grade garažni objekt isključivo za vlastite potrebe na čestici zemlje u svojem vlasništvu, osim ako je garažni objekt obvezno izgraditi/osigurati kao uvjet u postupcima ishođenja akata za rekonstrukciju/gradnju stambenih i/ili poslovnih građevina.</w:t>
      </w:r>
    </w:p>
    <w:p w:rsidR="004026FF" w:rsidRDefault="004026FF" w:rsidP="004026FF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Investitori ili grupa investitora (više stanara) iz stavka 1. ovog članka oslobodit će se od obveze plaćanja komunalnog doprinosa sukladno sklopljenom ugovoru s Gradom Dubrovnikom.</w:t>
      </w:r>
    </w:p>
    <w:p w:rsidR="004026FF" w:rsidRDefault="004026FF" w:rsidP="004026FF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Garažni objekti koji su oslobođeni od plaćanja komunalnog doprinosa, ne mogu se prenamijeniti u druge sadržaje.</w:t>
      </w:r>
    </w:p>
    <w:p w:rsidR="004026FF" w:rsidRDefault="004026FF" w:rsidP="004026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Kriteriji za ostvarivanje prava na oslobađanje od plaćanja komunalnoga doprinosa i obveze investitora, detaljno će se utvrditi ugovorom iz stavka 2. ovoga članka.</w:t>
      </w:r>
    </w:p>
    <w:p w:rsidR="004026FF" w:rsidRDefault="004026FF" w:rsidP="004026FF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i provedbu ugovora iz stavka 2. ovog članka priprema i provodi Upravni odjel Grada Dubrovnika nadležan za promet.</w:t>
      </w:r>
    </w:p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240" w:after="0" w:line="240" w:lineRule="auto"/>
        <w:ind w:right="11"/>
        <w:jc w:val="center"/>
        <w:rPr>
          <w:rStyle w:val="Zadanifontodlomka"/>
          <w:b/>
          <w:color w:val="000000"/>
        </w:rPr>
      </w:pPr>
      <w:r>
        <w:rPr>
          <w:rStyle w:val="Zadanifontodlomka"/>
          <w:rFonts w:ascii="Arial" w:hAnsi="Arial" w:cs="Arial"/>
          <w:b/>
          <w:color w:val="000000"/>
        </w:rPr>
        <w:t>Članak 4.</w:t>
      </w:r>
    </w:p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120" w:after="0" w:line="240" w:lineRule="auto"/>
        <w:ind w:right="11"/>
        <w:jc w:val="both"/>
      </w:pPr>
      <w:r>
        <w:rPr>
          <w:rFonts w:ascii="Arial" w:hAnsi="Arial" w:cs="Arial"/>
          <w:color w:val="000000"/>
        </w:rPr>
        <w:t>Postupci započeti prije stupanja na snagu ove odluke, dovršit će se prema odredbama ove odluke, osim u slučaju iz članka 3. ove odluke.</w:t>
      </w:r>
    </w:p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240" w:after="0" w:line="240" w:lineRule="auto"/>
        <w:ind w:right="11"/>
        <w:jc w:val="center"/>
        <w:rPr>
          <w:rStyle w:val="Zadanifontodlomka"/>
          <w:b/>
        </w:rPr>
      </w:pPr>
      <w:r>
        <w:rPr>
          <w:rStyle w:val="Zadanifontodlomka"/>
          <w:rFonts w:ascii="Arial" w:hAnsi="Arial" w:cs="Arial"/>
          <w:b/>
          <w:color w:val="000000"/>
        </w:rPr>
        <w:t>Članak 4.</w:t>
      </w:r>
    </w:p>
    <w:p w:rsidR="004026FF" w:rsidRDefault="004026FF" w:rsidP="004026FF">
      <w:pPr>
        <w:pStyle w:val="Normal1"/>
        <w:tabs>
          <w:tab w:val="left" w:pos="864"/>
          <w:tab w:val="center" w:pos="5165"/>
        </w:tabs>
        <w:autoSpaceDE w:val="0"/>
        <w:spacing w:before="120" w:after="0" w:line="240" w:lineRule="auto"/>
        <w:ind w:right="11"/>
        <w:jc w:val="both"/>
      </w:pPr>
      <w:r>
        <w:rPr>
          <w:rFonts w:ascii="Arial" w:hAnsi="Arial" w:cs="Arial"/>
          <w:color w:val="000000"/>
        </w:rPr>
        <w:t>Ova odluka stupa na snagu osmog dana od dana objave u "Službenom glasniku Grada Dubrovnika".</w:t>
      </w:r>
    </w:p>
    <w:p w:rsidR="004026FF" w:rsidRDefault="004026FF" w:rsidP="004026FF">
      <w:pPr>
        <w:pStyle w:val="Standarduser"/>
        <w:spacing w:before="600"/>
        <w:ind w:left="60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Gradskog vijeća</w:t>
      </w:r>
    </w:p>
    <w:p w:rsidR="004026FF" w:rsidRDefault="004026FF" w:rsidP="004026FF">
      <w:pPr>
        <w:pStyle w:val="Standarduser"/>
        <w:ind w:left="6096"/>
        <w:jc w:val="both"/>
        <w:rPr>
          <w:rStyle w:val="Zadanifontodlomka"/>
        </w:rPr>
      </w:pPr>
      <w:r>
        <w:rPr>
          <w:rStyle w:val="Zadanifontodlomka"/>
          <w:rFonts w:ascii="Arial" w:hAnsi="Arial" w:cs="Arial"/>
          <w:sz w:val="22"/>
          <w:szCs w:val="22"/>
        </w:rPr>
        <w:t xml:space="preserve">          Marko Potrebica</w:t>
      </w:r>
    </w:p>
    <w:p w:rsidR="004026FF" w:rsidRDefault="004026FF" w:rsidP="004026FF">
      <w:pPr>
        <w:pStyle w:val="Textbodyuser"/>
        <w:spacing w:before="240" w:after="0"/>
      </w:pPr>
      <w:r>
        <w:rPr>
          <w:rFonts w:ascii="Arial" w:hAnsi="Arial" w:cs="Arial"/>
          <w:sz w:val="22"/>
          <w:szCs w:val="22"/>
        </w:rPr>
        <w:t>KLASA:</w:t>
      </w:r>
    </w:p>
    <w:p w:rsidR="004026FF" w:rsidRDefault="004026FF" w:rsidP="004026FF">
      <w:pPr>
        <w:pStyle w:val="Textbodyus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:rsidR="004026FF" w:rsidRDefault="004026FF" w:rsidP="004026FF">
      <w:pPr>
        <w:pStyle w:val="Textbodyuser"/>
        <w:widowControl w:val="0"/>
        <w:tabs>
          <w:tab w:val="left" w:pos="864"/>
          <w:tab w:val="center" w:pos="5165"/>
        </w:tabs>
        <w:autoSpaceDE w:val="0"/>
        <w:spacing w:after="0"/>
        <w:ind w:right="68"/>
        <w:jc w:val="both"/>
        <w:rPr>
          <w:rFonts w:ascii="Arial" w:hAnsi="Arial" w:cs="Arial"/>
          <w:sz w:val="22"/>
          <w:szCs w:val="22"/>
        </w:rPr>
      </w:pPr>
      <w:r>
        <w:rPr>
          <w:rStyle w:val="Zadanifontodlomka"/>
          <w:rFonts w:ascii="Arial" w:hAnsi="Arial" w:cs="Arial"/>
          <w:color w:val="000000"/>
          <w:sz w:val="22"/>
          <w:szCs w:val="22"/>
        </w:rPr>
        <w:t>Dubrovnik, _____________ 2018.</w:t>
      </w:r>
    </w:p>
    <w:p w:rsidR="004026FF" w:rsidRDefault="004026FF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4026FF">
      <w:pPr>
        <w:pStyle w:val="NoSpacing"/>
        <w:spacing w:before="120"/>
        <w:rPr>
          <w:rFonts w:cs="Arial"/>
        </w:rPr>
      </w:pPr>
      <w:bookmarkStart w:id="0" w:name="_GoBack"/>
      <w:bookmarkEnd w:id="0"/>
    </w:p>
    <w:p w:rsidR="00C24711" w:rsidRDefault="00C24711" w:rsidP="004026FF">
      <w:pPr>
        <w:pStyle w:val="NoSpacing"/>
        <w:spacing w:before="120"/>
        <w:rPr>
          <w:rFonts w:cs="Arial"/>
        </w:rPr>
      </w:pPr>
    </w:p>
    <w:p w:rsidR="00C24711" w:rsidRDefault="00C24711" w:rsidP="00C24711">
      <w:pPr>
        <w:pStyle w:val="NoSpacing"/>
        <w:rPr>
          <w:rFonts w:cs="Arial"/>
        </w:rPr>
      </w:pPr>
    </w:p>
    <w:p w:rsidR="00C24711" w:rsidRDefault="00C24711" w:rsidP="00C24711">
      <w:pPr>
        <w:pStyle w:val="Standard"/>
        <w:ind w:firstLine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b r a z l o ž e n j e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30. stavka 4. Zakona o komunalnom gospodarstvu ("Narodne novine", broj: 36/95, 70/97, 128/99, 57/00, 129/00, 59/01, 26/02 - pročišćeni tekst, 82/04, 178/04, 38/09, 79/09, 49/11, 144/12, 94/13, 153/13, 147/14 i 36/15) propisano je da Predstavničko tijelo jedinice lokalne samouprave donosi Program gradnje objekata i uređaja komunalne infrastrukture za svaku kalendarsku godinu (u ovom slučaju za 2018. godinu), a koji obvezatno sadr</w:t>
      </w:r>
      <w:r>
        <w:rPr>
          <w:rStyle w:val="Zadanifontodlomka"/>
          <w:rFonts w:ascii="Arial" w:eastAsia="MS Mincho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i:</w:t>
      </w:r>
    </w:p>
    <w:p w:rsidR="00C24711" w:rsidRDefault="00C24711" w:rsidP="00C24711">
      <w:pPr>
        <w:pStyle w:val="Standard"/>
        <w:widowControl/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poslova s procjenom troškova za gradnju objekata i uređaja, te za nabavu opreme,</w:t>
      </w:r>
    </w:p>
    <w:p w:rsidR="00C24711" w:rsidRDefault="00C24711" w:rsidP="00C24711">
      <w:pPr>
        <w:pStyle w:val="Standard"/>
        <w:widowControl/>
        <w:numPr>
          <w:ilvl w:val="0"/>
          <w:numId w:val="9"/>
        </w:numPr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iskaz financijskih sredstava potrebnih za ostvarivanje Programa s naznakom izvora financiranja djelatnost.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31. stavka 7. Zakona o komunalnom gospodarstvu ("Narodne novine", broj: 36/95, 109/95, 21/96, 70/97, 128/99, 57/00, 129/00, 59/01, 82/04, 110/04, 178/04, 38/09, 79/09, 153/09, 49/11, 84/11, 90/11, 144/12, 94/13, 153/13, 147/14 i 36/15) Gradsko vijeće donosi Odluku o komunalnom doprinosu kojom se između ostalog utvrđuju jedinične vrijednosti komunalnog doprinosa po vrsti objekata i uređaja komunalne infrastrukture i po pojedinim zonama, određene u kunama po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građevine.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Grad Dubrovnik prema Proračunu Grada Dubrovnika za 2018. god. planira </w:t>
      </w:r>
      <w:proofErr w:type="spellStart"/>
      <w:r>
        <w:rPr>
          <w:rFonts w:ascii="Arial" w:hAnsi="Arial" w:cs="Arial"/>
          <w:sz w:val="22"/>
          <w:szCs w:val="22"/>
        </w:rPr>
        <w:t>uprihodovati</w:t>
      </w:r>
      <w:proofErr w:type="spellEnd"/>
      <w:r>
        <w:rPr>
          <w:rFonts w:ascii="Arial" w:hAnsi="Arial" w:cs="Arial"/>
          <w:sz w:val="22"/>
          <w:szCs w:val="22"/>
        </w:rPr>
        <w:t xml:space="preserve"> 20.000.000,00 kn sredstava komunalnog doprinosa u 2018. godini i ista sukladno Programu gradnje objekata i uređaja komunalne infrastrukture za 2018. godinu utrošiti na sljedeći način:</w:t>
      </w:r>
    </w:p>
    <w:p w:rsidR="00C24711" w:rsidRDefault="00C24711" w:rsidP="00C24711">
      <w:pPr>
        <w:pStyle w:val="Standard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na javne površine  2.100.000,00 kn,</w:t>
      </w:r>
    </w:p>
    <w:p w:rsidR="00C24711" w:rsidRDefault="00C24711" w:rsidP="00C24711">
      <w:pPr>
        <w:pStyle w:val="Standard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na nerazvrstane ceste  7.270.000,00 kn,</w:t>
      </w:r>
    </w:p>
    <w:p w:rsidR="00C24711" w:rsidRDefault="00C24711" w:rsidP="00C24711">
      <w:pPr>
        <w:pStyle w:val="Standard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na javnu rasvjetu  1.230.000,00 kn,</w:t>
      </w:r>
    </w:p>
    <w:p w:rsidR="00C24711" w:rsidRDefault="00C24711" w:rsidP="00C24711">
      <w:pPr>
        <w:pStyle w:val="Standard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na groblja  9.400.000,00 kn,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bilo je potrebno prilagoditi jediničnu vrijednost komunalnog doprinosa po vrsti objekata i uređaja komunalne infrastrukture i po zonama, određene u kunama po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građevine koje se grade kao i za građevine koje su u postupku legalizacije po Zakonu o postupanju s nezakonito izgrađenim zgradama ("Narodne novine", broj: 86/12, 143/13 i 65/17).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31. stavka 7. Zakona o komunalnom gospodarstvu ("Narodne novine", broj: 36/95, 70/97, 128/99, 57/00, 129/00, 59/01, 26/02 - pročišćeni tekst, 82/04, 178/04, 38/09, 79/09, 49/11, 144/12, 94/13, 153/13, 147/14 i 36/15) Gradsko vijeće donosi Odluku o komunalnom doprinosu kojom se između ostalog utvrđuju opći uvjeti i razlozi zbog kojih se u pojedinačnim slučajevima može odobriti djelomično ili potpuno oslobađanje od plaćanja komunalne naknade.</w:t>
      </w:r>
    </w:p>
    <w:p w:rsidR="00C24711" w:rsidRDefault="00C24711" w:rsidP="00C247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Člankom 14.b. trenutno važeće Odluke o komunalnom doprinosu </w:t>
      </w:r>
      <w:r>
        <w:rPr>
          <w:rFonts w:ascii="Arial" w:hAnsi="Arial" w:cs="Arial"/>
          <w:bCs/>
          <w:sz w:val="22"/>
          <w:szCs w:val="22"/>
        </w:rPr>
        <w:t>("Službeni glasnik Grada Dubrovnika", broj: 06/06, 03/07, 01/09, 02/10, 06/10, 01/11, 07/12, 14/12, 05/13, 13/13, 01/14, 08/15, 21/15, 01/16, 14/16, 14/17 i 25/17</w:t>
      </w:r>
      <w:r>
        <w:rPr>
          <w:rFonts w:ascii="Arial" w:hAnsi="Arial" w:cs="Arial"/>
          <w:sz w:val="22"/>
          <w:szCs w:val="22"/>
        </w:rPr>
        <w:t xml:space="preserve"> propisano je:</w:t>
      </w:r>
    </w:p>
    <w:p w:rsidR="00C24711" w:rsidRDefault="00C24711" w:rsidP="00C24711">
      <w:pPr>
        <w:autoSpaceDE w:val="0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hAnsi="Arial" w:cs="Arial"/>
        </w:rPr>
        <w:t>"</w:t>
      </w:r>
      <w:r>
        <w:rPr>
          <w:rFonts w:ascii="Arial" w:eastAsia="Calibri" w:hAnsi="Arial" w:cs="Arial"/>
          <w:i/>
          <w:color w:val="000000"/>
        </w:rPr>
        <w:t>U svrhu reguliranja prometa u mirovanju, od obveze plaćanja komunalnog doprinosa može se osloboditi investitora ili grupu investitora (više stanara) koji, sukladno sklopljenom ugovoru s Gradom Dubrovnikom, gradi/grade garažni objekt isključivo za vlastite potrebe na čestici zemlje u svojem vlasništvu.</w:t>
      </w:r>
    </w:p>
    <w:p w:rsidR="00C24711" w:rsidRDefault="00C24711" w:rsidP="00C24711">
      <w:pPr>
        <w:autoSpaceDE w:val="0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>Garažni objekti koji su oslobođeni od plaćanja komunalnog doprinosa, ne mogu se prenamijeniti u druge sadržaje.</w:t>
      </w:r>
    </w:p>
    <w:p w:rsidR="00C24711" w:rsidRDefault="00C24711" w:rsidP="00C24711">
      <w:pPr>
        <w:autoSpaceDE w:val="0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>Kriteriji za ostvarivanje prava na oslobađanje od plaćanja komunalnoga doprinosa i obveze investitora, detaljno će se utvrditi ugovorom iz stavka 1. ovoga članka.</w:t>
      </w:r>
    </w:p>
    <w:p w:rsidR="00C24711" w:rsidRDefault="00C24711" w:rsidP="00C24711">
      <w:pPr>
        <w:autoSpaceDE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/>
          <w:color w:val="000000"/>
        </w:rPr>
        <w:t>Prijedlog i provedbu ugovora iz stavka 1. ovog članka priprema i provodi Upravni odjel za promet, stanogradnju i razvojne projekte Grada Dubrovnika.</w:t>
      </w:r>
      <w:r>
        <w:rPr>
          <w:rFonts w:ascii="Arial" w:eastAsia="Courier New" w:hAnsi="Arial" w:cs="Arial"/>
        </w:rPr>
        <w:t>".</w:t>
      </w:r>
    </w:p>
    <w:p w:rsidR="00C24711" w:rsidRDefault="00C24711" w:rsidP="00C24711">
      <w:pPr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hAnsi="Arial" w:cs="Arial"/>
        </w:rPr>
        <w:t xml:space="preserve">Predloženim nacrtom Izmjene Odluke o komunalnom doprinosu predlaže se izmjena članka 14.b. Odluke o komunalnom doprinosu na način da se u svrhu reguliranja prometa u mirovanju, od obveze plaćanja komunalnog doprinosa može osloboditi investitor ili grupa investitora (više </w:t>
      </w:r>
      <w:r>
        <w:rPr>
          <w:rFonts w:ascii="Arial" w:hAnsi="Arial" w:cs="Arial"/>
        </w:rPr>
        <w:lastRenderedPageBreak/>
        <w:t>stanara) koji grade/gradi garažni objekt isključivo za vlastite potrebe na čestici zemlje u svom vlasništvu, a kojeg nije obvezno izgraditi/osigurati kao uvjet u postupcima ishođenja akata za rekonstrukciju/gradnju stambenih i/ili poslovnih građevina.</w:t>
      </w:r>
    </w:p>
    <w:p w:rsidR="00C24711" w:rsidRDefault="00C24711" w:rsidP="00C2471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:rsidR="00C24711" w:rsidRDefault="00C24711" w:rsidP="00C2471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:rsidR="00C24711" w:rsidRDefault="00C24711" w:rsidP="00C24711">
      <w:pPr>
        <w:pStyle w:val="Standard"/>
        <w:autoSpaceDE w:val="0"/>
        <w:spacing w:before="120"/>
        <w:ind w:firstLine="357"/>
        <w:jc w:val="both"/>
        <w:rPr>
          <w:rFonts w:ascii="Arial" w:hAnsi="Arial" w:cs="Arial"/>
          <w:sz w:val="22"/>
          <w:szCs w:val="22"/>
        </w:rPr>
      </w:pPr>
    </w:p>
    <w:p w:rsidR="00C24711" w:rsidRDefault="00C24711" w:rsidP="00C24711">
      <w:pPr>
        <w:pStyle w:val="Standard"/>
        <w:autoSpaceDE w:val="0"/>
        <w:spacing w:before="120"/>
        <w:ind w:firstLine="357"/>
        <w:jc w:val="both"/>
        <w:rPr>
          <w:rFonts w:ascii="Arial" w:hAnsi="Arial" w:cs="Arial"/>
          <w:sz w:val="22"/>
          <w:szCs w:val="22"/>
        </w:rPr>
      </w:pPr>
    </w:p>
    <w:p w:rsidR="00C24711" w:rsidRPr="004026FF" w:rsidRDefault="00C24711" w:rsidP="004026FF">
      <w:pPr>
        <w:pStyle w:val="NoSpacing"/>
        <w:spacing w:before="120"/>
        <w:rPr>
          <w:rFonts w:cs="Arial"/>
        </w:rPr>
      </w:pPr>
    </w:p>
    <w:sectPr w:rsidR="00C24711" w:rsidRPr="004026FF" w:rsidSect="00C247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0AB"/>
    <w:multiLevelType w:val="multilevel"/>
    <w:tmpl w:val="8E1677D4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2D927DAF"/>
    <w:multiLevelType w:val="multilevel"/>
    <w:tmpl w:val="CB6222A8"/>
    <w:styleLink w:val="WW8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214331B"/>
    <w:multiLevelType w:val="hybridMultilevel"/>
    <w:tmpl w:val="AF7EF276"/>
    <w:lvl w:ilvl="0" w:tplc="4FB0A636">
      <w:start w:val="1"/>
      <w:numFmt w:val="bullet"/>
      <w:lvlText w:val="-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E9F"/>
    <w:multiLevelType w:val="hybridMultilevel"/>
    <w:tmpl w:val="AC5A7C66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14262"/>
    <w:multiLevelType w:val="hybridMultilevel"/>
    <w:tmpl w:val="B57AA93C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9E"/>
    <w:rsid w:val="000B2A7C"/>
    <w:rsid w:val="000B4258"/>
    <w:rsid w:val="002271D9"/>
    <w:rsid w:val="003D7FB0"/>
    <w:rsid w:val="004026FF"/>
    <w:rsid w:val="004302FA"/>
    <w:rsid w:val="0048474A"/>
    <w:rsid w:val="004F189E"/>
    <w:rsid w:val="00505F50"/>
    <w:rsid w:val="005211D6"/>
    <w:rsid w:val="005506C4"/>
    <w:rsid w:val="00551FA7"/>
    <w:rsid w:val="005E2453"/>
    <w:rsid w:val="008716E4"/>
    <w:rsid w:val="009148AF"/>
    <w:rsid w:val="00915252"/>
    <w:rsid w:val="00962DAD"/>
    <w:rsid w:val="00AF4984"/>
    <w:rsid w:val="00C24711"/>
    <w:rsid w:val="00C83017"/>
    <w:rsid w:val="00F62105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1446"/>
  <w15:chartTrackingRefBased/>
  <w15:docId w15:val="{886D8679-E938-43BE-8D0A-7EB5AC0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26FF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Zadanifontodlomka">
    <w:name w:val="Zadani font odlomka"/>
    <w:rsid w:val="004302FA"/>
  </w:style>
  <w:style w:type="paragraph" w:customStyle="1" w:styleId="Standard">
    <w:name w:val="Standard"/>
    <w:rsid w:val="004302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NoList"/>
    <w:rsid w:val="004302F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D6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4026FF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026FF"/>
    <w:rPr>
      <w:rFonts w:ascii="Calibri Light" w:eastAsia="Times New Roman" w:hAnsi="Calibri Light" w:cs="Times New Roman"/>
      <w:b/>
      <w:bCs/>
      <w:kern w:val="32"/>
      <w:sz w:val="32"/>
      <w:szCs w:val="29"/>
      <w:lang w:eastAsia="zh-CN" w:bidi="hi-IN"/>
    </w:rPr>
  </w:style>
  <w:style w:type="paragraph" w:customStyle="1" w:styleId="Standarduser">
    <w:name w:val="Standard (user)"/>
    <w:rsid w:val="004026FF"/>
    <w:pPr>
      <w:suppressAutoHyphens/>
      <w:autoSpaceDN w:val="0"/>
      <w:spacing w:after="0" w:line="240" w:lineRule="auto"/>
    </w:pPr>
    <w:rPr>
      <w:rFonts w:ascii="Calibri" w:eastAsia="Arial" w:hAnsi="Calibri" w:cs="Calibri"/>
      <w:kern w:val="3"/>
      <w:sz w:val="20"/>
      <w:szCs w:val="20"/>
      <w:lang w:eastAsia="zh-CN"/>
    </w:rPr>
  </w:style>
  <w:style w:type="paragraph" w:customStyle="1" w:styleId="Textbodyuser">
    <w:name w:val="Text body (user)"/>
    <w:basedOn w:val="Standarduser"/>
    <w:rsid w:val="004026FF"/>
    <w:pPr>
      <w:spacing w:after="120"/>
    </w:pPr>
  </w:style>
  <w:style w:type="paragraph" w:customStyle="1" w:styleId="Normal1">
    <w:name w:val="Normal1"/>
    <w:rsid w:val="004026FF"/>
    <w:pPr>
      <w:widowControl w:val="0"/>
      <w:suppressAutoHyphens/>
      <w:autoSpaceDN w:val="0"/>
      <w:spacing w:after="200" w:line="276" w:lineRule="auto"/>
    </w:pPr>
    <w:rPr>
      <w:rFonts w:ascii="Times New Roman" w:eastAsia="SimSun, 宋体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4</cp:revision>
  <cp:lastPrinted>2018-01-12T14:51:00Z</cp:lastPrinted>
  <dcterms:created xsi:type="dcterms:W3CDTF">2018-01-16T13:03:00Z</dcterms:created>
  <dcterms:modified xsi:type="dcterms:W3CDTF">2018-01-16T13:10:00Z</dcterms:modified>
</cp:coreProperties>
</file>