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C1A" w:rsidRPr="00344C1A" w:rsidRDefault="00344C1A" w:rsidP="00344C1A">
      <w:pPr>
        <w:keepNext/>
        <w:keepLines/>
        <w:spacing w:before="480" w:after="0" w:line="276" w:lineRule="auto"/>
        <w:outlineLvl w:val="0"/>
        <w:rPr>
          <w:rFonts w:ascii="Arial" w:eastAsia="Calibri" w:hAnsi="Arial" w:cs="Arial"/>
          <w:bCs/>
          <w:color w:val="365F91"/>
          <w:lang w:eastAsia="hr-HR"/>
        </w:rPr>
      </w:pPr>
      <w:bookmarkStart w:id="0" w:name="_Toc493969270"/>
      <w:bookmarkStart w:id="1" w:name="_Toc494061970"/>
      <w:r w:rsidRPr="00344C1A">
        <w:rPr>
          <w:rFonts w:ascii="Arial" w:eastAsia="Calibri" w:hAnsi="Arial" w:cs="Arial"/>
          <w:bCs/>
          <w:color w:val="365F91"/>
          <w:lang w:eastAsia="hr-HR"/>
        </w:rPr>
        <w:t>KRITERIJ ZA ODABIR PONUDE TE RELATIVNI PONDER KRITERIJA</w:t>
      </w:r>
      <w:bookmarkEnd w:id="1"/>
      <w:r w:rsidRPr="00344C1A">
        <w:rPr>
          <w:rFonts w:ascii="Arial" w:eastAsia="Calibri" w:hAnsi="Arial" w:cs="Arial"/>
          <w:bCs/>
          <w:color w:val="365F91"/>
          <w:lang w:eastAsia="hr-HR"/>
        </w:rPr>
        <w:t xml:space="preserve"> </w:t>
      </w:r>
      <w:bookmarkEnd w:id="0"/>
    </w:p>
    <w:p w:rsidR="00344C1A" w:rsidRPr="00344C1A" w:rsidRDefault="00344C1A" w:rsidP="00344C1A">
      <w:pPr>
        <w:spacing w:after="0" w:line="276" w:lineRule="auto"/>
        <w:jc w:val="both"/>
        <w:rPr>
          <w:rFonts w:ascii="Arial" w:eastAsia="Calibri" w:hAnsi="Arial" w:cs="Arial"/>
          <w:lang w:eastAsia="hr-HR"/>
        </w:rPr>
      </w:pPr>
    </w:p>
    <w:p w:rsidR="00344C1A" w:rsidRPr="00344C1A" w:rsidRDefault="00344C1A" w:rsidP="00344C1A">
      <w:pPr>
        <w:spacing w:after="0" w:line="276" w:lineRule="auto"/>
        <w:jc w:val="both"/>
        <w:rPr>
          <w:rFonts w:ascii="Arial" w:eastAsia="Calibri" w:hAnsi="Arial" w:cs="Arial"/>
          <w:lang w:eastAsia="hr-HR"/>
        </w:rPr>
      </w:pPr>
      <w:r w:rsidRPr="00344C1A">
        <w:rPr>
          <w:rFonts w:ascii="Arial" w:eastAsia="Calibri" w:hAnsi="Arial" w:cs="Arial"/>
          <w:lang w:eastAsia="hr-HR"/>
        </w:rPr>
        <w:t xml:space="preserve">Kriterij za odabir je ekonomski najpovoljnija ponuda. Sukladno članku 284. stavak 2. ZJN 2016 daje se obrazloženje za primjenu relativnog značaja koji se pridaje svakom pojedinom kriteriju kako slijedi u nastavku. </w:t>
      </w:r>
    </w:p>
    <w:p w:rsidR="00344C1A" w:rsidRPr="00344C1A" w:rsidRDefault="00344C1A" w:rsidP="00344C1A">
      <w:pPr>
        <w:spacing w:after="0" w:line="276" w:lineRule="auto"/>
        <w:jc w:val="both"/>
        <w:rPr>
          <w:rFonts w:ascii="Arial" w:eastAsia="Calibri" w:hAnsi="Arial" w:cs="Arial"/>
          <w:lang w:eastAsia="hr-HR"/>
        </w:rPr>
      </w:pPr>
    </w:p>
    <w:p w:rsidR="00344C1A" w:rsidRPr="00344C1A" w:rsidRDefault="00344C1A" w:rsidP="00344C1A">
      <w:pPr>
        <w:spacing w:after="0" w:line="276" w:lineRule="auto"/>
        <w:jc w:val="both"/>
        <w:rPr>
          <w:rFonts w:ascii="Arial" w:eastAsia="Calibri" w:hAnsi="Arial" w:cs="Arial"/>
          <w:lang w:eastAsia="hr-HR"/>
        </w:rPr>
      </w:pPr>
      <w:r w:rsidRPr="00344C1A">
        <w:rPr>
          <w:rFonts w:ascii="Arial" w:eastAsia="Calibri" w:hAnsi="Arial" w:cs="Arial"/>
          <w:lang w:eastAsia="hr-HR"/>
        </w:rPr>
        <w:t>Naručitelj će između prihvatljivih ponuda sposobnih Ponuditelja odabrati ekonomski najpovoljniju ponudu na temelju sljedećih kriterija: cijena i  trajanje jamstvenog roka, a čiji je relativni značaj prikazan u tablici u nastavku.</w:t>
      </w:r>
    </w:p>
    <w:p w:rsidR="00344C1A" w:rsidRPr="00344C1A" w:rsidRDefault="00344C1A" w:rsidP="00344C1A">
      <w:pPr>
        <w:spacing w:after="0" w:line="276" w:lineRule="auto"/>
        <w:rPr>
          <w:rFonts w:ascii="Arial" w:eastAsia="Calibri" w:hAnsi="Arial" w:cs="Arial"/>
          <w:b/>
          <w:bCs/>
          <w:sz w:val="28"/>
          <w:szCs w:val="28"/>
          <w:lang w:eastAsia="hr-HR"/>
        </w:rPr>
      </w:pPr>
    </w:p>
    <w:tbl>
      <w:tblPr>
        <w:tblW w:w="4878" w:type="pct"/>
        <w:tblLayout w:type="fixed"/>
        <w:tblLook w:val="0000" w:firstRow="0" w:lastRow="0" w:firstColumn="0" w:lastColumn="0" w:noHBand="0" w:noVBand="0"/>
      </w:tblPr>
      <w:tblGrid>
        <w:gridCol w:w="1492"/>
        <w:gridCol w:w="4992"/>
        <w:gridCol w:w="2357"/>
      </w:tblGrid>
      <w:tr w:rsidR="00344C1A" w:rsidRPr="00344C1A" w:rsidTr="00E0157C">
        <w:trPr>
          <w:trHeight w:val="520"/>
        </w:trPr>
        <w:tc>
          <w:tcPr>
            <w:tcW w:w="844" w:type="pct"/>
            <w:tcBorders>
              <w:top w:val="single" w:sz="4" w:space="0" w:color="000000"/>
              <w:left w:val="single" w:sz="4" w:space="0" w:color="000000"/>
              <w:bottom w:val="single" w:sz="4" w:space="0" w:color="000000"/>
            </w:tcBorders>
            <w:shd w:val="clear" w:color="auto" w:fill="ACB9CA"/>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lang w:eastAsia="hr-HR"/>
              </w:rPr>
            </w:pPr>
            <w:r w:rsidRPr="00344C1A">
              <w:rPr>
                <w:rFonts w:ascii="Arial" w:eastAsia="Calibri" w:hAnsi="Arial" w:cs="Arial"/>
                <w:lang w:eastAsia="hr-HR"/>
              </w:rPr>
              <w:t>Redni broj</w:t>
            </w:r>
          </w:p>
        </w:tc>
        <w:tc>
          <w:tcPr>
            <w:tcW w:w="2823" w:type="pct"/>
            <w:tcBorders>
              <w:top w:val="single" w:sz="4" w:space="0" w:color="000000"/>
              <w:left w:val="single" w:sz="4" w:space="0" w:color="000000"/>
              <w:bottom w:val="single" w:sz="4" w:space="0" w:color="000000"/>
            </w:tcBorders>
            <w:shd w:val="clear" w:color="auto" w:fill="ACB9CA"/>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b/>
                <w:lang w:eastAsia="hr-HR"/>
              </w:rPr>
            </w:pPr>
            <w:r w:rsidRPr="00344C1A">
              <w:rPr>
                <w:rFonts w:ascii="Arial" w:eastAsia="Calibri" w:hAnsi="Arial" w:cs="Arial"/>
                <w:b/>
                <w:lang w:eastAsia="hr-HR"/>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ACB9CA"/>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b/>
                <w:lang w:eastAsia="hr-HR"/>
              </w:rPr>
            </w:pPr>
            <w:r w:rsidRPr="00344C1A">
              <w:rPr>
                <w:rFonts w:ascii="Arial" w:eastAsia="Calibri" w:hAnsi="Arial" w:cs="Arial"/>
                <w:b/>
                <w:lang w:eastAsia="hr-HR"/>
              </w:rPr>
              <w:t>Broj bodova</w:t>
            </w:r>
          </w:p>
        </w:tc>
      </w:tr>
      <w:tr w:rsidR="00344C1A" w:rsidRPr="00344C1A" w:rsidTr="00E0157C">
        <w:tc>
          <w:tcPr>
            <w:tcW w:w="844" w:type="pct"/>
            <w:tcBorders>
              <w:top w:val="single" w:sz="4" w:space="0" w:color="000000"/>
              <w:left w:val="single" w:sz="4" w:space="0" w:color="000000"/>
              <w:bottom w:val="single" w:sz="4" w:space="0" w:color="000000"/>
            </w:tcBorders>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lang w:eastAsia="hr-HR"/>
              </w:rPr>
            </w:pPr>
            <w:r w:rsidRPr="00344C1A">
              <w:rPr>
                <w:rFonts w:ascii="Arial" w:eastAsia="Calibri" w:hAnsi="Arial" w:cs="Arial"/>
                <w:lang w:eastAsia="hr-HR"/>
              </w:rPr>
              <w:t>1.</w:t>
            </w:r>
          </w:p>
        </w:tc>
        <w:tc>
          <w:tcPr>
            <w:tcW w:w="2823" w:type="pct"/>
            <w:tcBorders>
              <w:top w:val="single" w:sz="4" w:space="0" w:color="000000"/>
              <w:left w:val="single" w:sz="4" w:space="0" w:color="000000"/>
              <w:bottom w:val="single" w:sz="4" w:space="0" w:color="000000"/>
            </w:tcBorders>
          </w:tcPr>
          <w:p w:rsidR="00344C1A" w:rsidRPr="00344C1A" w:rsidRDefault="00344C1A" w:rsidP="00344C1A">
            <w:pPr>
              <w:autoSpaceDE w:val="0"/>
              <w:autoSpaceDN w:val="0"/>
              <w:adjustRightInd w:val="0"/>
              <w:spacing w:after="0" w:line="276" w:lineRule="auto"/>
              <w:ind w:right="340"/>
              <w:jc w:val="both"/>
              <w:rPr>
                <w:rFonts w:ascii="Arial" w:eastAsia="Calibri" w:hAnsi="Arial" w:cs="Arial"/>
                <w:lang w:eastAsia="hr-HR"/>
              </w:rPr>
            </w:pPr>
            <w:r w:rsidRPr="00344C1A">
              <w:rPr>
                <w:rFonts w:ascii="Arial" w:eastAsia="Calibri" w:hAnsi="Arial" w:cs="Arial"/>
                <w:lang w:eastAsia="hr-HR"/>
              </w:rPr>
              <w:t>Cijena ponude</w:t>
            </w:r>
          </w:p>
        </w:tc>
        <w:tc>
          <w:tcPr>
            <w:tcW w:w="1333" w:type="pct"/>
            <w:tcBorders>
              <w:top w:val="single" w:sz="4" w:space="0" w:color="000000"/>
              <w:left w:val="single" w:sz="4" w:space="0" w:color="000000"/>
              <w:bottom w:val="single" w:sz="4" w:space="0" w:color="000000"/>
              <w:right w:val="single" w:sz="4" w:space="0" w:color="000000"/>
            </w:tcBorders>
          </w:tcPr>
          <w:p w:rsidR="00344C1A" w:rsidRPr="00344C1A" w:rsidRDefault="00344C1A" w:rsidP="00344C1A">
            <w:pPr>
              <w:autoSpaceDE w:val="0"/>
              <w:autoSpaceDN w:val="0"/>
              <w:adjustRightInd w:val="0"/>
              <w:spacing w:after="0" w:line="276" w:lineRule="auto"/>
              <w:ind w:right="340"/>
              <w:jc w:val="center"/>
              <w:rPr>
                <w:rFonts w:ascii="Arial" w:eastAsia="Calibri" w:hAnsi="Arial" w:cs="Arial"/>
                <w:lang w:eastAsia="hr-HR"/>
              </w:rPr>
            </w:pPr>
            <w:r w:rsidRPr="00344C1A">
              <w:rPr>
                <w:rFonts w:ascii="Arial" w:eastAsia="Calibri" w:hAnsi="Arial" w:cs="Arial"/>
                <w:lang w:eastAsia="hr-HR"/>
              </w:rPr>
              <w:t>80</w:t>
            </w:r>
          </w:p>
        </w:tc>
      </w:tr>
      <w:tr w:rsidR="00344C1A" w:rsidRPr="00344C1A" w:rsidTr="00E0157C">
        <w:tc>
          <w:tcPr>
            <w:tcW w:w="844" w:type="pct"/>
            <w:tcBorders>
              <w:top w:val="single" w:sz="4" w:space="0" w:color="000000"/>
              <w:left w:val="single" w:sz="4" w:space="0" w:color="000000"/>
              <w:bottom w:val="single" w:sz="4" w:space="0" w:color="000000"/>
            </w:tcBorders>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lang w:eastAsia="hr-HR"/>
              </w:rPr>
            </w:pPr>
            <w:r w:rsidRPr="00344C1A">
              <w:rPr>
                <w:rFonts w:ascii="Arial" w:eastAsia="Calibri" w:hAnsi="Arial" w:cs="Arial"/>
                <w:lang w:eastAsia="hr-HR"/>
              </w:rPr>
              <w:t>2.</w:t>
            </w:r>
          </w:p>
        </w:tc>
        <w:tc>
          <w:tcPr>
            <w:tcW w:w="2823" w:type="pct"/>
            <w:tcBorders>
              <w:top w:val="single" w:sz="4" w:space="0" w:color="000000"/>
              <w:left w:val="single" w:sz="4" w:space="0" w:color="000000"/>
              <w:bottom w:val="single" w:sz="4" w:space="0" w:color="000000"/>
            </w:tcBorders>
          </w:tcPr>
          <w:p w:rsidR="00344C1A" w:rsidRPr="00344C1A" w:rsidRDefault="00344C1A" w:rsidP="00344C1A">
            <w:pPr>
              <w:autoSpaceDE w:val="0"/>
              <w:autoSpaceDN w:val="0"/>
              <w:adjustRightInd w:val="0"/>
              <w:spacing w:after="0" w:line="276" w:lineRule="auto"/>
              <w:ind w:right="340"/>
              <w:jc w:val="both"/>
              <w:rPr>
                <w:rFonts w:ascii="Arial" w:eastAsia="Calibri" w:hAnsi="Arial" w:cs="Arial"/>
                <w:lang w:eastAsia="hr-HR"/>
              </w:rPr>
            </w:pPr>
            <w:r w:rsidRPr="00344C1A">
              <w:rPr>
                <w:rFonts w:ascii="Arial" w:eastAsia="Calibri" w:hAnsi="Arial" w:cs="Arial"/>
                <w:lang w:eastAsia="hr-HR"/>
              </w:rPr>
              <w:t xml:space="preserve">Trajanja jamstvenog roka </w:t>
            </w:r>
          </w:p>
        </w:tc>
        <w:tc>
          <w:tcPr>
            <w:tcW w:w="1333" w:type="pct"/>
            <w:tcBorders>
              <w:top w:val="single" w:sz="4" w:space="0" w:color="000000"/>
              <w:left w:val="single" w:sz="4" w:space="0" w:color="000000"/>
              <w:bottom w:val="single" w:sz="4" w:space="0" w:color="000000"/>
              <w:right w:val="single" w:sz="4" w:space="0" w:color="000000"/>
            </w:tcBorders>
          </w:tcPr>
          <w:p w:rsidR="00344C1A" w:rsidRPr="00344C1A" w:rsidRDefault="00344C1A" w:rsidP="00344C1A">
            <w:pPr>
              <w:autoSpaceDE w:val="0"/>
              <w:autoSpaceDN w:val="0"/>
              <w:adjustRightInd w:val="0"/>
              <w:spacing w:after="0" w:line="276" w:lineRule="auto"/>
              <w:ind w:right="340"/>
              <w:jc w:val="center"/>
              <w:rPr>
                <w:rFonts w:ascii="Arial" w:eastAsia="Calibri" w:hAnsi="Arial" w:cs="Arial"/>
                <w:lang w:eastAsia="hr-HR"/>
              </w:rPr>
            </w:pPr>
            <w:r w:rsidRPr="00344C1A">
              <w:rPr>
                <w:rFonts w:ascii="Arial" w:eastAsia="Calibri" w:hAnsi="Arial" w:cs="Arial"/>
                <w:lang w:eastAsia="hr-HR"/>
              </w:rPr>
              <w:t>20</w:t>
            </w:r>
          </w:p>
        </w:tc>
      </w:tr>
      <w:tr w:rsidR="00344C1A" w:rsidRPr="00344C1A" w:rsidTr="00E0157C">
        <w:tc>
          <w:tcPr>
            <w:tcW w:w="844" w:type="pct"/>
            <w:tcBorders>
              <w:top w:val="single" w:sz="4" w:space="0" w:color="000000"/>
              <w:left w:val="single" w:sz="4" w:space="0" w:color="000000"/>
              <w:bottom w:val="single" w:sz="4" w:space="0" w:color="000000"/>
            </w:tcBorders>
            <w:vAlign w:val="center"/>
          </w:tcPr>
          <w:p w:rsidR="00344C1A" w:rsidRPr="00344C1A" w:rsidRDefault="00344C1A" w:rsidP="00344C1A">
            <w:pPr>
              <w:autoSpaceDE w:val="0"/>
              <w:autoSpaceDN w:val="0"/>
              <w:adjustRightInd w:val="0"/>
              <w:spacing w:after="0" w:line="276" w:lineRule="auto"/>
              <w:ind w:right="340"/>
              <w:rPr>
                <w:rFonts w:ascii="Arial" w:eastAsia="Calibri" w:hAnsi="Arial" w:cs="Arial"/>
                <w:lang w:eastAsia="hr-HR"/>
              </w:rPr>
            </w:pPr>
          </w:p>
        </w:tc>
        <w:tc>
          <w:tcPr>
            <w:tcW w:w="2823" w:type="pct"/>
            <w:tcBorders>
              <w:top w:val="single" w:sz="4" w:space="0" w:color="000000"/>
              <w:left w:val="single" w:sz="4" w:space="0" w:color="000000"/>
              <w:bottom w:val="single" w:sz="4" w:space="0" w:color="000000"/>
            </w:tcBorders>
            <w:vAlign w:val="center"/>
          </w:tcPr>
          <w:p w:rsidR="00344C1A" w:rsidRPr="00344C1A" w:rsidRDefault="00344C1A" w:rsidP="00344C1A">
            <w:pPr>
              <w:autoSpaceDE w:val="0"/>
              <w:autoSpaceDN w:val="0"/>
              <w:adjustRightInd w:val="0"/>
              <w:spacing w:after="0" w:line="276" w:lineRule="auto"/>
              <w:ind w:right="340"/>
              <w:jc w:val="both"/>
              <w:rPr>
                <w:rFonts w:ascii="Arial" w:eastAsia="Calibri" w:hAnsi="Arial" w:cs="Arial"/>
                <w:b/>
                <w:lang w:eastAsia="hr-HR"/>
              </w:rPr>
            </w:pPr>
            <w:r w:rsidRPr="00344C1A">
              <w:rPr>
                <w:rFonts w:ascii="Arial" w:eastAsia="Calibri" w:hAnsi="Arial" w:cs="Arial"/>
                <w:b/>
                <w:lang w:eastAsia="hr-HR"/>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rsidR="00344C1A" w:rsidRPr="00344C1A" w:rsidRDefault="00344C1A" w:rsidP="00344C1A">
            <w:pPr>
              <w:autoSpaceDE w:val="0"/>
              <w:autoSpaceDN w:val="0"/>
              <w:adjustRightInd w:val="0"/>
              <w:spacing w:after="0" w:line="276" w:lineRule="auto"/>
              <w:ind w:right="340"/>
              <w:jc w:val="center"/>
              <w:rPr>
                <w:rFonts w:ascii="Arial" w:eastAsia="Calibri" w:hAnsi="Arial" w:cs="Arial"/>
                <w:b/>
                <w:lang w:eastAsia="hr-HR"/>
              </w:rPr>
            </w:pPr>
            <w:r w:rsidRPr="00344C1A">
              <w:rPr>
                <w:rFonts w:ascii="Arial" w:eastAsia="Calibri" w:hAnsi="Arial" w:cs="Arial"/>
                <w:b/>
                <w:lang w:eastAsia="hr-HR"/>
              </w:rPr>
              <w:t>100</w:t>
            </w:r>
          </w:p>
        </w:tc>
      </w:tr>
    </w:tbl>
    <w:p w:rsidR="00344C1A" w:rsidRPr="00344C1A" w:rsidRDefault="00344C1A" w:rsidP="00344C1A">
      <w:pPr>
        <w:autoSpaceDE w:val="0"/>
        <w:autoSpaceDN w:val="0"/>
        <w:adjustRightInd w:val="0"/>
        <w:spacing w:after="0" w:line="276" w:lineRule="auto"/>
        <w:ind w:right="340"/>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Ako su dvije ili više valjanih ponuda jednako rangirane prema kriteriju za odabir ponude, Naručitelj će odabrati ponudu koja je zaprimljena ranije.</w:t>
      </w:r>
    </w:p>
    <w:p w:rsidR="00344C1A" w:rsidRPr="00344C1A" w:rsidRDefault="00344C1A" w:rsidP="00344C1A">
      <w:pPr>
        <w:autoSpaceDE w:val="0"/>
        <w:autoSpaceDN w:val="0"/>
        <w:adjustRightInd w:val="0"/>
        <w:spacing w:after="0" w:line="276" w:lineRule="auto"/>
        <w:ind w:right="-2"/>
        <w:jc w:val="both"/>
        <w:rPr>
          <w:rFonts w:ascii="Arial" w:eastAsia="Calibri" w:hAnsi="Arial" w:cs="Arial"/>
          <w:u w:val="single"/>
          <w:lang w:eastAsia="hr-HR"/>
        </w:rPr>
      </w:pPr>
    </w:p>
    <w:p w:rsidR="00344C1A" w:rsidRPr="00344C1A" w:rsidRDefault="00344C1A" w:rsidP="00344C1A">
      <w:pPr>
        <w:numPr>
          <w:ilvl w:val="1"/>
          <w:numId w:val="2"/>
        </w:numPr>
        <w:autoSpaceDE w:val="0"/>
        <w:autoSpaceDN w:val="0"/>
        <w:adjustRightInd w:val="0"/>
        <w:spacing w:after="0" w:line="276" w:lineRule="auto"/>
        <w:ind w:right="-2" w:hanging="1080"/>
        <w:jc w:val="both"/>
        <w:rPr>
          <w:rFonts w:ascii="Arial" w:eastAsia="Calibri" w:hAnsi="Arial" w:cs="Arial"/>
          <w:b/>
          <w:lang w:eastAsia="hr-HR"/>
        </w:rPr>
      </w:pPr>
      <w:r w:rsidRPr="00344C1A">
        <w:rPr>
          <w:rFonts w:ascii="Arial" w:eastAsia="Calibri" w:hAnsi="Arial" w:cs="Arial"/>
          <w:b/>
          <w:lang w:eastAsia="hr-HR"/>
        </w:rPr>
        <w:t xml:space="preserve">Cijena ponude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Predmetni kriterij određuje se temeljem cijene prihvatljive ponude, bez PDV-a, iskazane u Ponudbenom listu.</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b/>
          <w:i/>
          <w:lang w:eastAsia="hr-HR"/>
        </w:rPr>
        <w:t>Maksimalan broj bodova</w:t>
      </w:r>
      <w:r w:rsidRPr="00344C1A">
        <w:rPr>
          <w:rFonts w:ascii="Arial" w:eastAsia="Calibri" w:hAnsi="Arial" w:cs="Arial"/>
          <w:lang w:eastAsia="hr-HR"/>
        </w:rPr>
        <w:t>: 80 bodova</w:t>
      </w:r>
    </w:p>
    <w:p w:rsidR="00344C1A" w:rsidRPr="00344C1A" w:rsidRDefault="00344C1A" w:rsidP="00344C1A">
      <w:pPr>
        <w:autoSpaceDE w:val="0"/>
        <w:autoSpaceDN w:val="0"/>
        <w:adjustRightInd w:val="0"/>
        <w:spacing w:after="0" w:line="276" w:lineRule="auto"/>
        <w:ind w:right="-2"/>
        <w:jc w:val="both"/>
        <w:rPr>
          <w:rFonts w:ascii="Arial" w:eastAsia="Calibri" w:hAnsi="Arial" w:cs="Arial"/>
          <w:b/>
          <w:i/>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b/>
          <w:i/>
          <w:lang w:eastAsia="hr-HR"/>
        </w:rPr>
        <w:t>Vrijednosni kriterij</w:t>
      </w:r>
      <w:r w:rsidRPr="00344C1A">
        <w:rPr>
          <w:rFonts w:ascii="Arial" w:eastAsia="Calibri" w:hAnsi="Arial" w:cs="Arial"/>
          <w:lang w:eastAsia="hr-HR"/>
        </w:rPr>
        <w:t>: najniža cijena ponude bez PDV-a ostvarit će maksimalan broj bodova</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Ponuda s najniže ponuđenom cijenom dobiva 80 bodova, a ostale ponude se boduju prema formuli:</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center"/>
        <w:rPr>
          <w:rFonts w:ascii="Arial" w:eastAsia="Calibri" w:hAnsi="Arial" w:cs="Arial"/>
          <w:b/>
          <w:lang w:eastAsia="hr-HR"/>
        </w:rPr>
      </w:pPr>
      <w:r w:rsidRPr="00344C1A">
        <w:rPr>
          <w:rFonts w:ascii="Arial" w:eastAsia="Calibri" w:hAnsi="Arial" w:cs="Arial"/>
          <w:b/>
          <w:lang w:eastAsia="hr-HR"/>
        </w:rPr>
        <w:t>Cbb = (Cmin/Cpp) x 80</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Pri čemu su:</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Cbb – broj bodova po kriteriju cijene</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Cpp – cijena iz promatrane ponude</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Cmin – najniža ponuđena cijena ponuda</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numPr>
          <w:ilvl w:val="1"/>
          <w:numId w:val="2"/>
        </w:numPr>
        <w:autoSpaceDE w:val="0"/>
        <w:autoSpaceDN w:val="0"/>
        <w:adjustRightInd w:val="0"/>
        <w:spacing w:after="0" w:line="276" w:lineRule="auto"/>
        <w:ind w:right="-2" w:hanging="1080"/>
        <w:jc w:val="both"/>
        <w:rPr>
          <w:rFonts w:ascii="Arial" w:eastAsia="Calibri" w:hAnsi="Arial" w:cs="Arial"/>
          <w:b/>
          <w:lang w:eastAsia="hr-HR"/>
        </w:rPr>
      </w:pPr>
      <w:r w:rsidRPr="00344C1A">
        <w:rPr>
          <w:rFonts w:ascii="Arial" w:eastAsia="Calibri" w:hAnsi="Arial" w:cs="Arial"/>
          <w:b/>
          <w:lang w:eastAsia="hr-HR"/>
        </w:rPr>
        <w:t>Trajanje jamstvenog roka za otklanjanje nedostataka u jamstvenom roku</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Minimalni jamstveni rok za otklanjanje nedostataka u jamstvenom roku iznosi:</w:t>
      </w:r>
    </w:p>
    <w:p w:rsidR="00344C1A" w:rsidRPr="00344C1A" w:rsidRDefault="00344C1A" w:rsidP="00344C1A">
      <w:pPr>
        <w:numPr>
          <w:ilvl w:val="0"/>
          <w:numId w:val="1"/>
        </w:num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za bitne (temeljne) zahtjeve za građevinu sukladno zakonskim propisima – 10 godina;</w:t>
      </w:r>
    </w:p>
    <w:p w:rsidR="00344C1A" w:rsidRPr="00344C1A" w:rsidRDefault="00344C1A" w:rsidP="00344C1A">
      <w:pPr>
        <w:numPr>
          <w:ilvl w:val="0"/>
          <w:numId w:val="1"/>
        </w:num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za ostale radove – 2 godine;</w:t>
      </w:r>
    </w:p>
    <w:p w:rsidR="00344C1A" w:rsidRPr="00344C1A" w:rsidRDefault="00344C1A" w:rsidP="00344C1A">
      <w:pPr>
        <w:numPr>
          <w:ilvl w:val="0"/>
          <w:numId w:val="1"/>
        </w:num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za ugrađenu opremu sukladno garanciji proizvođača opreme.</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Zakon o obveznim odnosima, u članku 633, navodi da izvođač odgovara za nedostatke građevine koji se tiču ispunjavanja zakonom određenih bitnih zahtjeva za građevinu ako se ti </w:t>
      </w:r>
      <w:r w:rsidRPr="00344C1A">
        <w:rPr>
          <w:rFonts w:ascii="Arial" w:eastAsia="Calibri" w:hAnsi="Arial" w:cs="Arial"/>
          <w:lang w:eastAsia="hr-HR"/>
        </w:rPr>
        <w:lastRenderedPageBreak/>
        <w:t xml:space="preserve">nedostaci pokažu za vrijeme od deset godina od predaje i primitka radova. U svezi s navedenim, </w:t>
      </w:r>
      <w:r w:rsidRPr="00344C1A">
        <w:rPr>
          <w:rFonts w:ascii="Arial" w:eastAsia="Calibri" w:hAnsi="Arial" w:cs="Arial"/>
          <w:b/>
          <w:lang w:eastAsia="hr-HR"/>
        </w:rPr>
        <w:t xml:space="preserve">ostali radovi, </w:t>
      </w:r>
      <w:r w:rsidRPr="00344C1A">
        <w:rPr>
          <w:rFonts w:ascii="Arial" w:eastAsia="Calibri" w:hAnsi="Arial" w:cs="Arial"/>
          <w:lang w:eastAsia="hr-HR"/>
        </w:rPr>
        <w:t xml:space="preserve">u smislu ove Dokumentacije o nabavi, odnose se na sve druge radove koji nisu obuhvaćeni predmetnim člankom Zakona o obveznim odnosima. </w:t>
      </w:r>
    </w:p>
    <w:p w:rsidR="00344C1A" w:rsidRPr="00344C1A" w:rsidRDefault="00344C1A" w:rsidP="00344C1A">
      <w:pPr>
        <w:autoSpaceDE w:val="0"/>
        <w:autoSpaceDN w:val="0"/>
        <w:adjustRightInd w:val="0"/>
        <w:spacing w:after="0" w:line="276" w:lineRule="auto"/>
        <w:ind w:right="-2"/>
        <w:jc w:val="both"/>
        <w:rPr>
          <w:rFonts w:ascii="Arial" w:eastAsia="Calibri" w:hAnsi="Arial" w:cs="Arial"/>
          <w:b/>
          <w:i/>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b/>
          <w:i/>
          <w:lang w:eastAsia="hr-HR"/>
        </w:rPr>
        <w:t>Maksimalan broj bodova</w:t>
      </w:r>
      <w:r w:rsidRPr="00344C1A">
        <w:rPr>
          <w:rFonts w:ascii="Arial" w:eastAsia="Calibri" w:hAnsi="Arial" w:cs="Arial"/>
          <w:lang w:eastAsia="hr-HR"/>
        </w:rPr>
        <w:t>: 20 bodova</w:t>
      </w:r>
    </w:p>
    <w:p w:rsidR="00344C1A" w:rsidRPr="00344C1A" w:rsidRDefault="00344C1A" w:rsidP="00344C1A">
      <w:pPr>
        <w:autoSpaceDE w:val="0"/>
        <w:autoSpaceDN w:val="0"/>
        <w:adjustRightInd w:val="0"/>
        <w:spacing w:after="0" w:line="276" w:lineRule="auto"/>
        <w:ind w:right="-2"/>
        <w:jc w:val="both"/>
        <w:rPr>
          <w:rFonts w:ascii="Arial" w:eastAsia="Calibri" w:hAnsi="Arial" w:cs="Arial"/>
          <w:b/>
          <w:i/>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b/>
          <w:i/>
          <w:lang w:eastAsia="hr-HR"/>
        </w:rPr>
        <w:t>Vrijednosni kriterij</w:t>
      </w:r>
      <w:r w:rsidRPr="00344C1A">
        <w:rPr>
          <w:rFonts w:ascii="Arial" w:eastAsia="Calibri" w:hAnsi="Arial" w:cs="Arial"/>
          <w:lang w:eastAsia="hr-HR"/>
        </w:rPr>
        <w:t>: ponuda koja ima ponuđen najdulji jamstveni rok za otklanjanje nedostataka, dobit će maksimalan broj bodova.</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Minimalan jamstveni rok je 24 mjeseca, a maksimalni rok koji se uzima u obzir je 60 mjeseci. Ukoliko se nudi jamstveni rok duži od 60 mjeseci, smatrat će se da je ponuđen maksimalni rok koji se uzima u obzir. Ponuda u kojoj je iskazan najduži jamstveni rok dobiva 20 bodova, a ostale ponude će dobiti manje bodova prema sljedećoj formuli: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center"/>
        <w:rPr>
          <w:rFonts w:ascii="Arial" w:eastAsia="Calibri" w:hAnsi="Arial" w:cs="Arial"/>
          <w:b/>
          <w:lang w:eastAsia="hr-HR"/>
        </w:rPr>
      </w:pPr>
      <w:r w:rsidRPr="00344C1A">
        <w:rPr>
          <w:rFonts w:ascii="Arial" w:eastAsia="Calibri" w:hAnsi="Arial" w:cs="Arial"/>
          <w:b/>
          <w:lang w:eastAsia="hr-HR"/>
        </w:rPr>
        <w:t>J= (Jo/Jn) x 20</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Pri čemu su:</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J- broj bodova po kriteriju za ponuđeni jamstveni rok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Jn-najduži jamstveni rok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Jo- jamstveni rok koji je ponuđen u ponudi koja se ocjenjuje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b/>
          <w:u w:val="single"/>
          <w:lang w:eastAsia="hr-HR"/>
        </w:rPr>
      </w:pPr>
      <w:r w:rsidRPr="00344C1A">
        <w:rPr>
          <w:rFonts w:ascii="Arial" w:eastAsia="Calibri" w:hAnsi="Arial" w:cs="Arial"/>
          <w:lang w:eastAsia="hr-HR"/>
        </w:rPr>
        <w:t>Jamstveni rok moguće je iskazivati isključivo cijelim brojem (ne decimalnim) u mjesecima (npr. 24, 36, 48 i sl.)</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Ako su dvije ili više valjanih ponuda jednako rangirane prema kriteriju za odabir ponude, naručitelj će odabrati ponudu koja je zaprimljena ranije.</w:t>
      </w:r>
    </w:p>
    <w:p w:rsidR="00344C1A" w:rsidRPr="00344C1A" w:rsidRDefault="00344C1A" w:rsidP="00344C1A">
      <w:pPr>
        <w:spacing w:after="0" w:line="276" w:lineRule="auto"/>
        <w:rPr>
          <w:rFonts w:ascii="Arial" w:eastAsia="Calibri" w:hAnsi="Arial" w:cs="Arial"/>
          <w:lang w:eastAsia="hr-HR"/>
        </w:rPr>
      </w:pPr>
    </w:p>
    <w:p w:rsidR="00344C1A" w:rsidRPr="00344C1A" w:rsidRDefault="00344C1A" w:rsidP="00344C1A">
      <w:pPr>
        <w:spacing w:after="0" w:line="276" w:lineRule="auto"/>
        <w:jc w:val="both"/>
        <w:rPr>
          <w:rFonts w:ascii="Arial" w:eastAsia="Calibri" w:hAnsi="Arial" w:cs="Arial"/>
          <w:i/>
          <w:color w:val="000000"/>
          <w:szCs w:val="24"/>
          <w:lang w:eastAsia="hr-HR"/>
        </w:rPr>
      </w:pPr>
      <w:r w:rsidRPr="00344C1A">
        <w:rPr>
          <w:rFonts w:ascii="Arial" w:eastAsia="Calibri" w:hAnsi="Arial" w:cs="Arial"/>
          <w:i/>
          <w:color w:val="000000"/>
          <w:szCs w:val="24"/>
          <w:lang w:eastAsia="hr-HR"/>
        </w:rPr>
        <w:t>ODREĐIVANJE NAJPOVOLJNIJE PONUDE PREMA NAVEDENIM KRITERIJIMA ZA</w:t>
      </w:r>
      <w:r w:rsidRPr="00344C1A">
        <w:rPr>
          <w:rFonts w:ascii="Arial" w:eastAsia="Calibri" w:hAnsi="Arial" w:cs="Arial"/>
          <w:i/>
          <w:color w:val="000000"/>
          <w:lang w:eastAsia="hr-HR"/>
        </w:rPr>
        <w:br/>
      </w:r>
      <w:r w:rsidRPr="00344C1A">
        <w:rPr>
          <w:rFonts w:ascii="Arial" w:eastAsia="Calibri" w:hAnsi="Arial" w:cs="Arial"/>
          <w:i/>
          <w:color w:val="000000"/>
          <w:szCs w:val="24"/>
          <w:lang w:eastAsia="hr-HR"/>
        </w:rPr>
        <w:t>ODABIR EKONOMSKI NAJPOVOLJNIJE PONUDE ZA SKLAPANJE UGOVORA:</w:t>
      </w:r>
    </w:p>
    <w:p w:rsidR="00344C1A" w:rsidRPr="00344C1A" w:rsidRDefault="00344C1A" w:rsidP="00344C1A">
      <w:pPr>
        <w:spacing w:after="0" w:line="276" w:lineRule="auto"/>
        <w:jc w:val="both"/>
        <w:rPr>
          <w:rFonts w:ascii="Arial" w:eastAsia="Calibri" w:hAnsi="Arial" w:cs="Arial"/>
          <w:color w:val="000000"/>
          <w:szCs w:val="24"/>
          <w:lang w:eastAsia="hr-HR"/>
        </w:rPr>
      </w:pPr>
      <w:r w:rsidRPr="00344C1A">
        <w:rPr>
          <w:rFonts w:ascii="Arial" w:eastAsia="Calibri" w:hAnsi="Arial" w:cs="Arial"/>
          <w:color w:val="000000"/>
          <w:lang w:eastAsia="hr-HR"/>
        </w:rPr>
        <w:br/>
      </w:r>
      <w:r w:rsidRPr="00344C1A">
        <w:rPr>
          <w:rFonts w:ascii="Arial" w:eastAsia="Calibri" w:hAnsi="Arial" w:cs="Arial"/>
          <w:color w:val="000000"/>
          <w:szCs w:val="24"/>
          <w:lang w:eastAsia="hr-HR"/>
        </w:rPr>
        <w:t>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w:t>
      </w:r>
    </w:p>
    <w:p w:rsidR="00344C1A" w:rsidRPr="00344C1A" w:rsidRDefault="00344C1A" w:rsidP="00344C1A">
      <w:pPr>
        <w:spacing w:after="0" w:line="276" w:lineRule="auto"/>
        <w:jc w:val="center"/>
        <w:rPr>
          <w:rFonts w:ascii="Arial" w:eastAsia="Calibri" w:hAnsi="Arial" w:cs="Arial"/>
          <w:b/>
          <w:bCs/>
          <w:color w:val="000000"/>
          <w:szCs w:val="24"/>
          <w:lang w:eastAsia="hr-HR"/>
        </w:rPr>
      </w:pPr>
      <w:r w:rsidRPr="00344C1A">
        <w:rPr>
          <w:rFonts w:ascii="Arial" w:eastAsia="Calibri" w:hAnsi="Arial" w:cs="Arial"/>
          <w:color w:val="000000"/>
          <w:lang w:eastAsia="hr-HR"/>
        </w:rPr>
        <w:br/>
      </w:r>
      <w:r w:rsidRPr="00344C1A">
        <w:rPr>
          <w:rFonts w:ascii="Arial" w:eastAsia="Calibri" w:hAnsi="Arial" w:cs="Arial"/>
          <w:b/>
          <w:bCs/>
          <w:color w:val="000000"/>
          <w:szCs w:val="24"/>
          <w:lang w:eastAsia="hr-HR"/>
        </w:rPr>
        <w:t>Ub = Cbb + J</w:t>
      </w:r>
    </w:p>
    <w:p w:rsidR="00344C1A" w:rsidRPr="00344C1A" w:rsidRDefault="00344C1A" w:rsidP="00344C1A">
      <w:pPr>
        <w:spacing w:after="0" w:line="276" w:lineRule="auto"/>
        <w:rPr>
          <w:rFonts w:ascii="Arial" w:eastAsia="Calibri" w:hAnsi="Arial" w:cs="Arial"/>
          <w:lang w:eastAsia="hr-HR"/>
        </w:rPr>
      </w:pPr>
      <w:r w:rsidRPr="00344C1A">
        <w:rPr>
          <w:rFonts w:ascii="Arial" w:eastAsia="Calibri" w:hAnsi="Arial" w:cs="Arial"/>
          <w:bCs/>
          <w:color w:val="000000"/>
          <w:lang w:eastAsia="hr-HR"/>
        </w:rPr>
        <w:t>Pri čemu su:</w:t>
      </w:r>
      <w:r w:rsidRPr="00344C1A">
        <w:rPr>
          <w:rFonts w:ascii="Arial" w:eastAsia="Calibri" w:hAnsi="Arial" w:cs="Arial"/>
          <w:bCs/>
          <w:color w:val="000000"/>
          <w:lang w:eastAsia="hr-HR"/>
        </w:rPr>
        <w:br/>
      </w:r>
      <w:r w:rsidRPr="00344C1A">
        <w:rPr>
          <w:rFonts w:ascii="Arial" w:eastAsia="Calibri" w:hAnsi="Arial" w:cs="Arial"/>
          <w:color w:val="000000"/>
          <w:szCs w:val="24"/>
          <w:lang w:eastAsia="hr-HR"/>
        </w:rPr>
        <w:t>Ub - ukupan broj bodova</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Cbb – broj bodova po kriteriju cijene</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J- broj bodova po kriteriju za ponuđeni jamstveni rok </w:t>
      </w:r>
    </w:p>
    <w:p w:rsidR="00344C1A" w:rsidRPr="00344C1A" w:rsidRDefault="00344C1A" w:rsidP="00344C1A">
      <w:pPr>
        <w:spacing w:after="0" w:line="276" w:lineRule="auto"/>
        <w:jc w:val="both"/>
        <w:rPr>
          <w:rFonts w:ascii="Arial" w:eastAsia="Calibri" w:hAnsi="Arial" w:cs="Arial"/>
          <w:b/>
          <w:bCs/>
          <w:i/>
          <w:iCs/>
          <w:lang w:eastAsia="hr-HR"/>
        </w:rPr>
      </w:pPr>
    </w:p>
    <w:p w:rsidR="00344C1A" w:rsidRPr="00344C1A" w:rsidRDefault="00344C1A" w:rsidP="00344C1A">
      <w:pPr>
        <w:keepNext/>
        <w:keepLines/>
        <w:numPr>
          <w:ilvl w:val="1"/>
          <w:numId w:val="2"/>
        </w:numPr>
        <w:spacing w:after="0" w:line="276" w:lineRule="auto"/>
        <w:ind w:hanging="1080"/>
        <w:outlineLvl w:val="0"/>
        <w:rPr>
          <w:rFonts w:ascii="Arial" w:eastAsia="Calibri" w:hAnsi="Arial" w:cs="Arial"/>
          <w:b/>
          <w:bCs/>
          <w:lang w:eastAsia="hr-HR"/>
        </w:rPr>
      </w:pPr>
      <w:bookmarkStart w:id="2" w:name="_Toc493969271"/>
      <w:r w:rsidRPr="00344C1A">
        <w:rPr>
          <w:rFonts w:ascii="Arial" w:eastAsia="Calibri" w:hAnsi="Arial" w:cs="Arial"/>
          <w:b/>
          <w:bCs/>
          <w:lang w:eastAsia="hr-HR"/>
        </w:rPr>
        <w:t xml:space="preserve"> </w:t>
      </w:r>
      <w:bookmarkStart w:id="3" w:name="_Toc494061971"/>
      <w:r w:rsidRPr="00344C1A">
        <w:rPr>
          <w:rFonts w:ascii="Arial" w:eastAsia="Calibri" w:hAnsi="Arial" w:cs="Arial"/>
          <w:b/>
          <w:bCs/>
          <w:lang w:eastAsia="hr-HR"/>
        </w:rPr>
        <w:t>Dokumenti potrebni za utvrđivanje kriterija ekonomski najpovoljnije ponude</w:t>
      </w:r>
      <w:bookmarkEnd w:id="2"/>
      <w:bookmarkEnd w:id="3"/>
    </w:p>
    <w:p w:rsidR="00344C1A" w:rsidRPr="00344C1A" w:rsidRDefault="00344C1A" w:rsidP="00344C1A">
      <w:pPr>
        <w:spacing w:after="0" w:line="276" w:lineRule="auto"/>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r w:rsidRPr="00344C1A">
        <w:rPr>
          <w:rFonts w:ascii="Arial" w:eastAsia="Calibri" w:hAnsi="Arial" w:cs="Arial"/>
          <w:lang w:eastAsia="hr-HR"/>
        </w:rPr>
        <w:t xml:space="preserve">Podatak o jamstvenom roku dostavlja se u obliku izjave ponuditelja u slobodnoj formi, te se prilaže kao sastavni dio ponude (upload-a prilikom predaje ponude). </w:t>
      </w:r>
    </w:p>
    <w:p w:rsidR="00344C1A" w:rsidRPr="00344C1A" w:rsidRDefault="00344C1A" w:rsidP="00344C1A">
      <w:pPr>
        <w:autoSpaceDE w:val="0"/>
        <w:autoSpaceDN w:val="0"/>
        <w:adjustRightInd w:val="0"/>
        <w:spacing w:after="0" w:line="276" w:lineRule="auto"/>
        <w:ind w:right="-2"/>
        <w:jc w:val="both"/>
        <w:rPr>
          <w:rFonts w:ascii="Arial" w:eastAsia="Calibri" w:hAnsi="Arial" w:cs="Arial"/>
          <w:lang w:eastAsia="hr-HR"/>
        </w:rPr>
      </w:pPr>
    </w:p>
    <w:p w:rsidR="00344C1A" w:rsidRPr="00344C1A" w:rsidRDefault="00344C1A" w:rsidP="00344C1A">
      <w:pPr>
        <w:autoSpaceDE w:val="0"/>
        <w:autoSpaceDN w:val="0"/>
        <w:adjustRightInd w:val="0"/>
        <w:spacing w:after="0" w:line="276" w:lineRule="auto"/>
        <w:ind w:right="-2"/>
        <w:jc w:val="both"/>
        <w:rPr>
          <w:rFonts w:ascii="Arial" w:eastAsia="Calibri" w:hAnsi="Arial" w:cs="Arial"/>
          <w:b/>
          <w:u w:val="single"/>
          <w:lang w:eastAsia="hr-HR"/>
        </w:rPr>
      </w:pPr>
      <w:r w:rsidRPr="00344C1A">
        <w:rPr>
          <w:rFonts w:ascii="Arial" w:eastAsia="Calibri" w:hAnsi="Arial" w:cs="Arial"/>
          <w:b/>
          <w:u w:val="single"/>
          <w:lang w:eastAsia="hr-HR"/>
        </w:rPr>
        <w:lastRenderedPageBreak/>
        <w:t xml:space="preserve">Ukoliko izjava nije dostavljena u roku za dostavu ponuda ili ne sadrži navod o trajanju jamstvenog roka smatrat će se da ponuditelj nudi minimalni jamstveni rok od 24 </w:t>
      </w:r>
      <w:bookmarkStart w:id="4" w:name="_GoBack"/>
      <w:bookmarkEnd w:id="4"/>
      <w:r w:rsidRPr="00344C1A">
        <w:rPr>
          <w:rFonts w:ascii="Arial" w:eastAsia="Calibri" w:hAnsi="Arial" w:cs="Arial"/>
          <w:b/>
          <w:u w:val="single"/>
          <w:lang w:eastAsia="hr-HR"/>
        </w:rPr>
        <w:t>mjeseca.</w:t>
      </w:r>
    </w:p>
    <w:p w:rsidR="00F4673F" w:rsidRDefault="00F4673F"/>
    <w:sectPr w:rsidR="00F46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6926"/>
    <w:multiLevelType w:val="multilevel"/>
    <w:tmpl w:val="5014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1A"/>
    <w:rsid w:val="001B4201"/>
    <w:rsid w:val="00344C1A"/>
    <w:rsid w:val="00E34680"/>
    <w:rsid w:val="00F46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4A7D"/>
  <w15:chartTrackingRefBased/>
  <w15:docId w15:val="{CEF7FD1D-EE7E-4054-A729-D92F56A0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rsid w:val="00344C1A"/>
    <w:rPr>
      <w:sz w:val="16"/>
      <w:szCs w:val="16"/>
    </w:rPr>
  </w:style>
  <w:style w:type="paragraph" w:styleId="Tekstkomentara">
    <w:name w:val="annotation text"/>
    <w:basedOn w:val="Normal"/>
    <w:link w:val="TekstkomentaraChar"/>
    <w:uiPriority w:val="99"/>
    <w:rsid w:val="00344C1A"/>
    <w:pPr>
      <w:spacing w:after="0" w:line="240" w:lineRule="auto"/>
    </w:pPr>
    <w:rPr>
      <w:rFonts w:ascii="Times New Roman" w:eastAsia="Calibri" w:hAnsi="Times New Roman" w:cs="Times New Roman"/>
      <w:sz w:val="20"/>
      <w:szCs w:val="20"/>
      <w:lang w:eastAsia="hr-HR"/>
    </w:rPr>
  </w:style>
  <w:style w:type="character" w:customStyle="1" w:styleId="TekstkomentaraChar">
    <w:name w:val="Tekst komentara Char"/>
    <w:basedOn w:val="Zadanifontodlomka"/>
    <w:link w:val="Tekstkomentara"/>
    <w:uiPriority w:val="99"/>
    <w:rsid w:val="00344C1A"/>
    <w:rPr>
      <w:rFonts w:ascii="Times New Roman" w:eastAsia="Calibri" w:hAnsi="Times New Roman" w:cs="Times New Roman"/>
      <w:sz w:val="20"/>
      <w:szCs w:val="20"/>
      <w:lang w:eastAsia="hr-HR"/>
    </w:rPr>
  </w:style>
  <w:style w:type="paragraph" w:styleId="Tekstbalonia">
    <w:name w:val="Balloon Text"/>
    <w:basedOn w:val="Normal"/>
    <w:link w:val="TekstbaloniaChar"/>
    <w:uiPriority w:val="99"/>
    <w:semiHidden/>
    <w:unhideWhenUsed/>
    <w:rsid w:val="00344C1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4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ikralj</dc:creator>
  <cp:keywords/>
  <dc:description/>
  <cp:lastModifiedBy>ikralj</cp:lastModifiedBy>
  <cp:revision>1</cp:revision>
  <dcterms:created xsi:type="dcterms:W3CDTF">2017-09-30T21:43:00Z</dcterms:created>
  <dcterms:modified xsi:type="dcterms:W3CDTF">2017-09-30T21:44:00Z</dcterms:modified>
</cp:coreProperties>
</file>