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A1" w:rsidRDefault="009100A1" w:rsidP="009100A1">
      <w:pPr>
        <w:pStyle w:val="clanak"/>
        <w:jc w:val="center"/>
        <w:rPr>
          <w:sz w:val="28"/>
          <w:szCs w:val="28"/>
        </w:rPr>
      </w:pPr>
    </w:p>
    <w:p w:rsidR="009100A1" w:rsidRDefault="009100A1" w:rsidP="009100A1">
      <w:pPr>
        <w:pStyle w:val="clanak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IZVOD O SUSTAV DOJAVE PREMA </w:t>
      </w:r>
    </w:p>
    <w:p w:rsidR="009100A1" w:rsidRDefault="009100A1" w:rsidP="009100A1">
      <w:pPr>
        <w:pStyle w:val="clanak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ZAKONU O SUSTAVU CIVILNE ZAŠTITE NN. 82/15</w:t>
      </w:r>
    </w:p>
    <w:p w:rsidR="009100A1" w:rsidRDefault="009100A1" w:rsidP="009100A1">
      <w:pPr>
        <w:pStyle w:val="clanak"/>
        <w:jc w:val="center"/>
        <w:rPr>
          <w:sz w:val="28"/>
          <w:szCs w:val="28"/>
        </w:rPr>
      </w:pPr>
    </w:p>
    <w:p w:rsidR="009100A1" w:rsidRDefault="009100A1" w:rsidP="009100A1">
      <w:pPr>
        <w:pStyle w:val="clanak"/>
        <w:jc w:val="center"/>
        <w:rPr>
          <w:sz w:val="28"/>
          <w:szCs w:val="28"/>
        </w:rPr>
      </w:pPr>
      <w:r>
        <w:rPr>
          <w:sz w:val="28"/>
          <w:szCs w:val="28"/>
        </w:rPr>
        <w:t>Članak 38.</w:t>
      </w:r>
    </w:p>
    <w:p w:rsidR="009100A1" w:rsidRDefault="009100A1" w:rsidP="009100A1">
      <w:pPr>
        <w:pStyle w:val="t-9-8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Pravne osobe – operateri dužni su uspostaviti i održavati sustav uzbunjivanja</w:t>
      </w:r>
      <w:r>
        <w:rPr>
          <w:sz w:val="28"/>
          <w:szCs w:val="28"/>
        </w:rPr>
        <w:t xml:space="preserve"> u perimetru stvarnih rizika za građane, i to:</w:t>
      </w:r>
    </w:p>
    <w:p w:rsidR="009100A1" w:rsidRDefault="009100A1" w:rsidP="009100A1">
      <w:pPr>
        <w:pStyle w:val="t-9-8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pravne osobe koje se bave djelatnošću koja svojom naravi može ugroziti život i zdravlje građana, materijalna i kulturna dobra i okoliš, a koje koriste velike količine opasnih tvari propisane posebnim propisima na području zaštite okoliša te su dužne izrađivati izvješća o sigurnosti</w:t>
      </w:r>
    </w:p>
    <w:p w:rsidR="009100A1" w:rsidRDefault="009100A1" w:rsidP="009100A1">
      <w:pPr>
        <w:pStyle w:val="t-9-8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pravne osobe koje su vlasnici ili upravljaju akumulacijama vode i vodnim kanalima za proizvodnju električne energije i opskrbu vodom</w:t>
      </w:r>
    </w:p>
    <w:p w:rsidR="009100A1" w:rsidRDefault="009100A1" w:rsidP="009100A1">
      <w:pPr>
        <w:pStyle w:val="t-9-8"/>
        <w:numPr>
          <w:ilvl w:val="0"/>
          <w:numId w:val="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pravne osobe koje se bave djelatnošću koja svojom naravi može ugroziti život i zdravlje građana, materijalnih i kulturnih dobara i okoliša, a posluju unutar industrijske zone koja je prema aktima središnjeg tijela državne uprave nadležnog za zaštitu okoliša ugrožena domino-efektom.</w:t>
      </w:r>
    </w:p>
    <w:p w:rsidR="009100A1" w:rsidRDefault="009100A1" w:rsidP="009100A1">
      <w:pPr>
        <w:pStyle w:val="t-9-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(2) </w:t>
      </w:r>
      <w:r>
        <w:rPr>
          <w:b/>
          <w:sz w:val="28"/>
          <w:szCs w:val="28"/>
        </w:rPr>
        <w:t>Više pravnih osoba iz stavka 1. ovoga članka koje obavljaju djelatnost na istom području mogu sporazumno uspostaviti i održavati zajednički sustav za uzbunjivanje i obavješćivanje građana u svojoj okolini.</w:t>
      </w:r>
    </w:p>
    <w:p w:rsidR="009100A1" w:rsidRDefault="009100A1" w:rsidP="009100A1">
      <w:pPr>
        <w:pStyle w:val="t-9-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(3) Pravne osobe iz stavaka 1. i 2. ovoga članka dužne su uspostaviti upravljanje i nadzor nad sirenama svog sustava za uzbunjivanje iz operativnog središta pravne osobe i iz nadležnog centra 112 te snositi troškove uspostavljanja i korištenja komunikacijske veze za potrebe upravljanja i nadzora sirenama iz nadležnog centra 112.</w:t>
      </w:r>
    </w:p>
    <w:p w:rsidR="009100A1" w:rsidRDefault="009100A1" w:rsidP="009100A1">
      <w:pPr>
        <w:pStyle w:val="t-9-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(4) Pravne osobe iz stavaka 1. i 2. ovoga članka dužne su na idejni projekt sustava za uzbunjivanje prije instaliranja vlastitog sustava za uzbunjivanje ishoditi suglasnost Državne uprave.</w:t>
      </w:r>
    </w:p>
    <w:p w:rsidR="009100A1" w:rsidRDefault="009100A1" w:rsidP="009100A1">
      <w:pPr>
        <w:pStyle w:val="t-9-8"/>
        <w:jc w:val="both"/>
        <w:rPr>
          <w:sz w:val="28"/>
          <w:szCs w:val="28"/>
        </w:rPr>
      </w:pPr>
    </w:p>
    <w:p w:rsidR="009100A1" w:rsidRDefault="009100A1" w:rsidP="009100A1">
      <w:pPr>
        <w:pStyle w:val="clanak"/>
        <w:jc w:val="center"/>
        <w:rPr>
          <w:sz w:val="28"/>
          <w:szCs w:val="28"/>
        </w:rPr>
      </w:pPr>
      <w:r>
        <w:rPr>
          <w:sz w:val="28"/>
          <w:szCs w:val="28"/>
        </w:rPr>
        <w:t>Članak 39.</w:t>
      </w:r>
    </w:p>
    <w:p w:rsidR="009100A1" w:rsidRDefault="009100A1" w:rsidP="009100A1">
      <w:pPr>
        <w:pStyle w:val="t-9-8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Vlasnici i korisnici objekata u kojima se</w:t>
      </w:r>
    </w:p>
    <w:p w:rsidR="009100A1" w:rsidRDefault="009100A1" w:rsidP="009100A1">
      <w:pPr>
        <w:pStyle w:val="t-9-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okuplja ili istodobno boravi više od 250 ljudi te </w:t>
      </w:r>
    </w:p>
    <w:p w:rsidR="009100A1" w:rsidRDefault="009100A1" w:rsidP="009100A1">
      <w:pPr>
        <w:pStyle w:val="t-9-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odgojne, obrazovne, zdravstvene i druge ustanove, </w:t>
      </w:r>
    </w:p>
    <w:p w:rsidR="009100A1" w:rsidRDefault="009100A1" w:rsidP="009100A1">
      <w:pPr>
        <w:pStyle w:val="t-9-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prometni terminali, </w:t>
      </w:r>
    </w:p>
    <w:p w:rsidR="009100A1" w:rsidRDefault="009100A1" w:rsidP="009100A1">
      <w:pPr>
        <w:pStyle w:val="t-9-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sportske dvorane, </w:t>
      </w:r>
    </w:p>
    <w:p w:rsidR="009100A1" w:rsidRDefault="009100A1" w:rsidP="009100A1">
      <w:pPr>
        <w:pStyle w:val="t-9-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stadioni, </w:t>
      </w:r>
    </w:p>
    <w:p w:rsidR="009100A1" w:rsidRDefault="009100A1" w:rsidP="009100A1">
      <w:pPr>
        <w:pStyle w:val="t-9-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trgovački centri, </w:t>
      </w:r>
    </w:p>
    <w:p w:rsidR="009100A1" w:rsidRDefault="009100A1" w:rsidP="009100A1">
      <w:pPr>
        <w:pStyle w:val="t-9-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hoteli, </w:t>
      </w:r>
    </w:p>
    <w:p w:rsidR="009100A1" w:rsidRDefault="009100A1" w:rsidP="009100A1">
      <w:pPr>
        <w:pStyle w:val="t-9-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autokampovi, </w:t>
      </w:r>
    </w:p>
    <w:p w:rsidR="009100A1" w:rsidRDefault="009100A1" w:rsidP="009100A1">
      <w:pPr>
        <w:pStyle w:val="t-9-8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proizvodni prostori i slično, </w:t>
      </w:r>
    </w:p>
    <w:p w:rsidR="009100A1" w:rsidRDefault="009100A1" w:rsidP="009100A1">
      <w:pPr>
        <w:pStyle w:val="t-9-8"/>
        <w:ind w:left="75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 kojima se zbog buke ili akustičke izolacije ne može osigurati dovoljna čujnost sustava za javno uzbunjivanje, dužni su</w:t>
      </w:r>
    </w:p>
    <w:p w:rsidR="009100A1" w:rsidRDefault="009100A1" w:rsidP="009100A1">
      <w:pPr>
        <w:pStyle w:val="t-9-8"/>
        <w:ind w:left="750"/>
        <w:jc w:val="both"/>
        <w:rPr>
          <w:sz w:val="28"/>
          <w:szCs w:val="28"/>
        </w:rPr>
      </w:pPr>
      <w:r>
        <w:rPr>
          <w:sz w:val="28"/>
          <w:szCs w:val="28"/>
        </w:rPr>
        <w:t>1.  uspostaviti i održavati odgovarajući interni sustav za uzbunjivanje i obavješćivanje te preko istog osigurati provedbu javnog uzbunjivanja i prijem priopćenja nadležnog centra 112 o vrsti opasnosti i mjerama za zaštitu koje je potrebno poduzeti.</w:t>
      </w:r>
    </w:p>
    <w:p w:rsidR="009100A1" w:rsidRDefault="009100A1" w:rsidP="009100A1">
      <w:pPr>
        <w:pStyle w:val="t-9-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(2) Vlasnici građevina dužni su, bez naknade, na zahtjev Državne uprave dopustiti postavljanje uređaja za uzbunjivanje građana i korištenje električne energije.</w:t>
      </w:r>
    </w:p>
    <w:p w:rsidR="009100A1" w:rsidRDefault="009100A1" w:rsidP="009100A1">
      <w:pPr>
        <w:pStyle w:val="clanak"/>
        <w:jc w:val="center"/>
        <w:rPr>
          <w:sz w:val="28"/>
          <w:szCs w:val="28"/>
        </w:rPr>
      </w:pPr>
      <w:r>
        <w:rPr>
          <w:sz w:val="28"/>
          <w:szCs w:val="28"/>
        </w:rPr>
        <w:t>Članak 40.</w:t>
      </w:r>
    </w:p>
    <w:p w:rsidR="009100A1" w:rsidRDefault="009100A1" w:rsidP="009100A1">
      <w:pPr>
        <w:pStyle w:val="t-9-8"/>
        <w:jc w:val="both"/>
        <w:rPr>
          <w:sz w:val="28"/>
          <w:szCs w:val="28"/>
        </w:rPr>
      </w:pPr>
      <w:r>
        <w:rPr>
          <w:sz w:val="28"/>
          <w:szCs w:val="28"/>
        </w:rPr>
        <w:t>(1) Obveze pravnih osoba – operatora javnih komunikacijskih mreža i javno dostupnih telefonskih usluga u vezi s omogućavanjem poziva na jedinstveni europski broj za hitne službe 112 te druge obveze operatora prema Državnoj upravi propisane su posebnim zakonom.</w:t>
      </w:r>
    </w:p>
    <w:p w:rsidR="009100A1" w:rsidRDefault="009100A1" w:rsidP="009100A1">
      <w:pPr>
        <w:pStyle w:val="t-9-8"/>
        <w:jc w:val="both"/>
        <w:rPr>
          <w:sz w:val="28"/>
          <w:szCs w:val="28"/>
        </w:rPr>
      </w:pPr>
      <w:r>
        <w:rPr>
          <w:sz w:val="28"/>
          <w:szCs w:val="28"/>
        </w:rPr>
        <w:t>(2) Pravne osobe u vlasništvu ili većinskom vlasništvu Republike Hrvatske koje imaju uspostavljen vlastiti komunikacijski sustav dužne su u slučaju velikih nesreća i katastrofa bez naknade omogućiti njegovo korištenje Državnoj upravi.</w:t>
      </w:r>
    </w:p>
    <w:p w:rsidR="009100A1" w:rsidRDefault="009100A1" w:rsidP="009100A1">
      <w:pPr>
        <w:pStyle w:val="clanak"/>
        <w:jc w:val="center"/>
        <w:rPr>
          <w:sz w:val="28"/>
          <w:szCs w:val="28"/>
        </w:rPr>
      </w:pPr>
      <w:r>
        <w:rPr>
          <w:sz w:val="28"/>
          <w:szCs w:val="28"/>
        </w:rPr>
        <w:t>Članak 41.</w:t>
      </w:r>
    </w:p>
    <w:p w:rsidR="009100A1" w:rsidRDefault="009100A1" w:rsidP="009100A1">
      <w:pPr>
        <w:pStyle w:val="t-9-8"/>
        <w:jc w:val="both"/>
        <w:rPr>
          <w:sz w:val="28"/>
          <w:szCs w:val="28"/>
        </w:rPr>
      </w:pPr>
      <w:r>
        <w:rPr>
          <w:sz w:val="28"/>
          <w:szCs w:val="28"/>
        </w:rPr>
        <w:t>(1) Pravne osobe – operatori javnih komunikacijskih mreža i javno dostupnih telefonskih usluga dužni su na vidljivom mjestu u javnim telefonskim govornicama istaknuti obavijest o jedinstvenom europskom broju za hitne službe 112.</w:t>
      </w:r>
    </w:p>
    <w:p w:rsidR="009100A1" w:rsidRDefault="009100A1" w:rsidP="009100A1">
      <w:pPr>
        <w:pStyle w:val="t-9-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(2) </w:t>
      </w:r>
      <w:r>
        <w:rPr>
          <w:b/>
          <w:sz w:val="28"/>
          <w:szCs w:val="28"/>
        </w:rPr>
        <w:t>Obavijest o jedinstvenom europskom broju za hitne službe 112 i znakovi za uzbunjivanje moraju biti istaknuti na vidljivom mjestu u svim javnim ustanovama i stambenim zgradama.</w:t>
      </w:r>
    </w:p>
    <w:p w:rsidR="009100A1" w:rsidRDefault="009100A1" w:rsidP="009100A1">
      <w:pPr>
        <w:pStyle w:val="t-9-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(3) Pravne osobe iz članka 38. stavka 1. ovog Zakona i pravne osobe nadležne za infrastrukturu i objekte na području povećanog rizika od nastanka izvanredne situacije (autoceste, parkovi prirode, nacionalni parkovi, dječja igrališta, marine i sl.) </w:t>
      </w:r>
      <w:r>
        <w:rPr>
          <w:b/>
          <w:sz w:val="28"/>
          <w:szCs w:val="28"/>
        </w:rPr>
        <w:t>dužne su na vidljivom mjestu istaknuti obavijest o jedinstvenom europskom broju za hitne službe 112.</w:t>
      </w:r>
    </w:p>
    <w:p w:rsidR="009100A1" w:rsidRDefault="009100A1" w:rsidP="009100A1">
      <w:pPr>
        <w:pStyle w:val="t-9-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(4) Čelnik Državne uprave donosi </w:t>
      </w:r>
      <w:r>
        <w:rPr>
          <w:b/>
          <w:sz w:val="28"/>
          <w:szCs w:val="28"/>
        </w:rPr>
        <w:t>pravilnik o izgledu, načinu i mjestu isticanja obavijesti o jedinstvenom europskom broju za hitne službe 112.</w:t>
      </w:r>
    </w:p>
    <w:p w:rsidR="009100A1" w:rsidRDefault="009100A1" w:rsidP="009100A1">
      <w:pPr>
        <w:pStyle w:val="clanak"/>
        <w:jc w:val="center"/>
        <w:rPr>
          <w:sz w:val="28"/>
          <w:szCs w:val="28"/>
        </w:rPr>
      </w:pPr>
      <w:r>
        <w:rPr>
          <w:sz w:val="28"/>
          <w:szCs w:val="28"/>
        </w:rPr>
        <w:t>Članak 42.</w:t>
      </w:r>
    </w:p>
    <w:p w:rsidR="009100A1" w:rsidRDefault="009100A1" w:rsidP="009100A1">
      <w:pPr>
        <w:pStyle w:val="t-9-8"/>
        <w:jc w:val="both"/>
        <w:rPr>
          <w:sz w:val="28"/>
          <w:szCs w:val="28"/>
        </w:rPr>
      </w:pPr>
      <w:r>
        <w:rPr>
          <w:sz w:val="28"/>
          <w:szCs w:val="28"/>
        </w:rPr>
        <w:t>Čelnik Državne uprave donosi:</w:t>
      </w:r>
    </w:p>
    <w:p w:rsidR="009100A1" w:rsidRDefault="009100A1" w:rsidP="009100A1">
      <w:pPr>
        <w:pStyle w:val="t-9-8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pravilnik o postupku uzbunjivanja stanovništva</w:t>
      </w:r>
    </w:p>
    <w:p w:rsidR="009100A1" w:rsidRDefault="009100A1" w:rsidP="009100A1">
      <w:pPr>
        <w:pStyle w:val="t-9-8"/>
        <w:numPr>
          <w:ilvl w:val="0"/>
          <w:numId w:val="8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pravilnik o tehničkim zahtjevima sustava javnog uzbunjivanja stanovništva</w:t>
      </w:r>
    </w:p>
    <w:p w:rsidR="009100A1" w:rsidRDefault="009100A1" w:rsidP="009100A1">
      <w:pPr>
        <w:pStyle w:val="t-9-8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pravilnik o načinu rada u aktivnostima radijske komunikacije za potrebe djelovanja sustava civilne zaštite u velikim nesrećama i katastrofama, uz suglasnost nadležne regulatorne agencije</w:t>
      </w:r>
      <w:r>
        <w:rPr>
          <w:sz w:val="28"/>
          <w:szCs w:val="28"/>
        </w:rPr>
        <w:t>.</w:t>
      </w:r>
    </w:p>
    <w:p w:rsidR="00855419" w:rsidRDefault="00855419"/>
    <w:sectPr w:rsidR="008554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B4069"/>
    <w:multiLevelType w:val="hybridMultilevel"/>
    <w:tmpl w:val="82600B0A"/>
    <w:lvl w:ilvl="0" w:tplc="00DEB3D4">
      <w:start w:val="1"/>
      <w:numFmt w:val="decimal"/>
      <w:lvlText w:val="(%1)"/>
      <w:lvlJc w:val="left"/>
      <w:pPr>
        <w:ind w:left="765" w:hanging="405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7616C"/>
    <w:multiLevelType w:val="hybridMultilevel"/>
    <w:tmpl w:val="FEF0C27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341B1"/>
    <w:multiLevelType w:val="hybridMultilevel"/>
    <w:tmpl w:val="F6D256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3143C2"/>
    <w:multiLevelType w:val="hybridMultilevel"/>
    <w:tmpl w:val="608413B8"/>
    <w:lvl w:ilvl="0" w:tplc="E098AE32">
      <w:start w:val="1"/>
      <w:numFmt w:val="decimal"/>
      <w:lvlText w:val="%1."/>
      <w:lvlJc w:val="left"/>
      <w:pPr>
        <w:ind w:left="1110" w:hanging="360"/>
      </w:pPr>
    </w:lvl>
    <w:lvl w:ilvl="1" w:tplc="041A0019">
      <w:start w:val="1"/>
      <w:numFmt w:val="lowerLetter"/>
      <w:lvlText w:val="%2."/>
      <w:lvlJc w:val="left"/>
      <w:pPr>
        <w:ind w:left="1830" w:hanging="360"/>
      </w:pPr>
    </w:lvl>
    <w:lvl w:ilvl="2" w:tplc="041A001B">
      <w:start w:val="1"/>
      <w:numFmt w:val="lowerRoman"/>
      <w:lvlText w:val="%3."/>
      <w:lvlJc w:val="right"/>
      <w:pPr>
        <w:ind w:left="2550" w:hanging="180"/>
      </w:pPr>
    </w:lvl>
    <w:lvl w:ilvl="3" w:tplc="041A000F">
      <w:start w:val="1"/>
      <w:numFmt w:val="decimal"/>
      <w:lvlText w:val="%4."/>
      <w:lvlJc w:val="left"/>
      <w:pPr>
        <w:ind w:left="3270" w:hanging="360"/>
      </w:pPr>
    </w:lvl>
    <w:lvl w:ilvl="4" w:tplc="041A0019">
      <w:start w:val="1"/>
      <w:numFmt w:val="lowerLetter"/>
      <w:lvlText w:val="%5."/>
      <w:lvlJc w:val="left"/>
      <w:pPr>
        <w:ind w:left="3990" w:hanging="360"/>
      </w:pPr>
    </w:lvl>
    <w:lvl w:ilvl="5" w:tplc="041A001B">
      <w:start w:val="1"/>
      <w:numFmt w:val="lowerRoman"/>
      <w:lvlText w:val="%6."/>
      <w:lvlJc w:val="right"/>
      <w:pPr>
        <w:ind w:left="4710" w:hanging="180"/>
      </w:pPr>
    </w:lvl>
    <w:lvl w:ilvl="6" w:tplc="041A000F">
      <w:start w:val="1"/>
      <w:numFmt w:val="decimal"/>
      <w:lvlText w:val="%7."/>
      <w:lvlJc w:val="left"/>
      <w:pPr>
        <w:ind w:left="5430" w:hanging="360"/>
      </w:pPr>
    </w:lvl>
    <w:lvl w:ilvl="7" w:tplc="041A0019">
      <w:start w:val="1"/>
      <w:numFmt w:val="lowerLetter"/>
      <w:lvlText w:val="%8."/>
      <w:lvlJc w:val="left"/>
      <w:pPr>
        <w:ind w:left="6150" w:hanging="360"/>
      </w:pPr>
    </w:lvl>
    <w:lvl w:ilvl="8" w:tplc="041A001B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4F524053"/>
    <w:multiLevelType w:val="hybridMultilevel"/>
    <w:tmpl w:val="1400AC2E"/>
    <w:lvl w:ilvl="0" w:tplc="A61E66AA">
      <w:start w:val="1"/>
      <w:numFmt w:val="decimal"/>
      <w:lvlText w:val="%1."/>
      <w:lvlJc w:val="left"/>
      <w:pPr>
        <w:ind w:left="1125" w:hanging="360"/>
      </w:pPr>
    </w:lvl>
    <w:lvl w:ilvl="1" w:tplc="041A0019">
      <w:start w:val="1"/>
      <w:numFmt w:val="lowerLetter"/>
      <w:lvlText w:val="%2."/>
      <w:lvlJc w:val="left"/>
      <w:pPr>
        <w:ind w:left="1845" w:hanging="360"/>
      </w:pPr>
    </w:lvl>
    <w:lvl w:ilvl="2" w:tplc="041A001B">
      <w:start w:val="1"/>
      <w:numFmt w:val="lowerRoman"/>
      <w:lvlText w:val="%3."/>
      <w:lvlJc w:val="right"/>
      <w:pPr>
        <w:ind w:left="2565" w:hanging="180"/>
      </w:pPr>
    </w:lvl>
    <w:lvl w:ilvl="3" w:tplc="041A000F">
      <w:start w:val="1"/>
      <w:numFmt w:val="decimal"/>
      <w:lvlText w:val="%4."/>
      <w:lvlJc w:val="left"/>
      <w:pPr>
        <w:ind w:left="3285" w:hanging="360"/>
      </w:pPr>
    </w:lvl>
    <w:lvl w:ilvl="4" w:tplc="041A0019">
      <w:start w:val="1"/>
      <w:numFmt w:val="lowerLetter"/>
      <w:lvlText w:val="%5."/>
      <w:lvlJc w:val="left"/>
      <w:pPr>
        <w:ind w:left="4005" w:hanging="360"/>
      </w:pPr>
    </w:lvl>
    <w:lvl w:ilvl="5" w:tplc="041A001B">
      <w:start w:val="1"/>
      <w:numFmt w:val="lowerRoman"/>
      <w:lvlText w:val="%6."/>
      <w:lvlJc w:val="right"/>
      <w:pPr>
        <w:ind w:left="4725" w:hanging="180"/>
      </w:pPr>
    </w:lvl>
    <w:lvl w:ilvl="6" w:tplc="041A000F">
      <w:start w:val="1"/>
      <w:numFmt w:val="decimal"/>
      <w:lvlText w:val="%7."/>
      <w:lvlJc w:val="left"/>
      <w:pPr>
        <w:ind w:left="5445" w:hanging="360"/>
      </w:pPr>
    </w:lvl>
    <w:lvl w:ilvl="7" w:tplc="041A0019">
      <w:start w:val="1"/>
      <w:numFmt w:val="lowerLetter"/>
      <w:lvlText w:val="%8."/>
      <w:lvlJc w:val="left"/>
      <w:pPr>
        <w:ind w:left="6165" w:hanging="360"/>
      </w:pPr>
    </w:lvl>
    <w:lvl w:ilvl="8" w:tplc="041A001B">
      <w:start w:val="1"/>
      <w:numFmt w:val="lowerRoman"/>
      <w:lvlText w:val="%9."/>
      <w:lvlJc w:val="right"/>
      <w:pPr>
        <w:ind w:left="6885" w:hanging="180"/>
      </w:pPr>
    </w:lvl>
  </w:abstractNum>
  <w:abstractNum w:abstractNumId="5">
    <w:nsid w:val="5453441E"/>
    <w:multiLevelType w:val="hybridMultilevel"/>
    <w:tmpl w:val="7A06D0EA"/>
    <w:lvl w:ilvl="0" w:tplc="AE8CE0B0">
      <w:start w:val="1"/>
      <w:numFmt w:val="decimal"/>
      <w:lvlText w:val="(%1)"/>
      <w:lvlJc w:val="left"/>
      <w:pPr>
        <w:ind w:left="750" w:hanging="39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D01DAC"/>
    <w:multiLevelType w:val="hybridMultilevel"/>
    <w:tmpl w:val="FEF0C27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A4434"/>
    <w:multiLevelType w:val="hybridMultilevel"/>
    <w:tmpl w:val="ED16147A"/>
    <w:lvl w:ilvl="0" w:tplc="0E52B1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B0"/>
    <w:rsid w:val="00147383"/>
    <w:rsid w:val="004F482C"/>
    <w:rsid w:val="00805CB0"/>
    <w:rsid w:val="00855419"/>
    <w:rsid w:val="00910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83"/>
    <w:pPr>
      <w:spacing w:after="0" w:line="240" w:lineRule="auto"/>
    </w:pPr>
    <w:rPr>
      <w:rFonts w:ascii="Arial" w:eastAsia="Calibri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14738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semiHidden/>
    <w:locked/>
    <w:rsid w:val="00147383"/>
    <w:rPr>
      <w:rFonts w:ascii="Calibri" w:eastAsia="Calibri" w:hAnsi="Calibri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rsid w:val="00147383"/>
    <w:pPr>
      <w:spacing w:after="120"/>
      <w:ind w:left="283"/>
    </w:pPr>
    <w:rPr>
      <w:rFonts w:ascii="Calibri" w:hAnsi="Calibri" w:cstheme="minorBidi"/>
      <w:color w:val="000000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47383"/>
    <w:rPr>
      <w:rFonts w:ascii="Arial" w:eastAsia="Calibri" w:hAnsi="Arial" w:cs="Times New Roman"/>
      <w:sz w:val="24"/>
      <w:szCs w:val="24"/>
      <w:lang w:eastAsia="hr-HR"/>
    </w:rPr>
  </w:style>
  <w:style w:type="paragraph" w:styleId="NoSpacing">
    <w:name w:val="No Spacing"/>
    <w:qFormat/>
    <w:rsid w:val="001473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-9-8">
    <w:name w:val="t-9-8"/>
    <w:basedOn w:val="Normal"/>
    <w:rsid w:val="009100A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lanak">
    <w:name w:val="clanak"/>
    <w:basedOn w:val="Normal"/>
    <w:rsid w:val="009100A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83"/>
    <w:pPr>
      <w:spacing w:after="0" w:line="240" w:lineRule="auto"/>
    </w:pPr>
    <w:rPr>
      <w:rFonts w:ascii="Arial" w:eastAsia="Calibri" w:hAnsi="Arial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14738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IndentChar">
    <w:name w:val="Body Text Indent Char"/>
    <w:link w:val="BodyTextIndent"/>
    <w:semiHidden/>
    <w:locked/>
    <w:rsid w:val="00147383"/>
    <w:rPr>
      <w:rFonts w:ascii="Calibri" w:eastAsia="Calibri" w:hAnsi="Calibri"/>
      <w:color w:val="000000"/>
      <w:sz w:val="24"/>
    </w:rPr>
  </w:style>
  <w:style w:type="paragraph" w:styleId="BodyTextIndent">
    <w:name w:val="Body Text Indent"/>
    <w:basedOn w:val="Normal"/>
    <w:link w:val="BodyTextIndentChar"/>
    <w:semiHidden/>
    <w:rsid w:val="00147383"/>
    <w:pPr>
      <w:spacing w:after="120"/>
      <w:ind w:left="283"/>
    </w:pPr>
    <w:rPr>
      <w:rFonts w:ascii="Calibri" w:hAnsi="Calibri" w:cstheme="minorBidi"/>
      <w:color w:val="000000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147383"/>
    <w:rPr>
      <w:rFonts w:ascii="Arial" w:eastAsia="Calibri" w:hAnsi="Arial" w:cs="Times New Roman"/>
      <w:sz w:val="24"/>
      <w:szCs w:val="24"/>
      <w:lang w:eastAsia="hr-HR"/>
    </w:rPr>
  </w:style>
  <w:style w:type="paragraph" w:styleId="NoSpacing">
    <w:name w:val="No Spacing"/>
    <w:qFormat/>
    <w:rsid w:val="001473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-9-8">
    <w:name w:val="t-9-8"/>
    <w:basedOn w:val="Normal"/>
    <w:rsid w:val="009100A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clanak">
    <w:name w:val="clanak"/>
    <w:basedOn w:val="Normal"/>
    <w:rsid w:val="009100A1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vatref1</dc:creator>
  <cp:lastModifiedBy>vatref1</cp:lastModifiedBy>
  <cp:revision>2</cp:revision>
  <dcterms:created xsi:type="dcterms:W3CDTF">2016-04-26T07:00:00Z</dcterms:created>
  <dcterms:modified xsi:type="dcterms:W3CDTF">2016-04-26T07:00:00Z</dcterms:modified>
</cp:coreProperties>
</file>