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68F" w:rsidRDefault="00A04E41" w:rsidP="005B068F">
      <w:pPr>
        <w:jc w:val="both"/>
      </w:pPr>
      <w:r>
        <w:rPr>
          <w:noProof/>
        </w:rPr>
        <w:t>N</w:t>
      </w:r>
      <w:r w:rsidR="005B068F" w:rsidRPr="004B17CF">
        <w:rPr>
          <w:noProof/>
        </w:rPr>
        <w:t>a temelju</w:t>
      </w:r>
      <w:r w:rsidR="005B068F" w:rsidRPr="004B17CF">
        <w:t xml:space="preserve"> članka 32. Statuta Grada Dubrovnika </w:t>
      </w:r>
      <w:r w:rsidR="005B068F" w:rsidRPr="004B17CF">
        <w:rPr>
          <w:bCs/>
        </w:rPr>
        <w:t>(''Službeni glasnik Grada Dubrovnika'', broj</w:t>
      </w:r>
      <w:r w:rsidR="005B068F" w:rsidRPr="004B17CF">
        <w:rPr>
          <w:bCs/>
        </w:rPr>
        <w:softHyphen/>
        <w:t xml:space="preserve"> 4/09., 6/10., 3/11., 14/12., 5/13., 6/</w:t>
      </w:r>
      <w:r w:rsidR="005B068F">
        <w:rPr>
          <w:bCs/>
        </w:rPr>
        <w:t xml:space="preserve">13. – pročišćeni tekst i 9/15.) </w:t>
      </w:r>
      <w:r w:rsidR="005B068F" w:rsidRPr="004B17CF">
        <w:t xml:space="preserve">Gradsko vijeće Grada Dubrovnika </w:t>
      </w:r>
      <w:r w:rsidR="00E941A3">
        <w:t>na 22. sjednici, održanoj 25. i 26. srpnja 2016. godine donijelo je</w:t>
      </w:r>
      <w:r w:rsidR="00B45A5C">
        <w:t>:</w:t>
      </w:r>
      <w:r w:rsidR="005B068F" w:rsidRPr="004B17CF">
        <w:t xml:space="preserve"> </w:t>
      </w:r>
    </w:p>
    <w:p w:rsidR="006776CA" w:rsidRPr="0031194B" w:rsidRDefault="006776CA" w:rsidP="006776CA">
      <w:pPr>
        <w:pStyle w:val="NormalWeb"/>
        <w:jc w:val="center"/>
        <w:rPr>
          <w:noProof/>
        </w:rPr>
      </w:pPr>
      <w:r w:rsidRPr="0031194B">
        <w:rPr>
          <w:b/>
          <w:bCs/>
          <w:noProof/>
        </w:rPr>
        <w:t>PRAVILNIK</w:t>
      </w:r>
      <w:r w:rsidRPr="0031194B">
        <w:rPr>
          <w:b/>
          <w:bCs/>
          <w:noProof/>
        </w:rPr>
        <w:br/>
        <w:t xml:space="preserve">o postupku donošenja Programa javnih potreba </w:t>
      </w:r>
      <w:r w:rsidRPr="0031194B">
        <w:rPr>
          <w:b/>
          <w:bCs/>
          <w:noProof/>
        </w:rPr>
        <w:br/>
        <w:t>u kulturi Grada Dubrovnika</w:t>
      </w:r>
    </w:p>
    <w:p w:rsidR="006776CA" w:rsidRPr="0031194B" w:rsidRDefault="006776CA" w:rsidP="006776CA">
      <w:pPr>
        <w:pStyle w:val="NormalWeb"/>
        <w:jc w:val="center"/>
        <w:rPr>
          <w:noProof/>
        </w:rPr>
      </w:pPr>
      <w:r w:rsidRPr="0031194B">
        <w:rPr>
          <w:noProof/>
        </w:rPr>
        <w:t>I. OPĆA ODREDBA</w:t>
      </w:r>
    </w:p>
    <w:p w:rsidR="006776CA" w:rsidRPr="0031194B" w:rsidRDefault="006776CA" w:rsidP="006776CA">
      <w:pPr>
        <w:pStyle w:val="NormalWeb"/>
        <w:jc w:val="center"/>
        <w:rPr>
          <w:noProof/>
        </w:rPr>
      </w:pPr>
      <w:r w:rsidRPr="0031194B">
        <w:rPr>
          <w:noProof/>
        </w:rPr>
        <w:t>Članak 1.</w:t>
      </w:r>
    </w:p>
    <w:p w:rsidR="006776CA" w:rsidRPr="0031194B" w:rsidRDefault="006776CA" w:rsidP="006776CA">
      <w:pPr>
        <w:pStyle w:val="NormalWeb"/>
        <w:jc w:val="both"/>
        <w:rPr>
          <w:noProof/>
          <w:color w:val="548DD4"/>
        </w:rPr>
      </w:pPr>
      <w:r w:rsidRPr="0031194B">
        <w:rPr>
          <w:noProof/>
        </w:rPr>
        <w:t>Ovim Pravilnikom uređuju se rokovi, kriteriji te postupak izrade i donošenja Programa javnih potreba u kulturi Grada Dubrovnika (u daljnjem tekstu: Program) za koji se sredstva osiguravaju u Proračunu Grada Dubrovnika (u daljnjem tekstu: Grad) kao i način praćenja korištenja dodijeljenih sredstava</w:t>
      </w:r>
      <w:r w:rsidRPr="00590EDA">
        <w:rPr>
          <w:noProof/>
          <w:color w:val="000000" w:themeColor="text1"/>
        </w:rPr>
        <w:t>, sve sukladno Zakonu o financiranju javnih potreba u kulturi (NN 47/90, 27/93, 38/09), Zakonu o kulturnim vijećima (NN 48/04, 44/09, 68/13), Zakonu o udrugama (NN 74/14)</w:t>
      </w:r>
      <w:r w:rsidR="00A04E41">
        <w:rPr>
          <w:noProof/>
          <w:color w:val="000000" w:themeColor="text1"/>
        </w:rPr>
        <w:t>,</w:t>
      </w:r>
      <w:r w:rsidRPr="00590EDA">
        <w:rPr>
          <w:noProof/>
          <w:color w:val="000000" w:themeColor="text1"/>
        </w:rPr>
        <w:t xml:space="preserve"> Uredbi o kriterijima, mjerilima i postupcima financiranja i ugovaranja programa i projekata od interesa za opće dobro koje provode udruge (NN 26/15)</w:t>
      </w:r>
      <w:r w:rsidR="00B45A5C">
        <w:rPr>
          <w:noProof/>
          <w:color w:val="000000" w:themeColor="text1"/>
        </w:rPr>
        <w:t>,</w:t>
      </w:r>
      <w:r w:rsidR="00A04E41" w:rsidRPr="00A04E41">
        <w:t xml:space="preserve"> </w:t>
      </w:r>
      <w:r w:rsidR="00A04E41">
        <w:t xml:space="preserve">kao i </w:t>
      </w:r>
      <w:r w:rsidR="00A04E41" w:rsidRPr="005B068F">
        <w:t>Odluk</w:t>
      </w:r>
      <w:r w:rsidR="00A04E41">
        <w:t>e</w:t>
      </w:r>
      <w:r w:rsidR="00A04E41" w:rsidRPr="005B068F">
        <w:t xml:space="preserve"> </w:t>
      </w:r>
      <w:r w:rsidR="00A04E41">
        <w:t xml:space="preserve">Grada Dubrovnika </w:t>
      </w:r>
      <w:r w:rsidR="00A04E41" w:rsidRPr="005B068F">
        <w:t>o financiranju programa, projekata i manifestacija koje provode organizacije civilnog društva</w:t>
      </w:r>
      <w:r w:rsidRPr="00590EDA">
        <w:rPr>
          <w:noProof/>
          <w:color w:val="000000" w:themeColor="text1"/>
        </w:rPr>
        <w:t>.</w:t>
      </w:r>
    </w:p>
    <w:p w:rsidR="006776CA" w:rsidRPr="0031194B" w:rsidRDefault="006776CA" w:rsidP="006776CA">
      <w:pPr>
        <w:pStyle w:val="NormalWeb"/>
        <w:jc w:val="center"/>
        <w:rPr>
          <w:noProof/>
        </w:rPr>
      </w:pPr>
      <w:r w:rsidRPr="0031194B">
        <w:rPr>
          <w:noProof/>
        </w:rPr>
        <w:t>II. POSTUPAK PODNOŠENJA PRIJAVA ZA PROGRAME</w:t>
      </w:r>
    </w:p>
    <w:p w:rsidR="006776CA" w:rsidRPr="0031194B" w:rsidRDefault="006776CA" w:rsidP="006776CA">
      <w:pPr>
        <w:pStyle w:val="NormalWeb"/>
        <w:jc w:val="center"/>
        <w:rPr>
          <w:noProof/>
        </w:rPr>
      </w:pPr>
      <w:r w:rsidRPr="0031194B">
        <w:rPr>
          <w:noProof/>
        </w:rPr>
        <w:t>Članak 2.</w:t>
      </w:r>
    </w:p>
    <w:p w:rsidR="006776CA" w:rsidRPr="0031194B" w:rsidRDefault="006776CA" w:rsidP="006776CA">
      <w:pPr>
        <w:pStyle w:val="NormalWeb"/>
        <w:jc w:val="both"/>
        <w:rPr>
          <w:noProof/>
          <w:color w:val="auto"/>
        </w:rPr>
      </w:pPr>
      <w:r w:rsidRPr="0031194B">
        <w:rPr>
          <w:noProof/>
        </w:rPr>
        <w:t>Utvrđivanje kulturnih programa od interesa za Grad</w:t>
      </w:r>
      <w:r w:rsidR="00895C51">
        <w:rPr>
          <w:noProof/>
        </w:rPr>
        <w:t>,</w:t>
      </w:r>
      <w:r w:rsidRPr="0031194B">
        <w:rPr>
          <w:noProof/>
        </w:rPr>
        <w:t xml:space="preserve"> njihovo uvrštavanje u Program </w:t>
      </w:r>
      <w:r w:rsidR="00895C51" w:rsidRPr="00B45A5C">
        <w:rPr>
          <w:noProof/>
          <w:color w:val="000000" w:themeColor="text1"/>
        </w:rPr>
        <w:t>i raspodjela sredstava</w:t>
      </w:r>
      <w:r w:rsidR="00895C51">
        <w:rPr>
          <w:noProof/>
        </w:rPr>
        <w:t xml:space="preserve"> </w:t>
      </w:r>
      <w:r w:rsidRPr="0031194B">
        <w:rPr>
          <w:noProof/>
        </w:rPr>
        <w:t xml:space="preserve">provodi </w:t>
      </w:r>
      <w:r w:rsidRPr="0031194B">
        <w:rPr>
          <w:noProof/>
          <w:color w:val="auto"/>
        </w:rPr>
        <w:t>se putem javnog poziva (u daljnjem tekstu: Poziv) koji raspisuje Upravni odjel za kulturu i baštinu Grada Dubrovnika (u daljnjem tekstu: Odjel).</w:t>
      </w:r>
    </w:p>
    <w:p w:rsidR="006776CA" w:rsidRPr="0031194B" w:rsidRDefault="006776CA" w:rsidP="006776CA">
      <w:pPr>
        <w:pStyle w:val="NormalWeb"/>
        <w:jc w:val="center"/>
        <w:rPr>
          <w:noProof/>
        </w:rPr>
      </w:pPr>
      <w:r w:rsidRPr="0031194B">
        <w:rPr>
          <w:noProof/>
        </w:rPr>
        <w:t>Članak 3.</w:t>
      </w:r>
    </w:p>
    <w:p w:rsidR="006776CA" w:rsidRPr="0031194B" w:rsidRDefault="006776CA" w:rsidP="006776CA">
      <w:pPr>
        <w:pStyle w:val="NormalWeb"/>
        <w:jc w:val="both"/>
        <w:rPr>
          <w:noProof/>
        </w:rPr>
      </w:pPr>
      <w:r w:rsidRPr="002606A2">
        <w:rPr>
          <w:noProof/>
          <w:color w:val="000000" w:themeColor="text1"/>
        </w:rPr>
        <w:t xml:space="preserve">Pozivom se osigurava transparentnost dodjele financijskih sredstava i omogućava odabir najkvalitetnijih programa i projekata koji su od interesa za opće dobro. </w:t>
      </w:r>
      <w:r w:rsidR="00BB0DC5">
        <w:rPr>
          <w:noProof/>
          <w:color w:val="000000" w:themeColor="text1"/>
        </w:rPr>
        <w:t>Tekst javnog poziva</w:t>
      </w:r>
      <w:r w:rsidRPr="002606A2">
        <w:rPr>
          <w:noProof/>
          <w:color w:val="000000" w:themeColor="text1"/>
        </w:rPr>
        <w:t xml:space="preserve"> se objavljuje u javnim glasilima i na web stranici Grada, a </w:t>
      </w:r>
      <w:r w:rsidR="00BB0DC5">
        <w:rPr>
          <w:noProof/>
          <w:color w:val="000000" w:themeColor="text1"/>
        </w:rPr>
        <w:t xml:space="preserve">Poziv je </w:t>
      </w:r>
      <w:r w:rsidRPr="002606A2">
        <w:rPr>
          <w:noProof/>
          <w:color w:val="000000" w:themeColor="text1"/>
        </w:rPr>
        <w:t>otvoren za podnošenje prijava najmanje</w:t>
      </w:r>
      <w:r w:rsidRPr="0031194B">
        <w:rPr>
          <w:noProof/>
        </w:rPr>
        <w:t xml:space="preserve"> 30 dana od dana njegove objave.</w:t>
      </w:r>
    </w:p>
    <w:p w:rsidR="006776CA" w:rsidRPr="0031194B" w:rsidRDefault="006776CA" w:rsidP="006776CA">
      <w:pPr>
        <w:pStyle w:val="NormalWeb"/>
        <w:jc w:val="center"/>
        <w:rPr>
          <w:noProof/>
        </w:rPr>
      </w:pPr>
      <w:r w:rsidRPr="0031194B">
        <w:rPr>
          <w:noProof/>
        </w:rPr>
        <w:t>Članak 4.</w:t>
      </w:r>
    </w:p>
    <w:p w:rsidR="004E3C4A" w:rsidRDefault="006776CA" w:rsidP="006776CA">
      <w:pPr>
        <w:pStyle w:val="NormalWeb"/>
        <w:jc w:val="both"/>
        <w:rPr>
          <w:iCs/>
          <w:noProof/>
          <w:color w:val="000000" w:themeColor="text1"/>
        </w:rPr>
      </w:pPr>
      <w:r w:rsidRPr="002606A2">
        <w:rPr>
          <w:noProof/>
          <w:color w:val="000000" w:themeColor="text1"/>
        </w:rPr>
        <w:t xml:space="preserve">Poziv se raspisuje za kulturne programe </w:t>
      </w:r>
      <w:r w:rsidRPr="002606A2">
        <w:rPr>
          <w:iCs/>
          <w:noProof/>
          <w:color w:val="000000" w:themeColor="text1"/>
        </w:rPr>
        <w:t>koje provode</w:t>
      </w:r>
      <w:r w:rsidRPr="002606A2">
        <w:rPr>
          <w:noProof/>
          <w:color w:val="000000" w:themeColor="text1"/>
        </w:rPr>
        <w:t xml:space="preserve"> </w:t>
      </w:r>
      <w:r w:rsidRPr="002606A2">
        <w:rPr>
          <w:iCs/>
          <w:noProof/>
          <w:color w:val="000000" w:themeColor="text1"/>
        </w:rPr>
        <w:t>ustanove u kulturi kojima je Grad osnivač ili suosnivač, strukovne i ostale udruge u kulturi, umjetničke organizacije, samostalni umjetnici</w:t>
      </w:r>
      <w:r>
        <w:rPr>
          <w:iCs/>
          <w:noProof/>
          <w:color w:val="000000" w:themeColor="text1"/>
        </w:rPr>
        <w:t>, fizičke osobe</w:t>
      </w:r>
      <w:r w:rsidRPr="002606A2">
        <w:rPr>
          <w:iCs/>
          <w:noProof/>
          <w:color w:val="000000" w:themeColor="text1"/>
        </w:rPr>
        <w:t xml:space="preserve"> i druge organizacije koje se bave kulturnim programima</w:t>
      </w:r>
      <w:r w:rsidR="004E3C4A">
        <w:rPr>
          <w:iCs/>
          <w:noProof/>
          <w:color w:val="000000" w:themeColor="text1"/>
        </w:rPr>
        <w:t xml:space="preserve">. </w:t>
      </w:r>
    </w:p>
    <w:p w:rsidR="006776CA" w:rsidRPr="002606A2" w:rsidRDefault="004E3C4A" w:rsidP="006776CA">
      <w:pPr>
        <w:pStyle w:val="NormalWeb"/>
        <w:jc w:val="both"/>
        <w:rPr>
          <w:noProof/>
          <w:color w:val="000000" w:themeColor="text1"/>
        </w:rPr>
      </w:pPr>
      <w:r>
        <w:rPr>
          <w:iCs/>
          <w:noProof/>
          <w:color w:val="000000" w:themeColor="text1"/>
        </w:rPr>
        <w:t>Na Poziv se mogu prijaviti</w:t>
      </w:r>
      <w:r w:rsidR="006776CA" w:rsidRPr="002606A2">
        <w:rPr>
          <w:noProof/>
          <w:color w:val="000000" w:themeColor="text1"/>
        </w:rPr>
        <w:t>:</w:t>
      </w:r>
    </w:p>
    <w:p w:rsidR="006776CA" w:rsidRPr="0031194B" w:rsidRDefault="00742CF2" w:rsidP="006776CA">
      <w:pPr>
        <w:pStyle w:val="NormalWeb"/>
        <w:numPr>
          <w:ilvl w:val="0"/>
          <w:numId w:val="2"/>
        </w:numPr>
        <w:rPr>
          <w:noProof/>
        </w:rPr>
      </w:pPr>
      <w:r>
        <w:rPr>
          <w:iCs/>
          <w:noProof/>
          <w:color w:val="000000" w:themeColor="text1"/>
        </w:rPr>
        <w:t>programi</w:t>
      </w:r>
      <w:r>
        <w:rPr>
          <w:noProof/>
        </w:rPr>
        <w:t xml:space="preserve"> </w:t>
      </w:r>
      <w:r w:rsidR="004E3C4A">
        <w:rPr>
          <w:noProof/>
        </w:rPr>
        <w:t xml:space="preserve">iz područja </w:t>
      </w:r>
      <w:r w:rsidR="006776CA" w:rsidRPr="0031194B">
        <w:rPr>
          <w:noProof/>
        </w:rPr>
        <w:t>muzejsko-galerijske djelatnosti;</w:t>
      </w:r>
    </w:p>
    <w:p w:rsidR="006776CA" w:rsidRPr="0031194B" w:rsidRDefault="00742CF2" w:rsidP="006776CA">
      <w:pPr>
        <w:pStyle w:val="NormalWeb"/>
        <w:numPr>
          <w:ilvl w:val="0"/>
          <w:numId w:val="2"/>
        </w:numPr>
        <w:rPr>
          <w:noProof/>
        </w:rPr>
      </w:pPr>
      <w:r>
        <w:rPr>
          <w:iCs/>
          <w:noProof/>
          <w:color w:val="000000" w:themeColor="text1"/>
        </w:rPr>
        <w:t>programi</w:t>
      </w:r>
      <w:r>
        <w:rPr>
          <w:noProof/>
        </w:rPr>
        <w:t xml:space="preserve"> </w:t>
      </w:r>
      <w:r w:rsidR="004E3C4A">
        <w:rPr>
          <w:noProof/>
        </w:rPr>
        <w:t xml:space="preserve">iz područja </w:t>
      </w:r>
      <w:r w:rsidR="006776CA" w:rsidRPr="0031194B">
        <w:rPr>
          <w:noProof/>
        </w:rPr>
        <w:t xml:space="preserve">dramske i plesne umjetnosti te </w:t>
      </w:r>
      <w:r w:rsidR="002B605E" w:rsidRPr="00B45A5C">
        <w:rPr>
          <w:noProof/>
          <w:color w:val="000000" w:themeColor="text1"/>
        </w:rPr>
        <w:t xml:space="preserve">drugih </w:t>
      </w:r>
      <w:r w:rsidR="006776CA" w:rsidRPr="00B45A5C">
        <w:rPr>
          <w:noProof/>
          <w:color w:val="000000" w:themeColor="text1"/>
        </w:rPr>
        <w:t>izvedben</w:t>
      </w:r>
      <w:r w:rsidR="002B605E" w:rsidRPr="00B45A5C">
        <w:rPr>
          <w:noProof/>
          <w:color w:val="000000" w:themeColor="text1"/>
        </w:rPr>
        <w:t>ih</w:t>
      </w:r>
      <w:r w:rsidR="006776CA" w:rsidRPr="00B45A5C">
        <w:rPr>
          <w:noProof/>
          <w:color w:val="000000" w:themeColor="text1"/>
        </w:rPr>
        <w:t xml:space="preserve"> umjetnosti</w:t>
      </w:r>
      <w:r w:rsidR="006776CA" w:rsidRPr="0031194B">
        <w:rPr>
          <w:noProof/>
        </w:rPr>
        <w:t>;</w:t>
      </w:r>
    </w:p>
    <w:p w:rsidR="006776CA" w:rsidRPr="0031194B" w:rsidRDefault="00742CF2" w:rsidP="006776CA">
      <w:pPr>
        <w:pStyle w:val="NormalWeb"/>
        <w:numPr>
          <w:ilvl w:val="0"/>
          <w:numId w:val="2"/>
        </w:numPr>
        <w:rPr>
          <w:noProof/>
        </w:rPr>
      </w:pPr>
      <w:r>
        <w:rPr>
          <w:iCs/>
          <w:noProof/>
          <w:color w:val="000000" w:themeColor="text1"/>
        </w:rPr>
        <w:t>programi</w:t>
      </w:r>
      <w:r>
        <w:rPr>
          <w:noProof/>
        </w:rPr>
        <w:t xml:space="preserve"> iz područja </w:t>
      </w:r>
      <w:r w:rsidR="006776CA" w:rsidRPr="0031194B">
        <w:rPr>
          <w:noProof/>
        </w:rPr>
        <w:t>glazbe i glazbeno-scensko</w:t>
      </w:r>
      <w:r w:rsidR="002B605E">
        <w:rPr>
          <w:noProof/>
        </w:rPr>
        <w:t>g</w:t>
      </w:r>
      <w:r w:rsidR="006776CA" w:rsidRPr="0031194B">
        <w:rPr>
          <w:noProof/>
        </w:rPr>
        <w:t xml:space="preserve"> stvaralaštv</w:t>
      </w:r>
      <w:r w:rsidR="002B605E">
        <w:rPr>
          <w:noProof/>
        </w:rPr>
        <w:t>a</w:t>
      </w:r>
      <w:r w:rsidR="006776CA" w:rsidRPr="0031194B">
        <w:rPr>
          <w:noProof/>
        </w:rPr>
        <w:t>;</w:t>
      </w:r>
    </w:p>
    <w:p w:rsidR="006776CA" w:rsidRPr="0031194B" w:rsidRDefault="00742CF2" w:rsidP="006776CA">
      <w:pPr>
        <w:pStyle w:val="NormalWeb"/>
        <w:numPr>
          <w:ilvl w:val="0"/>
          <w:numId w:val="2"/>
        </w:numPr>
        <w:rPr>
          <w:noProof/>
        </w:rPr>
      </w:pPr>
      <w:r>
        <w:rPr>
          <w:iCs/>
          <w:noProof/>
          <w:color w:val="000000" w:themeColor="text1"/>
        </w:rPr>
        <w:t>programi</w:t>
      </w:r>
      <w:r>
        <w:rPr>
          <w:noProof/>
        </w:rPr>
        <w:t xml:space="preserve"> iz područja </w:t>
      </w:r>
      <w:r w:rsidR="006776CA" w:rsidRPr="0031194B">
        <w:rPr>
          <w:noProof/>
        </w:rPr>
        <w:t>likovne umjetnosti,</w:t>
      </w:r>
      <w:r w:rsidR="006776CA" w:rsidRPr="00B45A5C">
        <w:rPr>
          <w:noProof/>
          <w:color w:val="000000" w:themeColor="text1"/>
        </w:rPr>
        <w:t xml:space="preserve"> dizajn</w:t>
      </w:r>
      <w:r w:rsidR="002B605E" w:rsidRPr="00B45A5C">
        <w:rPr>
          <w:noProof/>
          <w:color w:val="000000" w:themeColor="text1"/>
        </w:rPr>
        <w:t>a</w:t>
      </w:r>
      <w:r w:rsidR="006776CA" w:rsidRPr="00B45A5C">
        <w:rPr>
          <w:noProof/>
          <w:color w:val="000000" w:themeColor="text1"/>
        </w:rPr>
        <w:t xml:space="preserve"> i arhitektur</w:t>
      </w:r>
      <w:r w:rsidR="002B605E" w:rsidRPr="00B45A5C">
        <w:rPr>
          <w:noProof/>
          <w:color w:val="000000" w:themeColor="text1"/>
        </w:rPr>
        <w:t>e</w:t>
      </w:r>
      <w:r w:rsidR="006776CA" w:rsidRPr="00B45A5C">
        <w:rPr>
          <w:noProof/>
          <w:color w:val="000000" w:themeColor="text1"/>
        </w:rPr>
        <w:t>;</w:t>
      </w:r>
    </w:p>
    <w:p w:rsidR="003E0B4D" w:rsidRPr="003E0B4D" w:rsidRDefault="00742CF2" w:rsidP="006776CA">
      <w:pPr>
        <w:pStyle w:val="NormalWeb"/>
        <w:numPr>
          <w:ilvl w:val="0"/>
          <w:numId w:val="2"/>
        </w:numPr>
        <w:rPr>
          <w:noProof/>
        </w:rPr>
      </w:pPr>
      <w:r w:rsidRPr="003E0B4D">
        <w:rPr>
          <w:iCs/>
          <w:noProof/>
          <w:color w:val="000000" w:themeColor="text1"/>
        </w:rPr>
        <w:t>programi</w:t>
      </w:r>
      <w:r>
        <w:rPr>
          <w:noProof/>
        </w:rPr>
        <w:t xml:space="preserve"> iz područja </w:t>
      </w:r>
      <w:r w:rsidR="006776CA" w:rsidRPr="0031194B">
        <w:rPr>
          <w:noProof/>
        </w:rPr>
        <w:t>knjižne djelatnosti</w:t>
      </w:r>
      <w:r>
        <w:rPr>
          <w:noProof/>
        </w:rPr>
        <w:t xml:space="preserve"> te</w:t>
      </w:r>
      <w:r w:rsidR="006776CA" w:rsidRPr="0031194B">
        <w:rPr>
          <w:noProof/>
        </w:rPr>
        <w:t xml:space="preserve"> izdavanj</w:t>
      </w:r>
      <w:r w:rsidR="002B605E" w:rsidRPr="003E0B4D">
        <w:rPr>
          <w:noProof/>
          <w:color w:val="000000" w:themeColor="text1"/>
        </w:rPr>
        <w:t>a</w:t>
      </w:r>
      <w:r w:rsidR="006776CA" w:rsidRPr="0031194B">
        <w:rPr>
          <w:noProof/>
        </w:rPr>
        <w:t xml:space="preserve"> knjiga i časopisa u kulturi</w:t>
      </w:r>
      <w:r w:rsidR="003E0B4D">
        <w:rPr>
          <w:noProof/>
        </w:rPr>
        <w:t>;</w:t>
      </w:r>
      <w:r w:rsidR="006776CA" w:rsidRPr="0031194B">
        <w:rPr>
          <w:noProof/>
        </w:rPr>
        <w:t xml:space="preserve"> </w:t>
      </w:r>
    </w:p>
    <w:p w:rsidR="006776CA" w:rsidRPr="0031194B" w:rsidRDefault="006776CA" w:rsidP="006776CA">
      <w:pPr>
        <w:pStyle w:val="NormalWeb"/>
        <w:numPr>
          <w:ilvl w:val="0"/>
          <w:numId w:val="2"/>
        </w:numPr>
        <w:rPr>
          <w:noProof/>
        </w:rPr>
      </w:pPr>
      <w:r w:rsidRPr="00742CF2">
        <w:rPr>
          <w:noProof/>
        </w:rPr>
        <w:lastRenderedPageBreak/>
        <w:t>programi poticanja</w:t>
      </w:r>
      <w:r w:rsidRPr="0031194B">
        <w:rPr>
          <w:noProof/>
        </w:rPr>
        <w:t xml:space="preserve"> kulturno-umjetničkog amaterizma;</w:t>
      </w:r>
    </w:p>
    <w:p w:rsidR="006776CA" w:rsidRPr="0031194B" w:rsidRDefault="006776CA" w:rsidP="006776CA">
      <w:pPr>
        <w:pStyle w:val="NormalWeb"/>
        <w:numPr>
          <w:ilvl w:val="0"/>
          <w:numId w:val="2"/>
        </w:numPr>
        <w:rPr>
          <w:noProof/>
        </w:rPr>
      </w:pPr>
      <w:r w:rsidRPr="00742CF2">
        <w:rPr>
          <w:noProof/>
        </w:rPr>
        <w:t>programi</w:t>
      </w:r>
      <w:r w:rsidRPr="0031194B">
        <w:rPr>
          <w:noProof/>
        </w:rPr>
        <w:t xml:space="preserve"> poticanja razvitka filmske i audiovizualne kulture;</w:t>
      </w:r>
    </w:p>
    <w:p w:rsidR="006776CA" w:rsidRPr="003E0B4D" w:rsidRDefault="006776CA" w:rsidP="006776CA">
      <w:pPr>
        <w:pStyle w:val="NormalWeb"/>
        <w:numPr>
          <w:ilvl w:val="0"/>
          <w:numId w:val="2"/>
        </w:numPr>
        <w:rPr>
          <w:noProof/>
          <w:color w:val="000000" w:themeColor="text1"/>
        </w:rPr>
      </w:pPr>
      <w:r w:rsidRPr="004F0F32">
        <w:rPr>
          <w:noProof/>
          <w:color w:val="000000" w:themeColor="text1"/>
        </w:rPr>
        <w:t xml:space="preserve">programi koji </w:t>
      </w:r>
      <w:r w:rsidRPr="003E0B4D">
        <w:rPr>
          <w:noProof/>
          <w:color w:val="000000" w:themeColor="text1"/>
        </w:rPr>
        <w:t>promiču kultur</w:t>
      </w:r>
      <w:r w:rsidR="004F0F32" w:rsidRPr="003E0B4D">
        <w:rPr>
          <w:noProof/>
          <w:color w:val="000000" w:themeColor="text1"/>
        </w:rPr>
        <w:t>u</w:t>
      </w:r>
      <w:r w:rsidRPr="003E0B4D">
        <w:rPr>
          <w:noProof/>
          <w:color w:val="000000" w:themeColor="text1"/>
        </w:rPr>
        <w:t xml:space="preserve"> mladih; </w:t>
      </w:r>
    </w:p>
    <w:p w:rsidR="006776CA" w:rsidRPr="002606A2" w:rsidRDefault="004F0F32" w:rsidP="006776CA">
      <w:pPr>
        <w:pStyle w:val="NormalWeb"/>
        <w:numPr>
          <w:ilvl w:val="0"/>
          <w:numId w:val="2"/>
        </w:numPr>
        <w:rPr>
          <w:noProof/>
          <w:color w:val="000000" w:themeColor="text1"/>
        </w:rPr>
      </w:pPr>
      <w:r w:rsidRPr="003E0B4D">
        <w:rPr>
          <w:noProof/>
          <w:color w:val="000000" w:themeColor="text1"/>
        </w:rPr>
        <w:t xml:space="preserve">programi iz područja </w:t>
      </w:r>
      <w:r w:rsidR="006776CA" w:rsidRPr="003E0B4D">
        <w:rPr>
          <w:noProof/>
          <w:color w:val="000000" w:themeColor="text1"/>
        </w:rPr>
        <w:t>nov</w:t>
      </w:r>
      <w:r w:rsidR="002B605E" w:rsidRPr="003E0B4D">
        <w:rPr>
          <w:noProof/>
          <w:color w:val="000000" w:themeColor="text1"/>
        </w:rPr>
        <w:t>ih</w:t>
      </w:r>
      <w:r w:rsidR="006776CA" w:rsidRPr="002606A2">
        <w:rPr>
          <w:noProof/>
          <w:color w:val="000000" w:themeColor="text1"/>
        </w:rPr>
        <w:t xml:space="preserve"> medijsk</w:t>
      </w:r>
      <w:r w:rsidR="002B605E">
        <w:rPr>
          <w:noProof/>
          <w:color w:val="000000" w:themeColor="text1"/>
        </w:rPr>
        <w:t>ih</w:t>
      </w:r>
      <w:r w:rsidR="006776CA" w:rsidRPr="002606A2">
        <w:rPr>
          <w:noProof/>
          <w:color w:val="000000" w:themeColor="text1"/>
        </w:rPr>
        <w:t xml:space="preserve"> kultur</w:t>
      </w:r>
      <w:r w:rsidR="002B605E">
        <w:rPr>
          <w:noProof/>
          <w:color w:val="000000" w:themeColor="text1"/>
        </w:rPr>
        <w:t>a</w:t>
      </w:r>
      <w:r w:rsidR="006776CA" w:rsidRPr="002606A2">
        <w:rPr>
          <w:noProof/>
          <w:color w:val="000000" w:themeColor="text1"/>
        </w:rPr>
        <w:t xml:space="preserve"> te inovativnih umjetničkih i kulturnih praksi;</w:t>
      </w:r>
    </w:p>
    <w:p w:rsidR="006776CA" w:rsidRPr="002606A2" w:rsidRDefault="004F0F32" w:rsidP="006776CA">
      <w:pPr>
        <w:pStyle w:val="NormalWeb"/>
        <w:numPr>
          <w:ilvl w:val="0"/>
          <w:numId w:val="2"/>
        </w:numPr>
        <w:rPr>
          <w:noProof/>
          <w:color w:val="000000" w:themeColor="text1"/>
        </w:rPr>
      </w:pPr>
      <w:r>
        <w:rPr>
          <w:noProof/>
          <w:color w:val="000000" w:themeColor="text1"/>
        </w:rPr>
        <w:t xml:space="preserve">programi </w:t>
      </w:r>
      <w:r w:rsidR="006776CA" w:rsidRPr="002606A2">
        <w:rPr>
          <w:noProof/>
          <w:color w:val="000000" w:themeColor="text1"/>
        </w:rPr>
        <w:t>zaštit</w:t>
      </w:r>
      <w:r w:rsidR="002B605E">
        <w:rPr>
          <w:noProof/>
          <w:color w:val="000000" w:themeColor="text1"/>
        </w:rPr>
        <w:t>e</w:t>
      </w:r>
      <w:r w:rsidR="006776CA" w:rsidRPr="002606A2">
        <w:rPr>
          <w:noProof/>
          <w:color w:val="000000" w:themeColor="text1"/>
        </w:rPr>
        <w:t>, konzervacij</w:t>
      </w:r>
      <w:r w:rsidR="002B605E">
        <w:rPr>
          <w:noProof/>
          <w:color w:val="000000" w:themeColor="text1"/>
        </w:rPr>
        <w:t>e</w:t>
      </w:r>
      <w:r w:rsidR="006776CA" w:rsidRPr="002606A2">
        <w:rPr>
          <w:noProof/>
          <w:color w:val="000000" w:themeColor="text1"/>
        </w:rPr>
        <w:t xml:space="preserve"> i revitalizacij</w:t>
      </w:r>
      <w:r w:rsidR="002B605E">
        <w:rPr>
          <w:noProof/>
          <w:color w:val="000000" w:themeColor="text1"/>
        </w:rPr>
        <w:t>e</w:t>
      </w:r>
      <w:r w:rsidR="006776CA" w:rsidRPr="002606A2">
        <w:rPr>
          <w:noProof/>
          <w:color w:val="000000" w:themeColor="text1"/>
        </w:rPr>
        <w:t xml:space="preserve"> kulturnih dobara; </w:t>
      </w:r>
    </w:p>
    <w:p w:rsidR="006776CA" w:rsidRPr="002606A2" w:rsidRDefault="004F0F32" w:rsidP="004E3C4A">
      <w:pPr>
        <w:pStyle w:val="NormalWeb"/>
        <w:numPr>
          <w:ilvl w:val="0"/>
          <w:numId w:val="2"/>
        </w:numPr>
        <w:spacing w:before="0" w:beforeAutospacing="0" w:after="0" w:afterAutospacing="0"/>
        <w:ind w:left="357" w:hanging="357"/>
        <w:rPr>
          <w:noProof/>
          <w:color w:val="000000" w:themeColor="text1"/>
        </w:rPr>
      </w:pPr>
      <w:r>
        <w:rPr>
          <w:noProof/>
          <w:color w:val="000000" w:themeColor="text1"/>
        </w:rPr>
        <w:t xml:space="preserve">programi </w:t>
      </w:r>
      <w:r w:rsidR="006776CA" w:rsidRPr="002606A2">
        <w:rPr>
          <w:noProof/>
          <w:color w:val="000000" w:themeColor="text1"/>
        </w:rPr>
        <w:t>afirmiranj</w:t>
      </w:r>
      <w:r w:rsidR="004E3C4A">
        <w:rPr>
          <w:noProof/>
          <w:color w:val="000000" w:themeColor="text1"/>
        </w:rPr>
        <w:t>a</w:t>
      </w:r>
      <w:r w:rsidR="006776CA" w:rsidRPr="002606A2">
        <w:rPr>
          <w:noProof/>
          <w:color w:val="000000" w:themeColor="text1"/>
        </w:rPr>
        <w:t xml:space="preserve"> nematerijalne kulturne baštine;</w:t>
      </w:r>
    </w:p>
    <w:p w:rsidR="006776CA" w:rsidRPr="002606A2" w:rsidRDefault="006776CA" w:rsidP="004E3C4A">
      <w:pPr>
        <w:pStyle w:val="NormalWeb"/>
        <w:numPr>
          <w:ilvl w:val="0"/>
          <w:numId w:val="2"/>
        </w:numPr>
        <w:spacing w:before="0" w:beforeAutospacing="0" w:after="0" w:afterAutospacing="0"/>
        <w:ind w:left="357" w:hanging="357"/>
        <w:rPr>
          <w:noProof/>
          <w:color w:val="000000" w:themeColor="text1"/>
        </w:rPr>
      </w:pPr>
      <w:r w:rsidRPr="004F0F32">
        <w:rPr>
          <w:noProof/>
          <w:color w:val="000000" w:themeColor="text1"/>
        </w:rPr>
        <w:t>programi poticanja i njegovanja</w:t>
      </w:r>
      <w:r w:rsidRPr="002606A2">
        <w:rPr>
          <w:noProof/>
          <w:color w:val="000000" w:themeColor="text1"/>
        </w:rPr>
        <w:t xml:space="preserve"> tradicijske kulture i kulture nacionalnih manjina;</w:t>
      </w:r>
    </w:p>
    <w:p w:rsidR="006776CA" w:rsidRPr="002606A2" w:rsidRDefault="006776CA" w:rsidP="004E3C4A">
      <w:pPr>
        <w:pStyle w:val="NormalWeb"/>
        <w:numPr>
          <w:ilvl w:val="0"/>
          <w:numId w:val="2"/>
        </w:numPr>
        <w:spacing w:before="0" w:beforeAutospacing="0" w:after="0" w:afterAutospacing="0"/>
        <w:ind w:left="357" w:hanging="357"/>
        <w:rPr>
          <w:noProof/>
          <w:color w:val="000000" w:themeColor="text1"/>
        </w:rPr>
      </w:pPr>
      <w:r w:rsidRPr="004F0F32">
        <w:rPr>
          <w:noProof/>
          <w:color w:val="000000" w:themeColor="text1"/>
        </w:rPr>
        <w:t>programi</w:t>
      </w:r>
      <w:r w:rsidRPr="002606A2">
        <w:rPr>
          <w:noProof/>
          <w:color w:val="000000" w:themeColor="text1"/>
        </w:rPr>
        <w:t xml:space="preserve"> poduzetništva u kulturi, posebno </w:t>
      </w:r>
      <w:r w:rsidRPr="004F0F32">
        <w:rPr>
          <w:noProof/>
          <w:color w:val="000000" w:themeColor="text1"/>
        </w:rPr>
        <w:t>razvoj</w:t>
      </w:r>
      <w:r w:rsidRPr="002606A2">
        <w:rPr>
          <w:noProof/>
          <w:color w:val="000000" w:themeColor="text1"/>
        </w:rPr>
        <w:t xml:space="preserve"> kreativnih industrija s naglaskom na suvremenu arhitekturu i dizajn;</w:t>
      </w:r>
    </w:p>
    <w:p w:rsidR="006776CA" w:rsidRPr="002606A2" w:rsidRDefault="006776CA" w:rsidP="004E3C4A">
      <w:pPr>
        <w:pStyle w:val="NormalWeb"/>
        <w:numPr>
          <w:ilvl w:val="0"/>
          <w:numId w:val="1"/>
        </w:numPr>
        <w:spacing w:before="0" w:beforeAutospacing="0" w:after="0" w:afterAutospacing="0"/>
        <w:ind w:left="357" w:hanging="357"/>
        <w:rPr>
          <w:noProof/>
          <w:color w:val="000000" w:themeColor="text1"/>
        </w:rPr>
      </w:pPr>
      <w:r w:rsidRPr="002606A2">
        <w:rPr>
          <w:noProof/>
          <w:color w:val="000000" w:themeColor="text1"/>
        </w:rPr>
        <w:t>edukativni</w:t>
      </w:r>
      <w:r w:rsidR="004F0F32">
        <w:rPr>
          <w:noProof/>
          <w:color w:val="000000" w:themeColor="text1"/>
        </w:rPr>
        <w:t xml:space="preserve"> </w:t>
      </w:r>
      <w:r w:rsidRPr="002606A2">
        <w:rPr>
          <w:noProof/>
          <w:color w:val="000000" w:themeColor="text1"/>
        </w:rPr>
        <w:t>program</w:t>
      </w:r>
      <w:r w:rsidR="004F0F32">
        <w:rPr>
          <w:noProof/>
          <w:color w:val="000000" w:themeColor="text1"/>
        </w:rPr>
        <w:t xml:space="preserve">i </w:t>
      </w:r>
      <w:r w:rsidRPr="002606A2">
        <w:rPr>
          <w:noProof/>
          <w:color w:val="000000" w:themeColor="text1"/>
        </w:rPr>
        <w:t>u kulturi i program</w:t>
      </w:r>
      <w:r w:rsidR="004F0F32">
        <w:rPr>
          <w:noProof/>
          <w:color w:val="000000" w:themeColor="text1"/>
        </w:rPr>
        <w:t>i</w:t>
      </w:r>
      <w:r w:rsidRPr="002606A2">
        <w:rPr>
          <w:noProof/>
          <w:color w:val="000000" w:themeColor="text1"/>
        </w:rPr>
        <w:t xml:space="preserve"> razvoja publike (radionice, simpoziji i seminari, umjetnička kritika);</w:t>
      </w:r>
    </w:p>
    <w:p w:rsidR="006776CA" w:rsidRPr="002606A2" w:rsidRDefault="006776CA" w:rsidP="004E3C4A">
      <w:pPr>
        <w:pStyle w:val="NormalWeb"/>
        <w:numPr>
          <w:ilvl w:val="0"/>
          <w:numId w:val="1"/>
        </w:numPr>
        <w:spacing w:before="0" w:beforeAutospacing="0" w:after="0" w:afterAutospacing="0"/>
        <w:ind w:left="357" w:hanging="357"/>
        <w:rPr>
          <w:noProof/>
          <w:color w:val="000000" w:themeColor="text1"/>
        </w:rPr>
      </w:pPr>
      <w:r w:rsidRPr="002606A2">
        <w:rPr>
          <w:noProof/>
          <w:color w:val="000000" w:themeColor="text1"/>
        </w:rPr>
        <w:t>programi stručnog usavršavanja;</w:t>
      </w:r>
    </w:p>
    <w:p w:rsidR="006776CA" w:rsidRPr="002606A2" w:rsidRDefault="006776CA" w:rsidP="004E3C4A">
      <w:pPr>
        <w:pStyle w:val="NormalWeb"/>
        <w:numPr>
          <w:ilvl w:val="0"/>
          <w:numId w:val="1"/>
        </w:numPr>
        <w:ind w:left="363"/>
        <w:rPr>
          <w:noProof/>
          <w:color w:val="000000" w:themeColor="text1"/>
        </w:rPr>
      </w:pPr>
      <w:r w:rsidRPr="002606A2">
        <w:rPr>
          <w:noProof/>
          <w:color w:val="000000" w:themeColor="text1"/>
        </w:rPr>
        <w:t>rezidencijalni programi i programi međugradske, međužupanijske i međunarodne kulturne suradnje, poglavito suradnje među gradovima prijateljima Dubrovnika;</w:t>
      </w:r>
    </w:p>
    <w:p w:rsidR="006776CA" w:rsidRPr="002606A2" w:rsidRDefault="006776CA" w:rsidP="004E3C4A">
      <w:pPr>
        <w:pStyle w:val="ListParagraph"/>
        <w:numPr>
          <w:ilvl w:val="0"/>
          <w:numId w:val="1"/>
        </w:numPr>
        <w:ind w:left="363"/>
        <w:rPr>
          <w:noProof/>
          <w:color w:val="000000" w:themeColor="text1"/>
        </w:rPr>
      </w:pPr>
      <w:r w:rsidRPr="002606A2">
        <w:rPr>
          <w:noProof/>
          <w:color w:val="000000" w:themeColor="text1"/>
        </w:rPr>
        <w:t>kulturne manifestacije i festivalski programi;</w:t>
      </w:r>
    </w:p>
    <w:p w:rsidR="006776CA" w:rsidRDefault="006776CA" w:rsidP="004E3C4A">
      <w:pPr>
        <w:pStyle w:val="ListParagraph"/>
        <w:numPr>
          <w:ilvl w:val="0"/>
          <w:numId w:val="1"/>
        </w:numPr>
        <w:ind w:left="363"/>
        <w:rPr>
          <w:noProof/>
        </w:rPr>
      </w:pPr>
      <w:r w:rsidRPr="002606A2">
        <w:rPr>
          <w:noProof/>
          <w:color w:val="000000" w:themeColor="text1"/>
        </w:rPr>
        <w:t>zajednički projekti u kulturi Grada Dubrovnika i Dubrovačko-neretvanske županije</w:t>
      </w:r>
      <w:r>
        <w:rPr>
          <w:noProof/>
        </w:rPr>
        <w:t>;</w:t>
      </w:r>
    </w:p>
    <w:p w:rsidR="006776CA" w:rsidRPr="00CD74EA" w:rsidRDefault="006776CA" w:rsidP="004E3C4A">
      <w:pPr>
        <w:pStyle w:val="ListParagraph"/>
        <w:numPr>
          <w:ilvl w:val="0"/>
          <w:numId w:val="1"/>
        </w:numPr>
        <w:ind w:left="363"/>
        <w:rPr>
          <w:noProof/>
        </w:rPr>
      </w:pPr>
      <w:r w:rsidRPr="00CD74EA">
        <w:rPr>
          <w:noProof/>
        </w:rPr>
        <w:t>zajednički programi više udruga i zajednički programi udruga i kulturnih ustanova;</w:t>
      </w:r>
    </w:p>
    <w:p w:rsidR="006776CA" w:rsidRPr="00CD74EA" w:rsidRDefault="006776CA" w:rsidP="004E3C4A">
      <w:pPr>
        <w:pStyle w:val="ListParagraph"/>
        <w:numPr>
          <w:ilvl w:val="0"/>
          <w:numId w:val="1"/>
        </w:numPr>
        <w:ind w:left="363"/>
        <w:rPr>
          <w:noProof/>
        </w:rPr>
      </w:pPr>
      <w:r w:rsidRPr="00CD74EA">
        <w:rPr>
          <w:noProof/>
        </w:rPr>
        <w:t>programi u kulturi koji se prijavljuju na neki od fondova Europske unije.</w:t>
      </w:r>
    </w:p>
    <w:p w:rsidR="006776CA" w:rsidRPr="0031194B" w:rsidRDefault="006776CA" w:rsidP="006776CA">
      <w:pPr>
        <w:pStyle w:val="NormalWeb"/>
        <w:jc w:val="center"/>
        <w:rPr>
          <w:noProof/>
        </w:rPr>
      </w:pPr>
      <w:r w:rsidRPr="0031194B">
        <w:rPr>
          <w:noProof/>
        </w:rPr>
        <w:t>Članak 5.</w:t>
      </w:r>
    </w:p>
    <w:p w:rsidR="0037569E" w:rsidRDefault="0037569E" w:rsidP="0037569E">
      <w:r>
        <w:t xml:space="preserve">Obvezna dokumentacija javnog Poziva </w:t>
      </w:r>
      <w:r w:rsidR="00884459">
        <w:t>sadrži</w:t>
      </w:r>
      <w:r>
        <w:t>:</w:t>
      </w:r>
    </w:p>
    <w:p w:rsidR="0037569E" w:rsidRDefault="0037569E" w:rsidP="0037569E">
      <w:pPr>
        <w:pStyle w:val="ListParagraph"/>
        <w:numPr>
          <w:ilvl w:val="0"/>
          <w:numId w:val="11"/>
        </w:numPr>
        <w:spacing w:after="200" w:line="276" w:lineRule="auto"/>
        <w:contextualSpacing/>
      </w:pPr>
      <w:r>
        <w:t>tekst javnog poziva</w:t>
      </w:r>
    </w:p>
    <w:p w:rsidR="0037569E" w:rsidRDefault="0037569E" w:rsidP="0037569E">
      <w:pPr>
        <w:pStyle w:val="ListParagraph"/>
        <w:numPr>
          <w:ilvl w:val="0"/>
          <w:numId w:val="11"/>
        </w:numPr>
        <w:spacing w:after="200" w:line="276" w:lineRule="auto"/>
        <w:contextualSpacing/>
      </w:pPr>
      <w:r>
        <w:t>uput</w:t>
      </w:r>
      <w:r w:rsidR="00884459">
        <w:t>e</w:t>
      </w:r>
      <w:r>
        <w:t xml:space="preserve"> za prijavitelje</w:t>
      </w:r>
    </w:p>
    <w:p w:rsidR="0037569E" w:rsidRDefault="0037569E" w:rsidP="0037569E">
      <w:pPr>
        <w:pStyle w:val="ListParagraph"/>
        <w:numPr>
          <w:ilvl w:val="0"/>
          <w:numId w:val="11"/>
        </w:numPr>
        <w:spacing w:after="200" w:line="276" w:lineRule="auto"/>
        <w:contextualSpacing/>
      </w:pPr>
      <w:r>
        <w:t xml:space="preserve">obrazac za prijavu programa </w:t>
      </w:r>
    </w:p>
    <w:p w:rsidR="0037569E" w:rsidRDefault="00884459" w:rsidP="0037569E">
      <w:pPr>
        <w:pStyle w:val="ListParagraph"/>
        <w:numPr>
          <w:ilvl w:val="0"/>
          <w:numId w:val="11"/>
        </w:numPr>
        <w:spacing w:after="200" w:line="276" w:lineRule="auto"/>
        <w:contextualSpacing/>
      </w:pPr>
      <w:r>
        <w:t xml:space="preserve">obrazac </w:t>
      </w:r>
      <w:r w:rsidR="0037569E">
        <w:t>izjave o nepostojanju dvostrukog financiranja</w:t>
      </w:r>
    </w:p>
    <w:p w:rsidR="0037569E" w:rsidRDefault="0037569E" w:rsidP="00884459">
      <w:pPr>
        <w:pStyle w:val="ListParagraph"/>
        <w:numPr>
          <w:ilvl w:val="0"/>
          <w:numId w:val="11"/>
        </w:numPr>
        <w:spacing w:after="200" w:line="276" w:lineRule="auto"/>
        <w:contextualSpacing/>
      </w:pPr>
      <w:r>
        <w:t>obrazac ugovora o financiranju programa ili projekta</w:t>
      </w:r>
    </w:p>
    <w:p w:rsidR="0037569E" w:rsidRDefault="0037569E" w:rsidP="0037569E">
      <w:pPr>
        <w:pStyle w:val="ListParagraph"/>
        <w:numPr>
          <w:ilvl w:val="0"/>
          <w:numId w:val="11"/>
        </w:numPr>
        <w:spacing w:after="200" w:line="276" w:lineRule="auto"/>
        <w:contextualSpacing/>
      </w:pPr>
      <w:r>
        <w:t>obrazac za izvještavanje</w:t>
      </w:r>
      <w:r w:rsidR="00884459">
        <w:t xml:space="preserve"> o provedbi programa</w:t>
      </w:r>
    </w:p>
    <w:p w:rsidR="0037569E" w:rsidRDefault="0037569E" w:rsidP="0037569E">
      <w:pPr>
        <w:pStyle w:val="ListParagraph"/>
        <w:ind w:left="0"/>
      </w:pPr>
    </w:p>
    <w:p w:rsidR="0037569E" w:rsidRDefault="0037569E" w:rsidP="00444513">
      <w:pPr>
        <w:jc w:val="both"/>
      </w:pPr>
      <w:r>
        <w:t>Javnim pozivom može se zatražiti dodatna dokumentacija koja je potrebna za provedbu javnog poziva</w:t>
      </w:r>
      <w:r w:rsidR="00444513">
        <w:t>.</w:t>
      </w:r>
    </w:p>
    <w:p w:rsidR="006776CA" w:rsidRPr="0031194B" w:rsidRDefault="006776CA" w:rsidP="006776CA">
      <w:pPr>
        <w:pStyle w:val="NormalWeb"/>
        <w:jc w:val="both"/>
        <w:rPr>
          <w:noProof/>
        </w:rPr>
      </w:pPr>
      <w:r w:rsidRPr="0031194B">
        <w:rPr>
          <w:noProof/>
        </w:rPr>
        <w:t xml:space="preserve">Tekst Poziva obvezno sadrži: područje kulturnih </w:t>
      </w:r>
      <w:r w:rsidR="000243B7" w:rsidRPr="003E0B4D">
        <w:rPr>
          <w:noProof/>
          <w:color w:val="000000" w:themeColor="text1"/>
        </w:rPr>
        <w:t>programa</w:t>
      </w:r>
      <w:r w:rsidRPr="003E0B4D">
        <w:rPr>
          <w:noProof/>
          <w:color w:val="000000" w:themeColor="text1"/>
        </w:rPr>
        <w:t xml:space="preserve"> iz</w:t>
      </w:r>
      <w:r w:rsidRPr="0031194B">
        <w:rPr>
          <w:noProof/>
        </w:rPr>
        <w:t xml:space="preserve"> članka 4. ovoga Pravilnika te rok za podnošenje prijava.</w:t>
      </w:r>
    </w:p>
    <w:p w:rsidR="006776CA" w:rsidRPr="0031194B" w:rsidRDefault="006776CA" w:rsidP="006776CA">
      <w:pPr>
        <w:pStyle w:val="NormalWeb"/>
        <w:jc w:val="center"/>
        <w:rPr>
          <w:noProof/>
        </w:rPr>
      </w:pPr>
      <w:r w:rsidRPr="0031194B">
        <w:rPr>
          <w:noProof/>
        </w:rPr>
        <w:t>Članak 6.</w:t>
      </w:r>
    </w:p>
    <w:p w:rsidR="004A6690" w:rsidRDefault="000243B7" w:rsidP="00172A60">
      <w:pPr>
        <w:pStyle w:val="NormalWeb"/>
        <w:jc w:val="both"/>
        <w:rPr>
          <w:noProof/>
          <w:color w:val="000000" w:themeColor="text1"/>
        </w:rPr>
      </w:pPr>
      <w:r w:rsidRPr="004B17CF">
        <w:t>Pravo podnošenja prijave na Poziv imaju pravne i fizičke osobe sa sjedištem odnosno prebivalištem na području Republike Hrvatske. Pravne osobe koje se prijavljuju na Poziv obavezno moraju biti registrirane za obavljanje kulturne djelatnosti koja je predmet prijavljivanja</w:t>
      </w:r>
      <w:r w:rsidR="006776CA" w:rsidRPr="0031194B">
        <w:rPr>
          <w:noProof/>
        </w:rPr>
        <w:t>.</w:t>
      </w:r>
    </w:p>
    <w:p w:rsidR="006776CA" w:rsidRPr="002606A2" w:rsidRDefault="006776CA" w:rsidP="006776CA">
      <w:pPr>
        <w:pStyle w:val="NormalWeb"/>
        <w:jc w:val="center"/>
        <w:rPr>
          <w:noProof/>
          <w:color w:val="000000" w:themeColor="text1"/>
        </w:rPr>
      </w:pPr>
      <w:r w:rsidRPr="002606A2">
        <w:rPr>
          <w:noProof/>
          <w:color w:val="000000" w:themeColor="text1"/>
        </w:rPr>
        <w:t>Članak 7.</w:t>
      </w:r>
    </w:p>
    <w:p w:rsidR="00F607E3" w:rsidRDefault="006776CA" w:rsidP="00F607E3">
      <w:pPr>
        <w:pStyle w:val="NormalWeb"/>
        <w:jc w:val="both"/>
        <w:rPr>
          <w:noProof/>
        </w:rPr>
      </w:pPr>
      <w:r w:rsidRPr="002606A2">
        <w:rPr>
          <w:noProof/>
          <w:color w:val="000000" w:themeColor="text1"/>
        </w:rPr>
        <w:t>Prijave programa podnose se u pisanom obliku, na obrascima koje izrađuje Odjel, na hrvatskom jeziku, latiničnim pismom i napisane na računalu.</w:t>
      </w:r>
      <w:r w:rsidR="00F607E3" w:rsidRPr="00F607E3">
        <w:rPr>
          <w:noProof/>
        </w:rPr>
        <w:t xml:space="preserve"> </w:t>
      </w:r>
    </w:p>
    <w:p w:rsidR="00F607E3" w:rsidRPr="0031194B" w:rsidRDefault="00F607E3" w:rsidP="00F607E3">
      <w:pPr>
        <w:pStyle w:val="NormalWeb"/>
        <w:jc w:val="both"/>
        <w:rPr>
          <w:noProof/>
        </w:rPr>
      </w:pPr>
      <w:r w:rsidRPr="0031194B">
        <w:rPr>
          <w:noProof/>
        </w:rPr>
        <w:lastRenderedPageBreak/>
        <w:t xml:space="preserve">Obrazac prijave se može preuzeti od dana objave Poziva </w:t>
      </w:r>
      <w:r>
        <w:rPr>
          <w:noProof/>
        </w:rPr>
        <w:t xml:space="preserve">isključivo </w:t>
      </w:r>
      <w:r w:rsidRPr="0031194B">
        <w:rPr>
          <w:noProof/>
        </w:rPr>
        <w:t xml:space="preserve">na </w:t>
      </w:r>
      <w:r>
        <w:rPr>
          <w:noProof/>
        </w:rPr>
        <w:t xml:space="preserve">službenoj </w:t>
      </w:r>
      <w:r w:rsidRPr="0031194B">
        <w:rPr>
          <w:noProof/>
        </w:rPr>
        <w:t>web stranici Grada Dubrovnika</w:t>
      </w:r>
      <w:r>
        <w:rPr>
          <w:noProof/>
        </w:rPr>
        <w:t>.</w:t>
      </w:r>
    </w:p>
    <w:p w:rsidR="000243B7" w:rsidRDefault="00EF4DB5" w:rsidP="000243B7">
      <w:pPr>
        <w:pStyle w:val="NoSpacing"/>
        <w:jc w:val="both"/>
        <w:rPr>
          <w:noProof/>
        </w:rPr>
      </w:pPr>
      <w:r>
        <w:rPr>
          <w:noProof/>
        </w:rPr>
        <w:t>Prijav</w:t>
      </w:r>
      <w:r w:rsidR="003E0B4D">
        <w:rPr>
          <w:noProof/>
        </w:rPr>
        <w:t xml:space="preserve">a </w:t>
      </w:r>
      <w:r w:rsidR="000243B7" w:rsidRPr="004B17CF">
        <w:rPr>
          <w:noProof/>
        </w:rPr>
        <w:t>obvezno sadrži:</w:t>
      </w:r>
    </w:p>
    <w:p w:rsidR="00E86221" w:rsidRPr="00B3040D" w:rsidRDefault="00E86221" w:rsidP="00E86221">
      <w:pPr>
        <w:pStyle w:val="NormalWeb"/>
        <w:jc w:val="both"/>
        <w:rPr>
          <w:color w:val="000000" w:themeColor="text1"/>
        </w:rPr>
      </w:pPr>
      <w:r w:rsidRPr="00B3040D">
        <w:rPr>
          <w:color w:val="000000" w:themeColor="text1"/>
        </w:rPr>
        <w:t>- Prijavnicu s popunjenim svim obveznim poljima i s točnim podacima o prijavitelju,</w:t>
      </w:r>
    </w:p>
    <w:p w:rsidR="00E86221" w:rsidRPr="00B3040D" w:rsidRDefault="00E86221" w:rsidP="00E86221">
      <w:pPr>
        <w:pStyle w:val="NormalWeb"/>
        <w:jc w:val="both"/>
        <w:rPr>
          <w:color w:val="auto"/>
        </w:rPr>
      </w:pPr>
      <w:r w:rsidRPr="00B3040D">
        <w:rPr>
          <w:color w:val="auto"/>
        </w:rPr>
        <w:t>- prijedlog programa uz detaljno obrazloženje,</w:t>
      </w:r>
    </w:p>
    <w:p w:rsidR="00E86221" w:rsidRPr="00B3040D" w:rsidRDefault="00E86221" w:rsidP="00E86221">
      <w:pPr>
        <w:pStyle w:val="NormalWeb"/>
        <w:jc w:val="both"/>
        <w:rPr>
          <w:color w:val="auto"/>
        </w:rPr>
      </w:pPr>
      <w:r w:rsidRPr="00B3040D">
        <w:rPr>
          <w:color w:val="auto"/>
        </w:rPr>
        <w:t>- financijski plan, odnosno specificirani troškovnik za izvršavanje predloženog programa s vidljivim podacima o ukupnim troškovima izvršenja programa, iznosu sredstava koja se osiguravaju iz vlastitih i drugih izvora te iznosu sredstava za koja se predlaže da ih sufinancira Grad.</w:t>
      </w:r>
    </w:p>
    <w:p w:rsidR="00EF4DB5" w:rsidRPr="00B3040D" w:rsidRDefault="00E86221" w:rsidP="00B3040D">
      <w:pPr>
        <w:pStyle w:val="NormalWeb"/>
        <w:jc w:val="both"/>
        <w:rPr>
          <w:color w:val="auto"/>
        </w:rPr>
      </w:pPr>
      <w:r w:rsidRPr="00B3040D">
        <w:rPr>
          <w:color w:val="auto"/>
        </w:rPr>
        <w:t>Uz Prijavnicu se obvezno prilaže sljedeća dokumentacija:</w:t>
      </w:r>
    </w:p>
    <w:p w:rsidR="0037569E" w:rsidRPr="003E0B4D" w:rsidRDefault="0037569E" w:rsidP="00BB0DC5">
      <w:pPr>
        <w:pStyle w:val="NoSpacing"/>
        <w:jc w:val="both"/>
        <w:rPr>
          <w:noProof/>
          <w:color w:val="000000"/>
        </w:rPr>
      </w:pPr>
      <w:r w:rsidRPr="003E0B4D">
        <w:rPr>
          <w:noProof/>
          <w:color w:val="000000"/>
        </w:rPr>
        <w:t>- izjava o nepostojanju dvostrukog financiranja istog programskog troška</w:t>
      </w:r>
      <w:r w:rsidR="006E25A2" w:rsidRPr="003E0B4D">
        <w:rPr>
          <w:noProof/>
          <w:color w:val="000000"/>
        </w:rPr>
        <w:t xml:space="preserve"> (uvjet za potpis ugovora)</w:t>
      </w:r>
      <w:r w:rsidRPr="003E0B4D">
        <w:rPr>
          <w:noProof/>
          <w:color w:val="000000"/>
        </w:rPr>
        <w:t>.</w:t>
      </w:r>
    </w:p>
    <w:p w:rsidR="003E0B4D" w:rsidRPr="003E0B4D" w:rsidRDefault="003E0B4D" w:rsidP="003E0B4D">
      <w:r w:rsidRPr="003E0B4D">
        <w:t>- opis dosadašnje djelatnosti predlagatelja i najznačajnije reference te profesionalni životopis voditelja programa.</w:t>
      </w:r>
    </w:p>
    <w:p w:rsidR="003E0B4D" w:rsidRPr="003E0B4D" w:rsidRDefault="003E0B4D" w:rsidP="00BB0DC5">
      <w:pPr>
        <w:pStyle w:val="NoSpacing"/>
        <w:jc w:val="both"/>
        <w:rPr>
          <w:noProof/>
          <w:color w:val="000000"/>
        </w:rPr>
      </w:pPr>
    </w:p>
    <w:p w:rsidR="003E0B4D" w:rsidRPr="003E0B4D" w:rsidRDefault="003E0B4D" w:rsidP="003E0B4D">
      <w:pPr>
        <w:spacing w:line="100" w:lineRule="atLeast"/>
        <w:jc w:val="both"/>
        <w:rPr>
          <w:color w:val="000000" w:themeColor="text1"/>
        </w:rPr>
      </w:pPr>
      <w:r w:rsidRPr="003E0B4D">
        <w:rPr>
          <w:color w:val="000000" w:themeColor="text1"/>
        </w:rPr>
        <w:t>Prilikom potpisivanja ugovora o sufinanciranju programske djelatnosti, obvezno je dostaviti uvjerenje nadležnog suda, ne starije od šest mjeseci, da se ne vodi kazneni postupak protiv osobe ovlaštene za zastupanje prijavitelja koja je potpisala obrasce za prijavu programa ili projekta i koja je ovlaštena potpisati ugovor o financiranju.</w:t>
      </w:r>
    </w:p>
    <w:p w:rsidR="0037569E" w:rsidRDefault="0037569E" w:rsidP="0037569E">
      <w:pPr>
        <w:pStyle w:val="NoSpacing"/>
        <w:jc w:val="both"/>
        <w:rPr>
          <w:noProof/>
          <w:color w:val="000000"/>
        </w:rPr>
      </w:pPr>
    </w:p>
    <w:p w:rsidR="0037569E" w:rsidRPr="004B17CF" w:rsidRDefault="00BB0DC5" w:rsidP="0037569E">
      <w:pPr>
        <w:pStyle w:val="NoSpacing"/>
        <w:jc w:val="both"/>
      </w:pPr>
      <w:r w:rsidRPr="003E0B4D">
        <w:rPr>
          <w:noProof/>
          <w:color w:val="000000" w:themeColor="text1"/>
        </w:rPr>
        <w:t>Obrazac prijav</w:t>
      </w:r>
      <w:r w:rsidR="00B3040D">
        <w:rPr>
          <w:noProof/>
          <w:color w:val="000000" w:themeColor="text1"/>
        </w:rPr>
        <w:t>nice</w:t>
      </w:r>
      <w:r w:rsidR="0037569E" w:rsidRPr="004B17CF">
        <w:rPr>
          <w:noProof/>
          <w:color w:val="000000"/>
        </w:rPr>
        <w:t xml:space="preserve"> mora biti potpisan</w:t>
      </w:r>
      <w:r>
        <w:rPr>
          <w:noProof/>
          <w:color w:val="000000"/>
        </w:rPr>
        <w:t xml:space="preserve"> i ovjeren</w:t>
      </w:r>
      <w:r w:rsidR="0037569E" w:rsidRPr="004B17CF">
        <w:rPr>
          <w:noProof/>
          <w:color w:val="000000"/>
        </w:rPr>
        <w:t xml:space="preserve"> pečatom od strane ovlaštene osobe podnositelja zahtjeva te dostavljen u izvorniku. </w:t>
      </w:r>
    </w:p>
    <w:p w:rsidR="006776CA" w:rsidRPr="0031194B" w:rsidRDefault="006776CA" w:rsidP="006776CA">
      <w:pPr>
        <w:pStyle w:val="NormalWeb"/>
        <w:jc w:val="center"/>
        <w:rPr>
          <w:noProof/>
        </w:rPr>
      </w:pPr>
      <w:r w:rsidRPr="0031194B">
        <w:rPr>
          <w:noProof/>
        </w:rPr>
        <w:t>Članak 8.</w:t>
      </w:r>
    </w:p>
    <w:p w:rsidR="00302C92" w:rsidRPr="007F1336" w:rsidRDefault="006776CA" w:rsidP="00A2491D">
      <w:pPr>
        <w:pStyle w:val="NormalWeb"/>
        <w:jc w:val="both"/>
        <w:rPr>
          <w:color w:val="FF0000"/>
        </w:rPr>
      </w:pPr>
      <w:r w:rsidRPr="002606A2">
        <w:rPr>
          <w:noProof/>
        </w:rPr>
        <w:t xml:space="preserve">Administrativno – tehničke i druge stručne poslove u svezi raspisivanja i objave </w:t>
      </w:r>
      <w:r>
        <w:rPr>
          <w:noProof/>
        </w:rPr>
        <w:t>P</w:t>
      </w:r>
      <w:r w:rsidRPr="002606A2">
        <w:rPr>
          <w:noProof/>
        </w:rPr>
        <w:t xml:space="preserve">oziva, </w:t>
      </w:r>
      <w:r w:rsidRPr="003E0B4D">
        <w:rPr>
          <w:noProof/>
          <w:color w:val="000000" w:themeColor="text1"/>
        </w:rPr>
        <w:t>otvaranja prijava i utvrđivanja ispunjava</w:t>
      </w:r>
      <w:r w:rsidR="00302C92" w:rsidRPr="003E0B4D">
        <w:rPr>
          <w:noProof/>
          <w:color w:val="000000" w:themeColor="text1"/>
        </w:rPr>
        <w:t>ju</w:t>
      </w:r>
      <w:r w:rsidRPr="003E0B4D">
        <w:rPr>
          <w:noProof/>
          <w:color w:val="000000" w:themeColor="text1"/>
        </w:rPr>
        <w:t xml:space="preserve"> li prijav</w:t>
      </w:r>
      <w:r w:rsidR="00302C92" w:rsidRPr="003E0B4D">
        <w:rPr>
          <w:noProof/>
          <w:color w:val="000000" w:themeColor="text1"/>
        </w:rPr>
        <w:t>e</w:t>
      </w:r>
      <w:r w:rsidRPr="003E0B4D">
        <w:rPr>
          <w:noProof/>
          <w:color w:val="000000" w:themeColor="text1"/>
        </w:rPr>
        <w:t xml:space="preserve"> formalno – pravne uvjete Poziva, </w:t>
      </w:r>
      <w:r w:rsidR="00302C92" w:rsidRPr="003E0B4D">
        <w:rPr>
          <w:noProof/>
          <w:color w:val="000000" w:themeColor="text1"/>
        </w:rPr>
        <w:t>p</w:t>
      </w:r>
      <w:r w:rsidRPr="003E0B4D">
        <w:rPr>
          <w:noProof/>
          <w:color w:val="000000" w:themeColor="text1"/>
        </w:rPr>
        <w:t xml:space="preserve">rovodi </w:t>
      </w:r>
      <w:r w:rsidR="00302C92" w:rsidRPr="003E0B4D">
        <w:rPr>
          <w:color w:val="000000" w:themeColor="text1"/>
        </w:rPr>
        <w:t>Povjerenstvo za provjeru ispunjavanja propisanih uvjeta javnog poziva</w:t>
      </w:r>
      <w:r w:rsidR="00307471" w:rsidRPr="003E0B4D">
        <w:rPr>
          <w:color w:val="000000" w:themeColor="text1"/>
        </w:rPr>
        <w:t xml:space="preserve"> (u daljnjem tekstu: Povjerenstvo)</w:t>
      </w:r>
      <w:r w:rsidR="002363CC" w:rsidRPr="003E0B4D">
        <w:rPr>
          <w:color w:val="000000" w:themeColor="text1"/>
        </w:rPr>
        <w:t>, koje svojom odlukom imenuje gradonačelnik</w:t>
      </w:r>
      <w:r w:rsidR="007F1336" w:rsidRPr="003E0B4D">
        <w:rPr>
          <w:color w:val="000000" w:themeColor="text1"/>
        </w:rPr>
        <w:t>. Za članove Povjerenstva u pravilu se imenuju službenici Odjela</w:t>
      </w:r>
      <w:r w:rsidR="002363CC" w:rsidRPr="003E0B4D">
        <w:rPr>
          <w:color w:val="000000" w:themeColor="text1"/>
        </w:rPr>
        <w:t>.</w:t>
      </w:r>
      <w:r w:rsidR="00307471" w:rsidRPr="003E0B4D">
        <w:rPr>
          <w:color w:val="000000" w:themeColor="text1"/>
        </w:rPr>
        <w:t xml:space="preserve"> Članovi Povjerenstva nemaju pravo na naknadu.</w:t>
      </w:r>
    </w:p>
    <w:p w:rsidR="00A2491D" w:rsidRDefault="00F607E3" w:rsidP="00A2491D">
      <w:pPr>
        <w:pStyle w:val="NormalWeb"/>
      </w:pPr>
      <w:r>
        <w:t>Zadaće Povjerenstva su:</w:t>
      </w:r>
      <w:r w:rsidR="00A2491D" w:rsidRPr="00A2491D">
        <w:t xml:space="preserve"> </w:t>
      </w:r>
    </w:p>
    <w:p w:rsidR="00A2491D" w:rsidRPr="00A2491D" w:rsidRDefault="00A2491D" w:rsidP="00A2491D">
      <w:pPr>
        <w:pStyle w:val="NormalWeb"/>
        <w:numPr>
          <w:ilvl w:val="0"/>
          <w:numId w:val="18"/>
        </w:numPr>
      </w:pPr>
      <w:r w:rsidRPr="00A2491D">
        <w:t>otvaranje zaprimljenih prijava,</w:t>
      </w:r>
    </w:p>
    <w:p w:rsidR="00A2491D" w:rsidRPr="00A2491D" w:rsidRDefault="00A2491D" w:rsidP="00A2491D">
      <w:pPr>
        <w:pStyle w:val="NormalWeb"/>
        <w:numPr>
          <w:ilvl w:val="0"/>
          <w:numId w:val="18"/>
        </w:numPr>
      </w:pPr>
      <w:r w:rsidRPr="00A2491D">
        <w:t>utvrđivanje je li prijava dostavljena na pravi javni poziv i u zadanom roku,</w:t>
      </w:r>
    </w:p>
    <w:p w:rsidR="00A2491D" w:rsidRPr="00A2491D" w:rsidRDefault="00A2491D" w:rsidP="00A2491D">
      <w:pPr>
        <w:pStyle w:val="NormalWeb"/>
        <w:numPr>
          <w:ilvl w:val="0"/>
          <w:numId w:val="18"/>
        </w:numPr>
      </w:pPr>
      <w:r w:rsidRPr="00A2491D">
        <w:t xml:space="preserve">utvrđivanje jesu li dostavljeni, potpisani i ovjereni svi obrasci i dokumentacija, </w:t>
      </w:r>
    </w:p>
    <w:p w:rsidR="00A2491D" w:rsidRPr="00A2491D" w:rsidRDefault="00A2491D" w:rsidP="00A2491D">
      <w:pPr>
        <w:pStyle w:val="NormalWeb"/>
        <w:numPr>
          <w:ilvl w:val="0"/>
          <w:numId w:val="18"/>
        </w:numPr>
      </w:pPr>
      <w:r w:rsidRPr="00A2491D">
        <w:t>utvrđivanje jesu li prijavitelj i partnerske organizacije prihvatljivi sukladno uputama za prijavitelje,</w:t>
      </w:r>
    </w:p>
    <w:p w:rsidR="00A2491D" w:rsidRPr="00A2491D" w:rsidRDefault="00A2491D" w:rsidP="00A2491D">
      <w:pPr>
        <w:pStyle w:val="NormalWeb"/>
        <w:numPr>
          <w:ilvl w:val="0"/>
          <w:numId w:val="18"/>
        </w:numPr>
      </w:pPr>
      <w:r w:rsidRPr="00A2491D">
        <w:t>utvrđivanje je li lokacija provedbe programa, projekta ili manifestacije prihvatljiva,</w:t>
      </w:r>
    </w:p>
    <w:p w:rsidR="00A2491D" w:rsidRPr="00A2491D" w:rsidRDefault="00A2491D" w:rsidP="00A2491D">
      <w:pPr>
        <w:pStyle w:val="NormalWeb"/>
        <w:numPr>
          <w:ilvl w:val="0"/>
          <w:numId w:val="18"/>
        </w:numPr>
      </w:pPr>
      <w:r w:rsidRPr="00A2491D">
        <w:t>utvrđivanje je li program, projekt ili manifestacija sukladan uvjetima javnog poziva,</w:t>
      </w:r>
    </w:p>
    <w:p w:rsidR="00A2491D" w:rsidRPr="00A2491D" w:rsidRDefault="00A2491D" w:rsidP="00A2491D">
      <w:pPr>
        <w:pStyle w:val="NormalWeb"/>
        <w:numPr>
          <w:ilvl w:val="0"/>
          <w:numId w:val="18"/>
        </w:numPr>
      </w:pPr>
      <w:r w:rsidRPr="00A2491D">
        <w:t>provjera ispunjavanja drugih propisanih uvjeta javnog poziva,</w:t>
      </w:r>
    </w:p>
    <w:p w:rsidR="00A2491D" w:rsidRPr="00A2491D" w:rsidRDefault="00A2491D" w:rsidP="00A2491D">
      <w:pPr>
        <w:pStyle w:val="NormalWeb"/>
        <w:numPr>
          <w:ilvl w:val="0"/>
          <w:numId w:val="18"/>
        </w:numPr>
      </w:pPr>
      <w:r w:rsidRPr="00A2491D">
        <w:t>donošenje odluke o neispunjavanju propisanih uvjeta javnog poziva,</w:t>
      </w:r>
    </w:p>
    <w:p w:rsidR="00A2491D" w:rsidRPr="00A2491D" w:rsidRDefault="00A2491D" w:rsidP="00A2491D">
      <w:pPr>
        <w:pStyle w:val="NormalWeb"/>
        <w:numPr>
          <w:ilvl w:val="0"/>
          <w:numId w:val="18"/>
        </w:numPr>
      </w:pPr>
      <w:r w:rsidRPr="00A2491D">
        <w:t>utvrđivanje popisa prijava koje se upućuju na razmatranje i ocjenjivanje povjerenstvu za ocjenjivanje programa, projekata ili manifestacija</w:t>
      </w:r>
      <w:r w:rsidR="006A5C68">
        <w:t>.</w:t>
      </w:r>
    </w:p>
    <w:p w:rsidR="00CE241B" w:rsidRDefault="00CE241B" w:rsidP="00A2491D">
      <w:pPr>
        <w:jc w:val="both"/>
      </w:pPr>
    </w:p>
    <w:p w:rsidR="00CE241B" w:rsidRDefault="00CE241B" w:rsidP="00CE241B">
      <w:pPr>
        <w:jc w:val="center"/>
      </w:pPr>
      <w:r>
        <w:t>Članak 9.</w:t>
      </w:r>
    </w:p>
    <w:p w:rsidR="00EF4DB5" w:rsidRDefault="00EF4DB5" w:rsidP="00CE241B">
      <w:pPr>
        <w:jc w:val="center"/>
      </w:pPr>
    </w:p>
    <w:p w:rsidR="00A2491D" w:rsidRDefault="00A2491D" w:rsidP="00A2491D">
      <w:pPr>
        <w:jc w:val="both"/>
      </w:pPr>
      <w:r>
        <w:t xml:space="preserve">Svi prijavitelji čije prijave budu odbijene iz razloga neispunjavanja </w:t>
      </w:r>
      <w:r w:rsidR="003E0B4D">
        <w:t>propisanih uvjeta javnog poziva</w:t>
      </w:r>
      <w:r>
        <w:t xml:space="preserve"> o toj činjenici moraju biti obaviješteni pisanim putem, u roku od osa</w:t>
      </w:r>
      <w:r w:rsidR="00EF4DB5">
        <w:t>m dana od dana donošenja odluke, s naznakom razloga zbog kojih prijava ne zadovoljava propisane uvjete.</w:t>
      </w:r>
    </w:p>
    <w:p w:rsidR="003B5203" w:rsidRDefault="003B5203" w:rsidP="00A2491D">
      <w:pPr>
        <w:jc w:val="both"/>
      </w:pPr>
    </w:p>
    <w:p w:rsidR="00A2491D" w:rsidRDefault="00A2491D" w:rsidP="00A2491D">
      <w:pPr>
        <w:jc w:val="both"/>
      </w:pPr>
      <w:r>
        <w:t>Prijavitelj čija prijava bude odbijena ima pravo podnijeti prigovor pročelniku Odjela u roku osam dana od dana primitka odluke.</w:t>
      </w:r>
    </w:p>
    <w:p w:rsidR="003B5203" w:rsidRPr="002606A2" w:rsidRDefault="003B5203" w:rsidP="003B5203">
      <w:pPr>
        <w:pStyle w:val="NormalWeb"/>
        <w:jc w:val="both"/>
        <w:rPr>
          <w:noProof/>
          <w:color w:val="000000" w:themeColor="text1"/>
        </w:rPr>
      </w:pPr>
      <w:r w:rsidRPr="002606A2">
        <w:rPr>
          <w:noProof/>
          <w:color w:val="000000" w:themeColor="text1"/>
        </w:rPr>
        <w:t>Ukoliko se radi o manjim propustima koj</w:t>
      </w:r>
      <w:r>
        <w:rPr>
          <w:noProof/>
          <w:color w:val="000000" w:themeColor="text1"/>
        </w:rPr>
        <w:t>i</w:t>
      </w:r>
      <w:r w:rsidRPr="002606A2">
        <w:rPr>
          <w:noProof/>
          <w:color w:val="000000" w:themeColor="text1"/>
        </w:rPr>
        <w:t xml:space="preserve"> nikako ne utječu na stvarnu kvalitetu prijave, </w:t>
      </w:r>
      <w:r>
        <w:rPr>
          <w:noProof/>
          <w:color w:val="000000" w:themeColor="text1"/>
        </w:rPr>
        <w:t>Odjel</w:t>
      </w:r>
      <w:r w:rsidRPr="002606A2">
        <w:rPr>
          <w:noProof/>
          <w:color w:val="000000" w:themeColor="text1"/>
        </w:rPr>
        <w:t xml:space="preserve"> može zatražiti dopunu dokumentacije, kako bi se </w:t>
      </w:r>
      <w:r w:rsidR="003E0B4D" w:rsidRPr="002606A2">
        <w:rPr>
          <w:noProof/>
          <w:color w:val="000000" w:themeColor="text1"/>
        </w:rPr>
        <w:t>otkloni</w:t>
      </w:r>
      <w:r w:rsidR="003E0B4D">
        <w:rPr>
          <w:noProof/>
          <w:color w:val="000000" w:themeColor="text1"/>
        </w:rPr>
        <w:t xml:space="preserve">o </w:t>
      </w:r>
      <w:r>
        <w:rPr>
          <w:noProof/>
          <w:color w:val="000000" w:themeColor="text1"/>
        </w:rPr>
        <w:t xml:space="preserve">nedostatak </w:t>
      </w:r>
      <w:r w:rsidRPr="002606A2">
        <w:rPr>
          <w:noProof/>
          <w:color w:val="000000" w:themeColor="text1"/>
        </w:rPr>
        <w:t xml:space="preserve">prijave. </w:t>
      </w:r>
    </w:p>
    <w:p w:rsidR="006776CA" w:rsidRPr="0031194B" w:rsidRDefault="006776CA" w:rsidP="006776CA">
      <w:pPr>
        <w:pStyle w:val="NormalWeb"/>
        <w:jc w:val="center"/>
        <w:rPr>
          <w:noProof/>
        </w:rPr>
      </w:pPr>
      <w:r w:rsidRPr="0031194B">
        <w:rPr>
          <w:noProof/>
        </w:rPr>
        <w:t>III. POSTUPAK IZRADE I DONOŠENJA PROGRAMA</w:t>
      </w:r>
    </w:p>
    <w:p w:rsidR="006776CA" w:rsidRPr="0031194B" w:rsidRDefault="006776CA" w:rsidP="006776CA">
      <w:pPr>
        <w:pStyle w:val="NormalWeb"/>
        <w:jc w:val="center"/>
        <w:rPr>
          <w:noProof/>
        </w:rPr>
      </w:pPr>
      <w:r w:rsidRPr="0031194B">
        <w:rPr>
          <w:noProof/>
        </w:rPr>
        <w:t xml:space="preserve">Članak </w:t>
      </w:r>
      <w:r w:rsidR="003B5203">
        <w:rPr>
          <w:noProof/>
        </w:rPr>
        <w:t>10</w:t>
      </w:r>
      <w:r w:rsidRPr="0031194B">
        <w:rPr>
          <w:noProof/>
        </w:rPr>
        <w:t>.</w:t>
      </w:r>
    </w:p>
    <w:p w:rsidR="006776CA" w:rsidRPr="0031194B" w:rsidRDefault="006776CA" w:rsidP="006776CA">
      <w:pPr>
        <w:jc w:val="both"/>
        <w:rPr>
          <w:noProof/>
        </w:rPr>
      </w:pPr>
      <w:r w:rsidRPr="0031194B">
        <w:rPr>
          <w:noProof/>
        </w:rPr>
        <w:t xml:space="preserve">Stručno </w:t>
      </w:r>
      <w:r w:rsidRPr="002606A2">
        <w:rPr>
          <w:noProof/>
          <w:color w:val="000000" w:themeColor="text1"/>
        </w:rPr>
        <w:t>ocjenjivanje</w:t>
      </w:r>
      <w:r w:rsidRPr="0031194B">
        <w:rPr>
          <w:noProof/>
          <w:color w:val="FF0000"/>
        </w:rPr>
        <w:t xml:space="preserve"> </w:t>
      </w:r>
      <w:r w:rsidRPr="0031194B">
        <w:rPr>
          <w:noProof/>
        </w:rPr>
        <w:t xml:space="preserve">podnesenih prijedloga </w:t>
      </w:r>
      <w:r w:rsidR="002363CC">
        <w:rPr>
          <w:noProof/>
        </w:rPr>
        <w:t>p</w:t>
      </w:r>
      <w:r w:rsidRPr="0031194B">
        <w:rPr>
          <w:noProof/>
        </w:rPr>
        <w:t xml:space="preserve">rograma provodi Kulturno vijeće Grada Dubrovnika (u daljnjem tekstu: Kulturno vijeće), koje svojom Odlukom imenuje Gradsko vijeće Grada Dubrovnika. </w:t>
      </w:r>
    </w:p>
    <w:p w:rsidR="006A5C68" w:rsidRDefault="00FD10B1" w:rsidP="00FD10B1">
      <w:pPr>
        <w:pStyle w:val="NormalWeb"/>
        <w:ind w:left="3540"/>
      </w:pPr>
      <w:r>
        <w:t xml:space="preserve">         </w:t>
      </w:r>
      <w:r w:rsidR="006A5C68">
        <w:t>Članak 11.</w:t>
      </w:r>
    </w:p>
    <w:p w:rsidR="003E0B4D" w:rsidRDefault="00CE5BEA" w:rsidP="003E0B4D">
      <w:pPr>
        <w:pStyle w:val="NormalWeb"/>
      </w:pPr>
      <w:r>
        <w:t xml:space="preserve">Članovi Kulturnog vijeća ne smiju biti u sukobu interesa. </w:t>
      </w:r>
    </w:p>
    <w:p w:rsidR="004215FB" w:rsidRDefault="00CE5BEA" w:rsidP="004215FB">
      <w:pPr>
        <w:pStyle w:val="NormalWeb"/>
        <w:jc w:val="both"/>
      </w:pPr>
      <w:r>
        <w:rPr>
          <w:noProof/>
          <w:color w:val="000000" w:themeColor="text1"/>
        </w:rPr>
        <w:t xml:space="preserve">Član </w:t>
      </w:r>
      <w:r w:rsidR="006776CA" w:rsidRPr="002606A2">
        <w:rPr>
          <w:noProof/>
          <w:color w:val="000000" w:themeColor="text1"/>
        </w:rPr>
        <w:t xml:space="preserve">Kulturnog vijeća ne može sudjelovati u raspravi i izuzet je od odlučivanja Kulturnog vijeća o pitanju koje se odnosi na umjetnički ili kulturni projekt u kojemu sudjeluje on ili s njim povezane osobe (srodnik po krvi u ravnoj liniji do bilo kojeg stupnja, bračni ili izvanbračni drug) ili se odnosi na kulturni ili umjetnički projekt koji je predložila pravna osoba u kojoj član Kulturnog vijeća ili s njim povezane osobe imaju vlasnički ili osnivački udio ili sudjeluju u njezinom upravljanju. </w:t>
      </w:r>
    </w:p>
    <w:p w:rsidR="006A5C68" w:rsidRDefault="006A5C68" w:rsidP="006A5C68">
      <w:pPr>
        <w:pStyle w:val="NormalWeb"/>
        <w:jc w:val="center"/>
      </w:pPr>
      <w:r>
        <w:t>Članak 12.</w:t>
      </w:r>
    </w:p>
    <w:p w:rsidR="006A5C68" w:rsidRPr="006A5C68" w:rsidRDefault="006A5C68" w:rsidP="006A5C68">
      <w:pPr>
        <w:pStyle w:val="NormalWeb"/>
      </w:pPr>
      <w:r w:rsidRPr="006A5C68">
        <w:t>Zadaća Kulturnog vijeća je:</w:t>
      </w:r>
    </w:p>
    <w:p w:rsidR="006A5C68" w:rsidRPr="006A5C68" w:rsidRDefault="006A5C68" w:rsidP="006A5C68">
      <w:pPr>
        <w:pStyle w:val="NormalWeb"/>
        <w:numPr>
          <w:ilvl w:val="0"/>
          <w:numId w:val="19"/>
        </w:numPr>
        <w:jc w:val="both"/>
      </w:pPr>
      <w:r w:rsidRPr="006A5C68">
        <w:t xml:space="preserve">razmatranje i </w:t>
      </w:r>
      <w:r w:rsidR="000B36E6">
        <w:t xml:space="preserve">stručno </w:t>
      </w:r>
      <w:r w:rsidRPr="006A5C68">
        <w:t>ocjenjivanje prijava koje su ispunile propisane uvjete javnog poziva sukladno kriterijima javnog poziva,</w:t>
      </w:r>
    </w:p>
    <w:p w:rsidR="006A5C68" w:rsidRPr="006A5C68" w:rsidRDefault="006A5C68" w:rsidP="006A5C68">
      <w:pPr>
        <w:pStyle w:val="NormalWeb"/>
        <w:numPr>
          <w:ilvl w:val="0"/>
          <w:numId w:val="19"/>
        </w:numPr>
        <w:jc w:val="both"/>
      </w:pPr>
      <w:r w:rsidRPr="006A5C68">
        <w:t>izrada prijedloga odluke o odobravanju/neodobravanju financijskih sredstava za programe i projekte.</w:t>
      </w:r>
    </w:p>
    <w:p w:rsidR="006776CA" w:rsidRPr="0031194B" w:rsidRDefault="006776CA" w:rsidP="006776CA">
      <w:pPr>
        <w:pStyle w:val="NormalWeb"/>
        <w:jc w:val="both"/>
        <w:rPr>
          <w:noProof/>
        </w:rPr>
      </w:pPr>
      <w:r w:rsidRPr="0031194B">
        <w:rPr>
          <w:noProof/>
        </w:rPr>
        <w:t>Kulturno vijeće radi na sjednicama na kojima je nazočna natpolovična većina članova.</w:t>
      </w:r>
    </w:p>
    <w:p w:rsidR="006776CA" w:rsidRDefault="006776CA" w:rsidP="006776CA">
      <w:pPr>
        <w:pStyle w:val="NormalWeb"/>
        <w:jc w:val="both"/>
        <w:rPr>
          <w:noProof/>
        </w:rPr>
      </w:pPr>
      <w:r w:rsidRPr="0031194B">
        <w:rPr>
          <w:noProof/>
        </w:rPr>
        <w:t>Kulturno vijeće svoje odluke donosi većinom glasova nazočnih članova.</w:t>
      </w:r>
    </w:p>
    <w:p w:rsidR="006776CA" w:rsidRPr="0031194B" w:rsidRDefault="006776CA" w:rsidP="006776CA">
      <w:pPr>
        <w:pStyle w:val="NormalWeb"/>
        <w:ind w:left="3540" w:firstLine="708"/>
        <w:jc w:val="both"/>
        <w:rPr>
          <w:noProof/>
        </w:rPr>
      </w:pPr>
      <w:r w:rsidRPr="0031194B">
        <w:rPr>
          <w:noProof/>
        </w:rPr>
        <w:t>Članak 1</w:t>
      </w:r>
      <w:r w:rsidR="000B36E6">
        <w:rPr>
          <w:noProof/>
        </w:rPr>
        <w:t>3</w:t>
      </w:r>
      <w:r w:rsidRPr="0031194B">
        <w:rPr>
          <w:noProof/>
        </w:rPr>
        <w:t>.</w:t>
      </w:r>
    </w:p>
    <w:p w:rsidR="00EF4DB5" w:rsidRDefault="006776CA" w:rsidP="00EF4DB5">
      <w:pPr>
        <w:pStyle w:val="NormalWeb"/>
        <w:jc w:val="both"/>
        <w:rPr>
          <w:noProof/>
          <w:color w:val="000000" w:themeColor="text1"/>
        </w:rPr>
      </w:pPr>
      <w:r w:rsidRPr="0031194B">
        <w:rPr>
          <w:noProof/>
          <w:color w:val="auto"/>
        </w:rPr>
        <w:t xml:space="preserve">Pri stručnom ocjenjivanju prijedloga </w:t>
      </w:r>
      <w:r w:rsidR="000B36E6">
        <w:rPr>
          <w:noProof/>
          <w:color w:val="auto"/>
        </w:rPr>
        <w:t>p</w:t>
      </w:r>
      <w:r w:rsidRPr="0031194B">
        <w:rPr>
          <w:noProof/>
          <w:color w:val="auto"/>
        </w:rPr>
        <w:t xml:space="preserve">rograma, Kulturno vijeće primjenjuje </w:t>
      </w:r>
      <w:r w:rsidR="00905649">
        <w:rPr>
          <w:noProof/>
          <w:color w:val="auto"/>
        </w:rPr>
        <w:t xml:space="preserve">utvrđene </w:t>
      </w:r>
      <w:r w:rsidRPr="0031194B">
        <w:rPr>
          <w:noProof/>
          <w:color w:val="auto"/>
        </w:rPr>
        <w:t>kriterije i sustav bodovanja</w:t>
      </w:r>
      <w:r w:rsidR="00905649">
        <w:rPr>
          <w:noProof/>
          <w:color w:val="auto"/>
        </w:rPr>
        <w:t xml:space="preserve"> </w:t>
      </w:r>
      <w:r w:rsidR="00905649" w:rsidRPr="004215FB">
        <w:rPr>
          <w:noProof/>
          <w:color w:val="000000" w:themeColor="text1"/>
        </w:rPr>
        <w:t xml:space="preserve">koji su javno dostupni i objavljeni na službenoj web stranici Grada Dubrovnika. </w:t>
      </w:r>
    </w:p>
    <w:p w:rsidR="006776CA" w:rsidRPr="004215FB" w:rsidRDefault="006776CA" w:rsidP="00EF4DB5">
      <w:pPr>
        <w:pStyle w:val="NormalWeb"/>
        <w:ind w:left="3540" w:firstLine="708"/>
        <w:jc w:val="both"/>
        <w:rPr>
          <w:noProof/>
          <w:color w:val="000000" w:themeColor="text1"/>
        </w:rPr>
      </w:pPr>
      <w:r w:rsidRPr="0031194B">
        <w:rPr>
          <w:noProof/>
        </w:rPr>
        <w:lastRenderedPageBreak/>
        <w:t>Članak 1</w:t>
      </w:r>
      <w:r w:rsidR="000B36E6">
        <w:rPr>
          <w:noProof/>
        </w:rPr>
        <w:t>4</w:t>
      </w:r>
      <w:r w:rsidRPr="0031194B">
        <w:rPr>
          <w:noProof/>
        </w:rPr>
        <w:t>.</w:t>
      </w:r>
    </w:p>
    <w:p w:rsidR="006776CA" w:rsidRPr="004215FB" w:rsidRDefault="006776CA" w:rsidP="006776CA">
      <w:pPr>
        <w:pStyle w:val="NormalWeb"/>
        <w:jc w:val="both"/>
        <w:rPr>
          <w:noProof/>
        </w:rPr>
      </w:pPr>
      <w:r w:rsidRPr="004215FB">
        <w:rPr>
          <w:noProof/>
          <w:lang w:val="es-AR"/>
        </w:rPr>
        <w:t xml:space="preserve">Kulturno vijeće donosi stručnu ocjenu za svaki pojedini program na temelju razmatranja </w:t>
      </w:r>
      <w:r w:rsidR="005A7980" w:rsidRPr="004215FB">
        <w:rPr>
          <w:noProof/>
          <w:color w:val="000000" w:themeColor="text1"/>
          <w:lang w:val="es-AR"/>
        </w:rPr>
        <w:t>utvrđenih kriterija</w:t>
      </w:r>
      <w:r w:rsidRPr="004215FB">
        <w:rPr>
          <w:noProof/>
          <w:lang w:val="es-AR"/>
        </w:rPr>
        <w:t xml:space="preserve"> </w:t>
      </w:r>
      <w:r w:rsidR="004215FB" w:rsidRPr="004215FB">
        <w:rPr>
          <w:noProof/>
          <w:color w:val="000000" w:themeColor="text1"/>
        </w:rPr>
        <w:t>Kulturnog vijeća za vrednovanje javnih potreba u kulturi Grada Dubrovnika</w:t>
      </w:r>
      <w:r w:rsidR="004215FB">
        <w:t>.</w:t>
      </w:r>
    </w:p>
    <w:p w:rsidR="006776CA" w:rsidRPr="0031194B" w:rsidRDefault="006776CA" w:rsidP="00FD10B1">
      <w:pPr>
        <w:pStyle w:val="NormalWeb"/>
        <w:rPr>
          <w:noProof/>
          <w:color w:val="auto"/>
        </w:rPr>
      </w:pPr>
      <w:r w:rsidRPr="0031194B">
        <w:rPr>
          <w:noProof/>
          <w:color w:val="auto"/>
        </w:rPr>
        <w:t>Stručnu ocjenu s prijedlogom sufinanciranja programa Kulturno vijeće dostavlja Odjelu.</w:t>
      </w:r>
      <w:r w:rsidR="00FD10B1">
        <w:rPr>
          <w:noProof/>
          <w:color w:val="auto"/>
        </w:rPr>
        <w:t xml:space="preserve"> </w:t>
      </w:r>
      <w:r w:rsidRPr="0031194B">
        <w:rPr>
          <w:noProof/>
          <w:color w:val="auto"/>
        </w:rPr>
        <w:t>Na temelju stručne ocjene Kulturnog vijeća, Odjel izrađuje Prijedlog programa s planom raspodjele sredstava po pojedinim programima odnosno korisnicima, u skladu s proračunskim mogućnostima.</w:t>
      </w:r>
    </w:p>
    <w:p w:rsidR="006776CA" w:rsidRPr="004215FB" w:rsidRDefault="006776CA" w:rsidP="006776CA">
      <w:pPr>
        <w:pStyle w:val="NormalWeb"/>
        <w:jc w:val="both"/>
        <w:rPr>
          <w:noProof/>
        </w:rPr>
      </w:pPr>
      <w:r w:rsidRPr="0031194B">
        <w:rPr>
          <w:noProof/>
          <w:color w:val="auto"/>
        </w:rPr>
        <w:t>Prijedlog pojedinog program</w:t>
      </w:r>
      <w:r w:rsidR="004215FB">
        <w:rPr>
          <w:noProof/>
          <w:color w:val="auto"/>
        </w:rPr>
        <w:t xml:space="preserve">a neće se sufinancirati iznad </w:t>
      </w:r>
      <w:r w:rsidRPr="0031194B">
        <w:rPr>
          <w:noProof/>
          <w:color w:val="auto"/>
        </w:rPr>
        <w:t>iznosa</w:t>
      </w:r>
      <w:r w:rsidR="004215FB" w:rsidRPr="004215FB">
        <w:rPr>
          <w:noProof/>
          <w:color w:val="auto"/>
        </w:rPr>
        <w:t xml:space="preserve"> </w:t>
      </w:r>
      <w:r w:rsidR="004215FB" w:rsidRPr="0031194B">
        <w:rPr>
          <w:noProof/>
          <w:color w:val="auto"/>
        </w:rPr>
        <w:t>utvrđenih</w:t>
      </w:r>
      <w:r w:rsidR="004215FB">
        <w:rPr>
          <w:noProof/>
          <w:color w:val="000000" w:themeColor="text1"/>
        </w:rPr>
        <w:t xml:space="preserve"> kriterijima </w:t>
      </w:r>
      <w:r w:rsidR="004215FB" w:rsidRPr="004215FB">
        <w:rPr>
          <w:noProof/>
          <w:color w:val="000000" w:themeColor="text1"/>
        </w:rPr>
        <w:t>Kulturnog vijeća za vrednovanje javnih potreba u kulturi Grada Dubrovnika</w:t>
      </w:r>
      <w:r w:rsidR="004215FB">
        <w:rPr>
          <w:noProof/>
          <w:color w:val="auto"/>
        </w:rPr>
        <w:t>.</w:t>
      </w:r>
    </w:p>
    <w:p w:rsidR="006776CA" w:rsidRDefault="006776CA" w:rsidP="006776CA">
      <w:pPr>
        <w:jc w:val="both"/>
        <w:rPr>
          <w:noProof/>
        </w:rPr>
      </w:pPr>
      <w:r>
        <w:rPr>
          <w:noProof/>
        </w:rPr>
        <w:t>Iznimno, Odjel može odobriti i veći iznos za pojedini program/projekt</w:t>
      </w:r>
      <w:r w:rsidR="005A7980">
        <w:rPr>
          <w:noProof/>
        </w:rPr>
        <w:t>/manifestaciju</w:t>
      </w:r>
      <w:r>
        <w:rPr>
          <w:noProof/>
        </w:rPr>
        <w:t>, ukoliko se ocijeni da je isti od posebnog značaja za Grad Dubrovnik.</w:t>
      </w:r>
    </w:p>
    <w:p w:rsidR="006776CA" w:rsidRDefault="006776CA" w:rsidP="006776CA">
      <w:pPr>
        <w:jc w:val="both"/>
        <w:rPr>
          <w:noProof/>
        </w:rPr>
      </w:pPr>
    </w:p>
    <w:p w:rsidR="00E300A7" w:rsidRPr="008E5005" w:rsidRDefault="00E300A7" w:rsidP="00EF4DB5">
      <w:pPr>
        <w:widowControl w:val="0"/>
        <w:wordWrap w:val="0"/>
        <w:autoSpaceDE w:val="0"/>
        <w:autoSpaceDN w:val="0"/>
        <w:jc w:val="both"/>
        <w:rPr>
          <w:noProof/>
          <w:color w:val="000000" w:themeColor="text1"/>
        </w:rPr>
      </w:pPr>
      <w:r w:rsidRPr="004215FB">
        <w:rPr>
          <w:noProof/>
          <w:color w:val="000000" w:themeColor="text1"/>
        </w:rPr>
        <w:t>S korisnicima sredstava Grad Dubrovnik sklopit će ugovore o sufinanciranju programa.</w:t>
      </w:r>
    </w:p>
    <w:p w:rsidR="006776CA" w:rsidRPr="0031194B" w:rsidRDefault="006776CA" w:rsidP="006776CA">
      <w:pPr>
        <w:pStyle w:val="NormalWeb"/>
        <w:jc w:val="center"/>
        <w:rPr>
          <w:noProof/>
          <w:color w:val="auto"/>
        </w:rPr>
      </w:pPr>
      <w:r w:rsidRPr="0031194B">
        <w:rPr>
          <w:noProof/>
          <w:color w:val="auto"/>
        </w:rPr>
        <w:t>Članak 1</w:t>
      </w:r>
      <w:r w:rsidR="005A7980">
        <w:rPr>
          <w:noProof/>
          <w:color w:val="auto"/>
        </w:rPr>
        <w:t>5</w:t>
      </w:r>
      <w:r w:rsidRPr="0031194B">
        <w:rPr>
          <w:noProof/>
          <w:color w:val="auto"/>
        </w:rPr>
        <w:t>.</w:t>
      </w:r>
    </w:p>
    <w:p w:rsidR="006776CA" w:rsidRDefault="006776CA" w:rsidP="006776CA">
      <w:pPr>
        <w:widowControl w:val="0"/>
        <w:wordWrap w:val="0"/>
        <w:autoSpaceDE w:val="0"/>
        <w:autoSpaceDN w:val="0"/>
        <w:jc w:val="both"/>
        <w:rPr>
          <w:noProof/>
        </w:rPr>
      </w:pPr>
      <w:r w:rsidRPr="0031194B">
        <w:rPr>
          <w:noProof/>
        </w:rPr>
        <w:t>Programi za koje se traži sufinanciranje izvan redovnog Poziva, moraju biti prijavljeni na istom obrascu kao i prijave na redovni godišnji javni poziv</w:t>
      </w:r>
      <w:r>
        <w:rPr>
          <w:noProof/>
        </w:rPr>
        <w:t>.</w:t>
      </w:r>
    </w:p>
    <w:p w:rsidR="006776CA" w:rsidRDefault="006776CA" w:rsidP="006776CA">
      <w:pPr>
        <w:widowControl w:val="0"/>
        <w:wordWrap w:val="0"/>
        <w:autoSpaceDE w:val="0"/>
        <w:autoSpaceDN w:val="0"/>
        <w:jc w:val="both"/>
        <w:rPr>
          <w:noProof/>
        </w:rPr>
      </w:pPr>
    </w:p>
    <w:p w:rsidR="006776CA" w:rsidRPr="00CD74EA" w:rsidRDefault="006776CA" w:rsidP="006776CA">
      <w:pPr>
        <w:widowControl w:val="0"/>
        <w:wordWrap w:val="0"/>
        <w:autoSpaceDE w:val="0"/>
        <w:autoSpaceDN w:val="0"/>
        <w:jc w:val="both"/>
        <w:rPr>
          <w:noProof/>
          <w:color w:val="000000" w:themeColor="text1"/>
        </w:rPr>
      </w:pPr>
      <w:r w:rsidRPr="00CD74EA">
        <w:rPr>
          <w:noProof/>
          <w:color w:val="000000" w:themeColor="text1"/>
        </w:rPr>
        <w:t xml:space="preserve">Financijska sredstva za ovakve programe dodjeljuju se samo u opravdanim i iznimnim slučajevima, </w:t>
      </w:r>
      <w:r w:rsidR="00FD7EEC" w:rsidRPr="004215FB">
        <w:rPr>
          <w:color w:val="000000" w:themeColor="text1"/>
        </w:rPr>
        <w:t>ali ne više od jednom u tekućoj godini</w:t>
      </w:r>
      <w:r w:rsidR="00FD7EEC">
        <w:rPr>
          <w:noProof/>
          <w:color w:val="000000" w:themeColor="text1"/>
        </w:rPr>
        <w:t xml:space="preserve">, </w:t>
      </w:r>
      <w:r w:rsidRPr="00CD74EA">
        <w:rPr>
          <w:noProof/>
          <w:color w:val="000000" w:themeColor="text1"/>
        </w:rPr>
        <w:t xml:space="preserve">a </w:t>
      </w:r>
      <w:r w:rsidRPr="00CD74EA">
        <w:rPr>
          <w:rStyle w:val="CharAttribute2"/>
          <w:rFonts w:eastAsia="Batang"/>
          <w:noProof/>
          <w:color w:val="000000" w:themeColor="text1"/>
        </w:rPr>
        <w:t>Kulturno vijeće za takve programe neće predložiti financiranje u iznosu većem od 5.000 (pet tisuća) kuna.</w:t>
      </w:r>
      <w:r w:rsidRPr="00CD74EA">
        <w:rPr>
          <w:noProof/>
          <w:color w:val="000000" w:themeColor="text1"/>
        </w:rPr>
        <w:t xml:space="preserve"> S korisnikom sredstava Grad Dubrovnik sklopit će ugovor o dodjeli sredstava.</w:t>
      </w:r>
    </w:p>
    <w:p w:rsidR="006776CA" w:rsidRPr="0031194B" w:rsidRDefault="006776CA" w:rsidP="00FD7EEC">
      <w:pPr>
        <w:pStyle w:val="NormalWeb"/>
        <w:jc w:val="center"/>
        <w:rPr>
          <w:noProof/>
        </w:rPr>
      </w:pPr>
      <w:r w:rsidRPr="0031194B">
        <w:rPr>
          <w:noProof/>
        </w:rPr>
        <w:t>Članak 1</w:t>
      </w:r>
      <w:r w:rsidR="005A7980">
        <w:rPr>
          <w:noProof/>
        </w:rPr>
        <w:t>6</w:t>
      </w:r>
      <w:r w:rsidRPr="0031194B">
        <w:rPr>
          <w:noProof/>
        </w:rPr>
        <w:t>.</w:t>
      </w:r>
    </w:p>
    <w:p w:rsidR="006776CA" w:rsidRPr="0031194B" w:rsidRDefault="006776CA" w:rsidP="006776CA">
      <w:pPr>
        <w:pStyle w:val="NormalWeb"/>
        <w:jc w:val="both"/>
        <w:rPr>
          <w:noProof/>
        </w:rPr>
      </w:pPr>
      <w:r w:rsidRPr="0031194B">
        <w:rPr>
          <w:noProof/>
        </w:rPr>
        <w:t xml:space="preserve">Konačni </w:t>
      </w:r>
      <w:r>
        <w:rPr>
          <w:noProof/>
        </w:rPr>
        <w:t>P</w:t>
      </w:r>
      <w:r w:rsidRPr="0031194B">
        <w:rPr>
          <w:noProof/>
        </w:rPr>
        <w:t xml:space="preserve">rijedlog </w:t>
      </w:r>
      <w:r w:rsidR="00E839BE">
        <w:rPr>
          <w:noProof/>
        </w:rPr>
        <w:t>P</w:t>
      </w:r>
      <w:r w:rsidRPr="0031194B">
        <w:rPr>
          <w:noProof/>
        </w:rPr>
        <w:t>rograma i plana raspodjele sredstava utvrđuje gradonačelnik i prosljeđuje Gradskom vijeću na usvajanje.</w:t>
      </w:r>
    </w:p>
    <w:p w:rsidR="006776CA" w:rsidRPr="002606A2" w:rsidRDefault="006776CA" w:rsidP="006776CA">
      <w:pPr>
        <w:pStyle w:val="NormalWeb"/>
        <w:jc w:val="both"/>
        <w:rPr>
          <w:noProof/>
          <w:color w:val="000000" w:themeColor="text1"/>
        </w:rPr>
      </w:pPr>
      <w:r w:rsidRPr="0031194B">
        <w:rPr>
          <w:noProof/>
        </w:rPr>
        <w:t xml:space="preserve">Usvojeni Program se objavljuje u »Službenom glasniku« Grada Dubrovnika i na </w:t>
      </w:r>
      <w:r>
        <w:rPr>
          <w:noProof/>
        </w:rPr>
        <w:t xml:space="preserve">službenoj </w:t>
      </w:r>
      <w:r w:rsidRPr="0031194B">
        <w:rPr>
          <w:noProof/>
        </w:rPr>
        <w:t>web stranici Grada.</w:t>
      </w:r>
    </w:p>
    <w:p w:rsidR="006776CA" w:rsidRPr="002606A2" w:rsidRDefault="006776CA" w:rsidP="006776CA">
      <w:pPr>
        <w:pStyle w:val="NormalWeb"/>
        <w:ind w:left="3540"/>
        <w:rPr>
          <w:noProof/>
          <w:color w:val="000000" w:themeColor="text1"/>
        </w:rPr>
      </w:pPr>
      <w:r w:rsidRPr="002606A2">
        <w:rPr>
          <w:noProof/>
          <w:color w:val="000000" w:themeColor="text1"/>
        </w:rPr>
        <w:t xml:space="preserve">      Članak 1</w:t>
      </w:r>
      <w:r w:rsidR="005A7980">
        <w:rPr>
          <w:noProof/>
          <w:color w:val="000000" w:themeColor="text1"/>
        </w:rPr>
        <w:t>7</w:t>
      </w:r>
      <w:r w:rsidRPr="002606A2">
        <w:rPr>
          <w:noProof/>
          <w:color w:val="000000" w:themeColor="text1"/>
        </w:rPr>
        <w:t xml:space="preserve">. </w:t>
      </w:r>
    </w:p>
    <w:p w:rsidR="006776CA" w:rsidRPr="002606A2" w:rsidRDefault="004C7A59" w:rsidP="006776CA">
      <w:pPr>
        <w:jc w:val="both"/>
        <w:rPr>
          <w:noProof/>
          <w:color w:val="000000" w:themeColor="text1"/>
        </w:rPr>
      </w:pPr>
      <w:r>
        <w:rPr>
          <w:noProof/>
          <w:color w:val="000000" w:themeColor="text1"/>
        </w:rPr>
        <w:t>Odjel je</w:t>
      </w:r>
      <w:r w:rsidR="006776CA" w:rsidRPr="002606A2">
        <w:rPr>
          <w:noProof/>
          <w:color w:val="000000" w:themeColor="text1"/>
        </w:rPr>
        <w:t xml:space="preserve"> obvezan pisanim putem obavijestiti prijavitelje čiji programi nisu prihvaćeni o razlozima nefinanciranja njihovog programa, uz navođenje ostvarenog broja bodova po pojedinim kategorijama ocjenjivanja i obrazloženja iz opisnog dijela ocjene ocjenjivanog programa. </w:t>
      </w:r>
    </w:p>
    <w:p w:rsidR="0063124D" w:rsidRDefault="0063124D" w:rsidP="006776CA">
      <w:pPr>
        <w:jc w:val="both"/>
      </w:pPr>
    </w:p>
    <w:p w:rsidR="006776CA" w:rsidRDefault="0063124D" w:rsidP="006776CA">
      <w:pPr>
        <w:jc w:val="both"/>
      </w:pPr>
      <w:r w:rsidRPr="009A749A">
        <w:t xml:space="preserve">Prijaviteljima kojima nisu odobrena financijska sredstva, može se na njihov zahtjev u roku od osam dana od dana primitka </w:t>
      </w:r>
      <w:r>
        <w:t>obavijesti</w:t>
      </w:r>
      <w:r w:rsidRPr="009A749A">
        <w:t xml:space="preserve"> o neodobravanju financijskih sredstava</w:t>
      </w:r>
      <w:r w:rsidR="004215FB">
        <w:t>,</w:t>
      </w:r>
      <w:r w:rsidRPr="009A749A">
        <w:t xml:space="preserve"> omogućiti uvid u zbirnu ocjenu njihovog programa</w:t>
      </w:r>
      <w:r>
        <w:t>.</w:t>
      </w:r>
    </w:p>
    <w:p w:rsidR="0063124D" w:rsidRPr="002606A2" w:rsidRDefault="0063124D" w:rsidP="006776CA">
      <w:pPr>
        <w:jc w:val="both"/>
        <w:rPr>
          <w:noProof/>
          <w:color w:val="000000" w:themeColor="text1"/>
        </w:rPr>
      </w:pPr>
    </w:p>
    <w:p w:rsidR="00A638C2" w:rsidRPr="009A749A" w:rsidRDefault="006776CA" w:rsidP="00A638C2">
      <w:pPr>
        <w:pStyle w:val="ListParagraph"/>
        <w:ind w:left="0"/>
        <w:jc w:val="both"/>
      </w:pPr>
      <w:r w:rsidRPr="002606A2">
        <w:rPr>
          <w:noProof/>
          <w:color w:val="000000" w:themeColor="text1"/>
        </w:rPr>
        <w:t xml:space="preserve">Prijavitelji </w:t>
      </w:r>
      <w:r w:rsidR="0063124D" w:rsidRPr="009A749A">
        <w:t>kojima nisu odobrena financijska sredstva</w:t>
      </w:r>
      <w:r w:rsidR="0063124D" w:rsidRPr="002606A2">
        <w:rPr>
          <w:noProof/>
          <w:color w:val="000000" w:themeColor="text1"/>
        </w:rPr>
        <w:t xml:space="preserve"> </w:t>
      </w:r>
      <w:r w:rsidRPr="002606A2">
        <w:rPr>
          <w:noProof/>
          <w:color w:val="000000" w:themeColor="text1"/>
        </w:rPr>
        <w:t>imaju mogućnost izjave pisanog prigovora</w:t>
      </w:r>
      <w:r w:rsidR="00A638C2">
        <w:rPr>
          <w:noProof/>
          <w:color w:val="000000" w:themeColor="text1"/>
        </w:rPr>
        <w:t xml:space="preserve"> Odjelu </w:t>
      </w:r>
      <w:r w:rsidR="00A638C2" w:rsidRPr="002606A2">
        <w:rPr>
          <w:noProof/>
          <w:color w:val="000000" w:themeColor="text1"/>
        </w:rPr>
        <w:t xml:space="preserve">u roku od 8 radnih dana od dana primitka pisane obavijesti o neodobravanju </w:t>
      </w:r>
      <w:r w:rsidR="00A638C2" w:rsidRPr="002606A2">
        <w:rPr>
          <w:noProof/>
          <w:color w:val="000000" w:themeColor="text1"/>
        </w:rPr>
        <w:lastRenderedPageBreak/>
        <w:t>financijskih sredstava</w:t>
      </w:r>
      <w:r w:rsidR="00A638C2" w:rsidRPr="009A749A">
        <w:t>.</w:t>
      </w:r>
      <w:r w:rsidR="00FD10B1">
        <w:t xml:space="preserve"> </w:t>
      </w:r>
      <w:r w:rsidR="00A638C2" w:rsidRPr="002606A2">
        <w:rPr>
          <w:noProof/>
          <w:color w:val="000000" w:themeColor="text1"/>
        </w:rPr>
        <w:t xml:space="preserve">Prigovor u pravilu ne odgađa izvršenje </w:t>
      </w:r>
      <w:r w:rsidR="00F57105">
        <w:rPr>
          <w:noProof/>
          <w:color w:val="000000" w:themeColor="text1"/>
        </w:rPr>
        <w:t>Programa</w:t>
      </w:r>
      <w:r w:rsidR="00A638C2" w:rsidRPr="002606A2">
        <w:rPr>
          <w:noProof/>
          <w:color w:val="000000" w:themeColor="text1"/>
        </w:rPr>
        <w:t xml:space="preserve"> i daljnju provedbu natječajnog postupka.</w:t>
      </w:r>
    </w:p>
    <w:p w:rsidR="0063124D" w:rsidRDefault="0063124D" w:rsidP="0063124D">
      <w:pPr>
        <w:pStyle w:val="ListParagraph"/>
        <w:ind w:left="0"/>
        <w:jc w:val="both"/>
      </w:pPr>
    </w:p>
    <w:p w:rsidR="00471417" w:rsidRDefault="0063124D" w:rsidP="00FD10B1">
      <w:pPr>
        <w:pStyle w:val="ListParagraph"/>
        <w:ind w:left="0"/>
        <w:jc w:val="both"/>
      </w:pPr>
      <w:r w:rsidRPr="009A749A">
        <w:t>Prigovor se može podnijeti samo zbog povrede postupka odo</w:t>
      </w:r>
      <w:r>
        <w:t xml:space="preserve">bravanja financijskih sredstava, a ne može se podnijeti na </w:t>
      </w:r>
      <w:r w:rsidR="00BA5F54">
        <w:t xml:space="preserve">samu </w:t>
      </w:r>
      <w:r>
        <w:t>odluku o</w:t>
      </w:r>
      <w:r w:rsidRPr="009A749A">
        <w:t xml:space="preserve"> neodobravanju sredstava ili </w:t>
      </w:r>
      <w:r w:rsidR="00E300A7">
        <w:t xml:space="preserve">na </w:t>
      </w:r>
      <w:r w:rsidRPr="009A749A">
        <w:t>visinu odobrenih sredstava.</w:t>
      </w:r>
      <w:r w:rsidR="00FD10B1">
        <w:t xml:space="preserve"> </w:t>
      </w:r>
    </w:p>
    <w:p w:rsidR="00471417" w:rsidRDefault="00471417" w:rsidP="00FD10B1">
      <w:pPr>
        <w:pStyle w:val="ListParagraph"/>
        <w:ind w:left="0"/>
        <w:jc w:val="both"/>
      </w:pPr>
    </w:p>
    <w:p w:rsidR="00471417" w:rsidRDefault="00A638C2" w:rsidP="00FD10B1">
      <w:pPr>
        <w:pStyle w:val="ListParagraph"/>
        <w:ind w:left="0"/>
        <w:jc w:val="both"/>
        <w:rPr>
          <w:noProof/>
          <w:color w:val="000000" w:themeColor="text1"/>
        </w:rPr>
      </w:pPr>
      <w:r>
        <w:t>O</w:t>
      </w:r>
      <w:r w:rsidRPr="009A749A">
        <w:t xml:space="preserve">dluku o prigovoru donosi pročelnik </w:t>
      </w:r>
      <w:r>
        <w:t>O</w:t>
      </w:r>
      <w:r w:rsidRPr="009A749A">
        <w:t xml:space="preserve">djela </w:t>
      </w:r>
      <w:r>
        <w:t xml:space="preserve">u roku </w:t>
      </w:r>
      <w:r w:rsidR="004C7A59" w:rsidRPr="009A749A">
        <w:t>osam dana od dana primitka prigovora.</w:t>
      </w:r>
      <w:r w:rsidR="006776CA" w:rsidRPr="002606A2">
        <w:rPr>
          <w:noProof/>
          <w:color w:val="000000" w:themeColor="text1"/>
        </w:rPr>
        <w:t xml:space="preserve"> </w:t>
      </w:r>
    </w:p>
    <w:p w:rsidR="00471417" w:rsidRDefault="00471417" w:rsidP="00FD10B1">
      <w:pPr>
        <w:pStyle w:val="ListParagraph"/>
        <w:ind w:left="0"/>
        <w:jc w:val="both"/>
        <w:rPr>
          <w:noProof/>
          <w:color w:val="000000" w:themeColor="text1"/>
        </w:rPr>
      </w:pPr>
    </w:p>
    <w:p w:rsidR="006776CA" w:rsidRPr="00FD10B1" w:rsidRDefault="006776CA" w:rsidP="00FD10B1">
      <w:pPr>
        <w:pStyle w:val="ListParagraph"/>
        <w:ind w:left="0"/>
        <w:jc w:val="both"/>
      </w:pPr>
      <w:r w:rsidRPr="002606A2">
        <w:rPr>
          <w:noProof/>
          <w:color w:val="000000" w:themeColor="text1"/>
        </w:rPr>
        <w:t>Postupak dodjele financijskih sredstava je akt poslovanja i ne vodi se kao upravni postupak te se na postupak prigovora ne primjenjuju odredbe o žalbi kao pravnom lijeku u upravnom postupku.</w:t>
      </w:r>
    </w:p>
    <w:p w:rsidR="006776CA" w:rsidRPr="00FD10B1" w:rsidRDefault="006776CA" w:rsidP="006776CA">
      <w:pPr>
        <w:pStyle w:val="NormalWeb"/>
        <w:jc w:val="center"/>
        <w:rPr>
          <w:noProof/>
        </w:rPr>
      </w:pPr>
      <w:r w:rsidRPr="00FD10B1">
        <w:rPr>
          <w:noProof/>
        </w:rPr>
        <w:t>IV. NAČIN PRAĆENJA I KORIŠTENJA DODIJELJENIH SREDSTAVA</w:t>
      </w:r>
    </w:p>
    <w:p w:rsidR="006776CA" w:rsidRPr="0031194B" w:rsidRDefault="006776CA" w:rsidP="006776CA">
      <w:pPr>
        <w:pStyle w:val="NormalWeb"/>
        <w:jc w:val="center"/>
        <w:rPr>
          <w:noProof/>
        </w:rPr>
      </w:pPr>
      <w:r w:rsidRPr="0031194B">
        <w:rPr>
          <w:noProof/>
        </w:rPr>
        <w:t>Članak 1</w:t>
      </w:r>
      <w:r w:rsidR="00E300A7">
        <w:rPr>
          <w:noProof/>
        </w:rPr>
        <w:t>8</w:t>
      </w:r>
      <w:r w:rsidRPr="0031194B">
        <w:rPr>
          <w:noProof/>
        </w:rPr>
        <w:t>.</w:t>
      </w:r>
    </w:p>
    <w:p w:rsidR="00A106AF" w:rsidRDefault="00A106AF" w:rsidP="00A106AF">
      <w:pPr>
        <w:pStyle w:val="NoSpacing"/>
        <w:jc w:val="both"/>
        <w:rPr>
          <w:noProof/>
          <w:color w:val="000000"/>
        </w:rPr>
      </w:pPr>
      <w:r w:rsidRPr="004B17CF">
        <w:rPr>
          <w:noProof/>
        </w:rPr>
        <w:t>Sredstva osigurana u Proračunu Grada, sukladno raspodjeli utvrđenoj Programom, doznačuju se na žiro</w:t>
      </w:r>
      <w:r w:rsidR="00543543">
        <w:rPr>
          <w:noProof/>
        </w:rPr>
        <w:t xml:space="preserve"> </w:t>
      </w:r>
      <w:r w:rsidRPr="004B17CF">
        <w:rPr>
          <w:noProof/>
        </w:rPr>
        <w:t xml:space="preserve">račun korisnika u rokovima i na način </w:t>
      </w:r>
      <w:r w:rsidR="00E300A7">
        <w:rPr>
          <w:noProof/>
        </w:rPr>
        <w:t>koji se utvrđuje</w:t>
      </w:r>
      <w:r w:rsidRPr="004B17CF">
        <w:rPr>
          <w:noProof/>
        </w:rPr>
        <w:t xml:space="preserve"> ugovorom. </w:t>
      </w:r>
      <w:r w:rsidRPr="004B17CF">
        <w:rPr>
          <w:noProof/>
          <w:color w:val="000000"/>
        </w:rPr>
        <w:t xml:space="preserve">Ugovor mora biti potpisan u roku 30 dana od dana dostave, u protivnom će se smatrati da je korisnik odustao od korištenja dodijeljenih sredstava. </w:t>
      </w:r>
    </w:p>
    <w:p w:rsidR="00A106AF" w:rsidRPr="004B17CF" w:rsidRDefault="00A106AF" w:rsidP="00A106AF">
      <w:pPr>
        <w:pStyle w:val="NoSpacing"/>
        <w:jc w:val="both"/>
        <w:rPr>
          <w:noProof/>
          <w:color w:val="000000"/>
        </w:rPr>
      </w:pPr>
    </w:p>
    <w:p w:rsidR="00A106AF" w:rsidRPr="004B17CF" w:rsidRDefault="00A106AF" w:rsidP="00A106AF">
      <w:pPr>
        <w:pStyle w:val="NoSpacing"/>
        <w:jc w:val="both"/>
        <w:rPr>
          <w:noProof/>
        </w:rPr>
      </w:pPr>
      <w:r w:rsidRPr="004B17CF">
        <w:rPr>
          <w:noProof/>
          <w:color w:val="000000"/>
        </w:rPr>
        <w:t>Ugovorom</w:t>
      </w:r>
      <w:r w:rsidRPr="004B17CF">
        <w:rPr>
          <w:noProof/>
        </w:rPr>
        <w:t xml:space="preserve"> iz stavka 1. ovoga članka utvrđuje se način praćenja korištenja dodijeljenih sredstava te drugi posebni uvjeti.</w:t>
      </w:r>
    </w:p>
    <w:p w:rsidR="006776CA" w:rsidRPr="0031194B" w:rsidRDefault="006776CA" w:rsidP="006776CA">
      <w:pPr>
        <w:pStyle w:val="NormalWeb"/>
        <w:jc w:val="center"/>
        <w:rPr>
          <w:noProof/>
        </w:rPr>
      </w:pPr>
      <w:r w:rsidRPr="0031194B">
        <w:rPr>
          <w:noProof/>
        </w:rPr>
        <w:t xml:space="preserve">Članak </w:t>
      </w:r>
      <w:r w:rsidR="00E300A7">
        <w:rPr>
          <w:noProof/>
        </w:rPr>
        <w:t>19</w:t>
      </w:r>
      <w:r w:rsidRPr="0031194B">
        <w:rPr>
          <w:noProof/>
        </w:rPr>
        <w:t>.</w:t>
      </w:r>
    </w:p>
    <w:p w:rsidR="006776CA" w:rsidRPr="002606A2" w:rsidRDefault="006776CA" w:rsidP="006776CA">
      <w:pPr>
        <w:jc w:val="both"/>
        <w:rPr>
          <w:noProof/>
          <w:color w:val="000000" w:themeColor="text1"/>
        </w:rPr>
      </w:pPr>
      <w:r w:rsidRPr="002606A2">
        <w:rPr>
          <w:noProof/>
          <w:color w:val="000000" w:themeColor="text1"/>
        </w:rPr>
        <w:t>Korisnici su dužni dostaviti opisno i</w:t>
      </w:r>
      <w:r>
        <w:rPr>
          <w:noProof/>
          <w:color w:val="000000" w:themeColor="text1"/>
        </w:rPr>
        <w:t xml:space="preserve">zvješće o ostvarenju programa te </w:t>
      </w:r>
      <w:r w:rsidRPr="002606A2">
        <w:rPr>
          <w:noProof/>
          <w:color w:val="000000" w:themeColor="text1"/>
        </w:rPr>
        <w:t>financijsko izvješće, dokaze i financijsku dokumentaciju o utrošenim sredstvima</w:t>
      </w:r>
      <w:r>
        <w:rPr>
          <w:noProof/>
          <w:color w:val="000000" w:themeColor="text1"/>
        </w:rPr>
        <w:t>,</w:t>
      </w:r>
      <w:r w:rsidRPr="002606A2">
        <w:rPr>
          <w:noProof/>
          <w:color w:val="000000" w:themeColor="text1"/>
        </w:rPr>
        <w:t xml:space="preserve"> sukladno zakonskim i podzakonskim propisima, ugovoru o </w:t>
      </w:r>
      <w:r w:rsidR="00747EBB" w:rsidRPr="004215FB">
        <w:rPr>
          <w:noProof/>
          <w:color w:val="000000" w:themeColor="text1"/>
        </w:rPr>
        <w:t>sufinanciranju programa</w:t>
      </w:r>
      <w:r w:rsidR="00E300A7">
        <w:rPr>
          <w:noProof/>
          <w:color w:val="FF0000"/>
        </w:rPr>
        <w:t xml:space="preserve"> </w:t>
      </w:r>
      <w:r>
        <w:rPr>
          <w:noProof/>
          <w:color w:val="000000" w:themeColor="text1"/>
        </w:rPr>
        <w:t>ili</w:t>
      </w:r>
      <w:r w:rsidRPr="002606A2">
        <w:rPr>
          <w:noProof/>
          <w:color w:val="000000" w:themeColor="text1"/>
        </w:rPr>
        <w:t xml:space="preserve"> na zahtjev nadležnog upravnog odjela.</w:t>
      </w:r>
    </w:p>
    <w:p w:rsidR="006776CA" w:rsidRPr="0031194B" w:rsidRDefault="006776CA" w:rsidP="006776CA">
      <w:pPr>
        <w:rPr>
          <w:strike/>
          <w:noProof/>
          <w:color w:val="4F81BD"/>
        </w:rPr>
      </w:pPr>
    </w:p>
    <w:p w:rsidR="006776CA" w:rsidRPr="0031194B" w:rsidRDefault="006776CA" w:rsidP="006776CA">
      <w:pPr>
        <w:jc w:val="both"/>
        <w:rPr>
          <w:noProof/>
        </w:rPr>
      </w:pPr>
      <w:r w:rsidRPr="0031194B">
        <w:rPr>
          <w:noProof/>
        </w:rPr>
        <w:t xml:space="preserve">Za sve predlagatelje koji su u prošloj godini koristili sredstva iz Proračuna Grada Dubrovnika, uvjet za razmatranje </w:t>
      </w:r>
      <w:r w:rsidR="00747EBB" w:rsidRPr="004215FB">
        <w:rPr>
          <w:noProof/>
          <w:color w:val="000000" w:themeColor="text1"/>
        </w:rPr>
        <w:t>prijave</w:t>
      </w:r>
      <w:r w:rsidRPr="0031194B">
        <w:rPr>
          <w:noProof/>
        </w:rPr>
        <w:t xml:space="preserve"> i dodjelu sredstava iz Proračuna za sljedeću godinu je dostavljeno izvješće o namjenskom korištenju sredstava.</w:t>
      </w:r>
    </w:p>
    <w:p w:rsidR="006776CA" w:rsidRPr="0031194B" w:rsidRDefault="006776CA" w:rsidP="006776CA">
      <w:pPr>
        <w:pStyle w:val="NormalWeb"/>
        <w:jc w:val="center"/>
        <w:rPr>
          <w:noProof/>
          <w:color w:val="auto"/>
        </w:rPr>
      </w:pPr>
      <w:r w:rsidRPr="0031194B">
        <w:rPr>
          <w:noProof/>
          <w:color w:val="auto"/>
        </w:rPr>
        <w:t>V. PRIJELAZNE I ZAVRŠNE ODREDBE</w:t>
      </w:r>
    </w:p>
    <w:p w:rsidR="006776CA" w:rsidRPr="0031194B" w:rsidRDefault="006776CA" w:rsidP="006776CA">
      <w:pPr>
        <w:pStyle w:val="NormalWeb"/>
        <w:jc w:val="center"/>
        <w:rPr>
          <w:noProof/>
        </w:rPr>
      </w:pPr>
      <w:r w:rsidRPr="0031194B">
        <w:rPr>
          <w:noProof/>
        </w:rPr>
        <w:t xml:space="preserve">Članak </w:t>
      </w:r>
      <w:r w:rsidR="00747EBB">
        <w:rPr>
          <w:noProof/>
        </w:rPr>
        <w:t>20</w:t>
      </w:r>
      <w:r w:rsidRPr="0031194B">
        <w:rPr>
          <w:noProof/>
        </w:rPr>
        <w:t>.</w:t>
      </w:r>
    </w:p>
    <w:p w:rsidR="006776CA" w:rsidRDefault="006776CA" w:rsidP="006776CA">
      <w:pPr>
        <w:rPr>
          <w:noProof/>
        </w:rPr>
      </w:pPr>
      <w:r w:rsidRPr="0031194B">
        <w:rPr>
          <w:noProof/>
        </w:rPr>
        <w:t xml:space="preserve">Ovaj Pravilnik stupa na snagu </w:t>
      </w:r>
      <w:r>
        <w:rPr>
          <w:noProof/>
        </w:rPr>
        <w:t>danom donošenja, a objavit će se</w:t>
      </w:r>
      <w:r w:rsidRPr="0031194B">
        <w:rPr>
          <w:noProof/>
        </w:rPr>
        <w:t xml:space="preserve"> u »Službenom glasniku Grada Dubrovnika«.</w:t>
      </w:r>
      <w:bookmarkStart w:id="0" w:name="_GoBack"/>
      <w:bookmarkEnd w:id="0"/>
    </w:p>
    <w:p w:rsidR="006776CA" w:rsidRDefault="006776CA" w:rsidP="006776CA">
      <w:pPr>
        <w:rPr>
          <w:noProof/>
        </w:rPr>
      </w:pPr>
    </w:p>
    <w:p w:rsidR="006776CA" w:rsidRDefault="00EA409C" w:rsidP="00E941A3">
      <w:pPr>
        <w:rPr>
          <w:noProof/>
        </w:rPr>
      </w:pPr>
      <w:r>
        <w:rPr>
          <w:noProof/>
        </w:rPr>
        <w:t xml:space="preserve">Klasa: </w:t>
      </w:r>
      <w:r w:rsidR="00E941A3">
        <w:rPr>
          <w:noProof/>
        </w:rPr>
        <w:t>612-01/16-</w:t>
      </w:r>
      <w:r w:rsidR="00E941A3">
        <w:rPr>
          <w:noProof/>
        </w:rPr>
        <w:t>02/07</w:t>
      </w:r>
    </w:p>
    <w:p w:rsidR="004215FB" w:rsidRDefault="00EA409C" w:rsidP="00E941A3">
      <w:pPr>
        <w:rPr>
          <w:noProof/>
        </w:rPr>
      </w:pPr>
      <w:r>
        <w:rPr>
          <w:noProof/>
        </w:rPr>
        <w:t>Urbroj:</w:t>
      </w:r>
      <w:r w:rsidR="00E941A3" w:rsidRPr="00E941A3">
        <w:t xml:space="preserve"> </w:t>
      </w:r>
      <w:r w:rsidR="00E941A3">
        <w:rPr>
          <w:noProof/>
        </w:rPr>
        <w:t>2117/01-09-16-</w:t>
      </w:r>
      <w:r w:rsidR="00E941A3">
        <w:rPr>
          <w:noProof/>
        </w:rPr>
        <w:t>3</w:t>
      </w:r>
    </w:p>
    <w:p w:rsidR="00560E84" w:rsidRDefault="004215FB">
      <w:pPr>
        <w:rPr>
          <w:noProof/>
        </w:rPr>
      </w:pPr>
      <w:r>
        <w:rPr>
          <w:noProof/>
        </w:rPr>
        <w:t xml:space="preserve"> </w:t>
      </w:r>
    </w:p>
    <w:p w:rsidR="00885D77" w:rsidRDefault="00E941A3">
      <w:pPr>
        <w:rPr>
          <w:noProof/>
        </w:rPr>
      </w:pPr>
      <w:r>
        <w:rPr>
          <w:noProof/>
        </w:rPr>
        <w:t>Predsjednik Gradskog vijeća</w:t>
      </w:r>
    </w:p>
    <w:p w:rsidR="00E941A3" w:rsidRDefault="00E941A3">
      <w:pPr>
        <w:rPr>
          <w:noProof/>
        </w:rPr>
      </w:pPr>
      <w:r w:rsidRPr="00E941A3">
        <w:rPr>
          <w:b/>
          <w:noProof/>
        </w:rPr>
        <w:t>Mato Franković</w:t>
      </w:r>
      <w:r>
        <w:rPr>
          <w:noProof/>
        </w:rPr>
        <w:t>, v.r.</w:t>
      </w:r>
    </w:p>
    <w:p w:rsidR="00E941A3" w:rsidRPr="00FD10B1" w:rsidRDefault="00E941A3">
      <w:pPr>
        <w:rPr>
          <w:noProof/>
        </w:rPr>
      </w:pPr>
    </w:p>
    <w:sectPr w:rsidR="00E941A3" w:rsidRPr="00FD10B1" w:rsidSect="004B7C57">
      <w:footerReference w:type="default" r:id="rId7"/>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010" w:rsidRDefault="00390010" w:rsidP="00364254">
      <w:r>
        <w:separator/>
      </w:r>
    </w:p>
  </w:endnote>
  <w:endnote w:type="continuationSeparator" w:id="0">
    <w:p w:rsidR="00390010" w:rsidRDefault="00390010" w:rsidP="00364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375" w:rsidRDefault="00416BA8" w:rsidP="004B7C57">
    <w:pPr>
      <w:pStyle w:val="Footer"/>
      <w:framePr w:wrap="auto" w:vAnchor="text" w:hAnchor="margin" w:xAlign="right" w:y="1"/>
      <w:rPr>
        <w:rStyle w:val="PageNumber"/>
      </w:rPr>
    </w:pPr>
    <w:r>
      <w:rPr>
        <w:rStyle w:val="PageNumber"/>
      </w:rPr>
      <w:fldChar w:fldCharType="begin"/>
    </w:r>
    <w:r w:rsidR="002414AD">
      <w:rPr>
        <w:rStyle w:val="PageNumber"/>
      </w:rPr>
      <w:instrText xml:space="preserve">PAGE  </w:instrText>
    </w:r>
    <w:r>
      <w:rPr>
        <w:rStyle w:val="PageNumber"/>
      </w:rPr>
      <w:fldChar w:fldCharType="separate"/>
    </w:r>
    <w:r w:rsidR="00E941A3">
      <w:rPr>
        <w:rStyle w:val="PageNumber"/>
        <w:noProof/>
      </w:rPr>
      <w:t>1</w:t>
    </w:r>
    <w:r>
      <w:rPr>
        <w:rStyle w:val="PageNumber"/>
      </w:rPr>
      <w:fldChar w:fldCharType="end"/>
    </w:r>
  </w:p>
  <w:p w:rsidR="00920375" w:rsidRDefault="00390010" w:rsidP="0065228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010" w:rsidRDefault="00390010" w:rsidP="00364254">
      <w:r>
        <w:separator/>
      </w:r>
    </w:p>
  </w:footnote>
  <w:footnote w:type="continuationSeparator" w:id="0">
    <w:p w:rsidR="00390010" w:rsidRDefault="00390010" w:rsidP="003642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36F5F"/>
    <w:multiLevelType w:val="hybridMultilevel"/>
    <w:tmpl w:val="B036AE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22E2D40"/>
    <w:multiLevelType w:val="hybridMultilevel"/>
    <w:tmpl w:val="4B1242A8"/>
    <w:lvl w:ilvl="0" w:tplc="BB924062">
      <w:numFmt w:val="bullet"/>
      <w:lvlText w:val="-"/>
      <w:lvlJc w:val="left"/>
      <w:pPr>
        <w:ind w:left="720" w:hanging="360"/>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 w15:restartNumberingAfterBreak="0">
    <w:nsid w:val="129E7746"/>
    <w:multiLevelType w:val="hybridMultilevel"/>
    <w:tmpl w:val="00F886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8C328F6"/>
    <w:multiLevelType w:val="hybridMultilevel"/>
    <w:tmpl w:val="4A0ABCDA"/>
    <w:lvl w:ilvl="0" w:tplc="BB92406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1A8B7F10"/>
    <w:multiLevelType w:val="hybridMultilevel"/>
    <w:tmpl w:val="3AECD7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A9C0BC8"/>
    <w:multiLevelType w:val="hybridMultilevel"/>
    <w:tmpl w:val="6364545C"/>
    <w:lvl w:ilvl="0" w:tplc="BB92406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1E235A8E"/>
    <w:multiLevelType w:val="hybridMultilevel"/>
    <w:tmpl w:val="94FADF50"/>
    <w:lvl w:ilvl="0" w:tplc="0FC0778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2B5251A"/>
    <w:multiLevelType w:val="hybridMultilevel"/>
    <w:tmpl w:val="1B167756"/>
    <w:lvl w:ilvl="0" w:tplc="BB924062">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8" w15:restartNumberingAfterBreak="0">
    <w:nsid w:val="27AE7B07"/>
    <w:multiLevelType w:val="hybridMultilevel"/>
    <w:tmpl w:val="87C62E7A"/>
    <w:lvl w:ilvl="0" w:tplc="49AE20C4">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15:restartNumberingAfterBreak="0">
    <w:nsid w:val="28115E49"/>
    <w:multiLevelType w:val="hybridMultilevel"/>
    <w:tmpl w:val="D54412FC"/>
    <w:lvl w:ilvl="0" w:tplc="BB92406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2DD02D99"/>
    <w:multiLevelType w:val="hybridMultilevel"/>
    <w:tmpl w:val="EA80ACF2"/>
    <w:lvl w:ilvl="0" w:tplc="0FC0778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FF62598"/>
    <w:multiLevelType w:val="hybridMultilevel"/>
    <w:tmpl w:val="070CCA9E"/>
    <w:lvl w:ilvl="0" w:tplc="BB92406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3C7A43EB"/>
    <w:multiLevelType w:val="hybridMultilevel"/>
    <w:tmpl w:val="A180236E"/>
    <w:lvl w:ilvl="0" w:tplc="0FC0778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ECE6BEF"/>
    <w:multiLevelType w:val="hybridMultilevel"/>
    <w:tmpl w:val="D9A88028"/>
    <w:lvl w:ilvl="0" w:tplc="0FC0778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90726B7"/>
    <w:multiLevelType w:val="hybridMultilevel"/>
    <w:tmpl w:val="D7D6B52A"/>
    <w:lvl w:ilvl="0" w:tplc="041A000F">
      <w:start w:val="1"/>
      <w:numFmt w:val="decimal"/>
      <w:lvlText w:val="%1."/>
      <w:lvlJc w:val="left"/>
      <w:pPr>
        <w:ind w:left="720" w:hanging="360"/>
      </w:pPr>
      <w:rPr>
        <w:rFont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CBD18C4"/>
    <w:multiLevelType w:val="hybridMultilevel"/>
    <w:tmpl w:val="A3A0A4B8"/>
    <w:lvl w:ilvl="0" w:tplc="BB92406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15:restartNumberingAfterBreak="0">
    <w:nsid w:val="639D37FD"/>
    <w:multiLevelType w:val="hybridMultilevel"/>
    <w:tmpl w:val="25A6D7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A1865F4"/>
    <w:multiLevelType w:val="hybridMultilevel"/>
    <w:tmpl w:val="188AB4C8"/>
    <w:lvl w:ilvl="0" w:tplc="BB92406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15:restartNumberingAfterBreak="0">
    <w:nsid w:val="77E25B77"/>
    <w:multiLevelType w:val="hybridMultilevel"/>
    <w:tmpl w:val="7F7401FC"/>
    <w:lvl w:ilvl="0" w:tplc="BB92406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15:restartNumberingAfterBreak="0">
    <w:nsid w:val="7D2D098C"/>
    <w:multiLevelType w:val="hybridMultilevel"/>
    <w:tmpl w:val="130ADC70"/>
    <w:lvl w:ilvl="0" w:tplc="33B05CE0">
      <w:numFmt w:val="bullet"/>
      <w:lvlText w:val="-"/>
      <w:lvlJc w:val="left"/>
      <w:pPr>
        <w:ind w:left="720" w:hanging="360"/>
      </w:pPr>
      <w:rPr>
        <w:rFonts w:ascii="Times New Roman" w:eastAsia="Calibri"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7"/>
  </w:num>
  <w:num w:numId="4">
    <w:abstractNumId w:val="15"/>
  </w:num>
  <w:num w:numId="5">
    <w:abstractNumId w:val="11"/>
  </w:num>
  <w:num w:numId="6">
    <w:abstractNumId w:val="3"/>
  </w:num>
  <w:num w:numId="7">
    <w:abstractNumId w:val="9"/>
  </w:num>
  <w:num w:numId="8">
    <w:abstractNumId w:val="5"/>
  </w:num>
  <w:num w:numId="9">
    <w:abstractNumId w:val="18"/>
  </w:num>
  <w:num w:numId="10">
    <w:abstractNumId w:val="19"/>
  </w:num>
  <w:num w:numId="11">
    <w:abstractNumId w:val="4"/>
  </w:num>
  <w:num w:numId="12">
    <w:abstractNumId w:val="8"/>
  </w:num>
  <w:num w:numId="13">
    <w:abstractNumId w:val="14"/>
  </w:num>
  <w:num w:numId="14">
    <w:abstractNumId w:val="0"/>
  </w:num>
  <w:num w:numId="15">
    <w:abstractNumId w:val="16"/>
  </w:num>
  <w:num w:numId="16">
    <w:abstractNumId w:val="10"/>
  </w:num>
  <w:num w:numId="17">
    <w:abstractNumId w:val="2"/>
  </w:num>
  <w:num w:numId="18">
    <w:abstractNumId w:val="6"/>
  </w:num>
  <w:num w:numId="19">
    <w:abstractNumId w:val="1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776CA"/>
    <w:rsid w:val="00010E71"/>
    <w:rsid w:val="000243B7"/>
    <w:rsid w:val="000B36E6"/>
    <w:rsid w:val="00172A60"/>
    <w:rsid w:val="001C311B"/>
    <w:rsid w:val="001D0B0C"/>
    <w:rsid w:val="002363CC"/>
    <w:rsid w:val="002414AD"/>
    <w:rsid w:val="0024156D"/>
    <w:rsid w:val="00250188"/>
    <w:rsid w:val="002B605E"/>
    <w:rsid w:val="00302C92"/>
    <w:rsid w:val="00307471"/>
    <w:rsid w:val="00364254"/>
    <w:rsid w:val="0037569E"/>
    <w:rsid w:val="00390010"/>
    <w:rsid w:val="00394582"/>
    <w:rsid w:val="003B5203"/>
    <w:rsid w:val="003E0B4D"/>
    <w:rsid w:val="00405AA2"/>
    <w:rsid w:val="00416BA8"/>
    <w:rsid w:val="004215FB"/>
    <w:rsid w:val="00444513"/>
    <w:rsid w:val="00460FF1"/>
    <w:rsid w:val="00471417"/>
    <w:rsid w:val="00471D19"/>
    <w:rsid w:val="004A6690"/>
    <w:rsid w:val="004C7A59"/>
    <w:rsid w:val="004E3C4A"/>
    <w:rsid w:val="004E5DF4"/>
    <w:rsid w:val="004F0F32"/>
    <w:rsid w:val="004F259F"/>
    <w:rsid w:val="004F2CFA"/>
    <w:rsid w:val="00543543"/>
    <w:rsid w:val="00560E84"/>
    <w:rsid w:val="005A7980"/>
    <w:rsid w:val="005B068F"/>
    <w:rsid w:val="005D46FB"/>
    <w:rsid w:val="0061595E"/>
    <w:rsid w:val="0063124D"/>
    <w:rsid w:val="0065298E"/>
    <w:rsid w:val="006776CA"/>
    <w:rsid w:val="006A5C68"/>
    <w:rsid w:val="006E0793"/>
    <w:rsid w:val="006E25A2"/>
    <w:rsid w:val="00701F9B"/>
    <w:rsid w:val="00703576"/>
    <w:rsid w:val="00742CF2"/>
    <w:rsid w:val="00747EBB"/>
    <w:rsid w:val="0079547E"/>
    <w:rsid w:val="007C24C6"/>
    <w:rsid w:val="007D5955"/>
    <w:rsid w:val="007E44A5"/>
    <w:rsid w:val="007E6C4F"/>
    <w:rsid w:val="007F1336"/>
    <w:rsid w:val="00803D3C"/>
    <w:rsid w:val="00815052"/>
    <w:rsid w:val="00833340"/>
    <w:rsid w:val="008524C7"/>
    <w:rsid w:val="00884459"/>
    <w:rsid w:val="00885D77"/>
    <w:rsid w:val="00895C51"/>
    <w:rsid w:val="00904A53"/>
    <w:rsid w:val="00905649"/>
    <w:rsid w:val="00970C53"/>
    <w:rsid w:val="00A04E41"/>
    <w:rsid w:val="00A106AF"/>
    <w:rsid w:val="00A2491D"/>
    <w:rsid w:val="00A638C2"/>
    <w:rsid w:val="00A72F87"/>
    <w:rsid w:val="00AC7054"/>
    <w:rsid w:val="00B3040D"/>
    <w:rsid w:val="00B45A5C"/>
    <w:rsid w:val="00B94823"/>
    <w:rsid w:val="00BA5F54"/>
    <w:rsid w:val="00BB0DC5"/>
    <w:rsid w:val="00CE241B"/>
    <w:rsid w:val="00CE5BEA"/>
    <w:rsid w:val="00D474E4"/>
    <w:rsid w:val="00D50F54"/>
    <w:rsid w:val="00D96659"/>
    <w:rsid w:val="00DB43BA"/>
    <w:rsid w:val="00DE24A4"/>
    <w:rsid w:val="00DF1E18"/>
    <w:rsid w:val="00E300A7"/>
    <w:rsid w:val="00E735F2"/>
    <w:rsid w:val="00E75C27"/>
    <w:rsid w:val="00E839BE"/>
    <w:rsid w:val="00E86221"/>
    <w:rsid w:val="00E941A3"/>
    <w:rsid w:val="00EA409C"/>
    <w:rsid w:val="00EF4DB5"/>
    <w:rsid w:val="00F57105"/>
    <w:rsid w:val="00F607E3"/>
    <w:rsid w:val="00FC194E"/>
    <w:rsid w:val="00FD10B1"/>
    <w:rsid w:val="00FD7EEC"/>
    <w:rsid w:val="00FE35AD"/>
    <w:rsid w:val="00FF2EE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B3AA5-5C43-483F-B8EF-3FEA2291A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6CA"/>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Standard (Web) Char,Standard (Web) Char Char Char Char,Standard (Web) Char Char Char  Char Char,Standard (Web) Char Char Char ,Standard (Web) Char Char Char"/>
    <w:basedOn w:val="Normal"/>
    <w:link w:val="NormalWebChar"/>
    <w:qFormat/>
    <w:rsid w:val="006776CA"/>
    <w:pPr>
      <w:spacing w:before="100" w:beforeAutospacing="1" w:after="100" w:afterAutospacing="1"/>
    </w:pPr>
    <w:rPr>
      <w:rFonts w:eastAsia="Calibri"/>
      <w:color w:val="000000"/>
    </w:rPr>
  </w:style>
  <w:style w:type="character" w:customStyle="1" w:styleId="NormalWebChar">
    <w:name w:val="Normal (Web) Char"/>
    <w:aliases w:val="Standard (Web) Char Char,Standard (Web) Char Char Char Char Char,Standard (Web) Char Char Char  Char Char Char,Standard (Web) Char Char Char  Char,Standard (Web) Char Char Char Char1"/>
    <w:link w:val="NormalWeb"/>
    <w:locked/>
    <w:rsid w:val="006776CA"/>
    <w:rPr>
      <w:rFonts w:ascii="Times New Roman" w:eastAsia="Calibri" w:hAnsi="Times New Roman" w:cs="Times New Roman"/>
      <w:color w:val="000000"/>
      <w:sz w:val="24"/>
      <w:szCs w:val="24"/>
      <w:lang w:eastAsia="hr-HR"/>
    </w:rPr>
  </w:style>
  <w:style w:type="paragraph" w:styleId="Footer">
    <w:name w:val="footer"/>
    <w:basedOn w:val="Normal"/>
    <w:link w:val="FooterChar"/>
    <w:uiPriority w:val="99"/>
    <w:rsid w:val="006776CA"/>
    <w:pPr>
      <w:tabs>
        <w:tab w:val="center" w:pos="4536"/>
        <w:tab w:val="right" w:pos="9072"/>
      </w:tabs>
    </w:pPr>
  </w:style>
  <w:style w:type="character" w:customStyle="1" w:styleId="FooterChar">
    <w:name w:val="Footer Char"/>
    <w:basedOn w:val="DefaultParagraphFont"/>
    <w:link w:val="Footer"/>
    <w:uiPriority w:val="99"/>
    <w:rsid w:val="006776CA"/>
    <w:rPr>
      <w:rFonts w:ascii="Times New Roman" w:eastAsia="Times New Roman" w:hAnsi="Times New Roman" w:cs="Times New Roman"/>
      <w:sz w:val="24"/>
      <w:szCs w:val="24"/>
      <w:lang w:eastAsia="hr-HR"/>
    </w:rPr>
  </w:style>
  <w:style w:type="character" w:styleId="PageNumber">
    <w:name w:val="page number"/>
    <w:basedOn w:val="DefaultParagraphFont"/>
    <w:uiPriority w:val="99"/>
    <w:rsid w:val="006776CA"/>
  </w:style>
  <w:style w:type="paragraph" w:styleId="ListParagraph">
    <w:name w:val="List Paragraph"/>
    <w:basedOn w:val="Normal"/>
    <w:uiPriority w:val="34"/>
    <w:qFormat/>
    <w:rsid w:val="006776CA"/>
    <w:pPr>
      <w:ind w:left="720"/>
    </w:pPr>
  </w:style>
  <w:style w:type="paragraph" w:styleId="NoSpacing">
    <w:name w:val="No Spacing"/>
    <w:uiPriority w:val="1"/>
    <w:qFormat/>
    <w:rsid w:val="006776CA"/>
    <w:pPr>
      <w:spacing w:after="0" w:line="240" w:lineRule="auto"/>
    </w:pPr>
    <w:rPr>
      <w:rFonts w:ascii="Times New Roman" w:eastAsia="Times New Roman" w:hAnsi="Times New Roman" w:cs="Times New Roman"/>
      <w:sz w:val="24"/>
      <w:szCs w:val="24"/>
      <w:lang w:eastAsia="hr-HR"/>
    </w:rPr>
  </w:style>
  <w:style w:type="character" w:customStyle="1" w:styleId="CharAttribute2">
    <w:name w:val="CharAttribute2"/>
    <w:uiPriority w:val="99"/>
    <w:rsid w:val="006776CA"/>
    <w:rPr>
      <w:rFonts w:ascii="Times New Roman" w:eastAsia="Times New Roman" w:cs="Times New Roman"/>
      <w:sz w:val="24"/>
      <w:szCs w:val="24"/>
    </w:rPr>
  </w:style>
  <w:style w:type="character" w:styleId="CommentReference">
    <w:name w:val="annotation reference"/>
    <w:uiPriority w:val="99"/>
    <w:semiHidden/>
    <w:unhideWhenUsed/>
    <w:rsid w:val="0037569E"/>
    <w:rPr>
      <w:sz w:val="16"/>
      <w:szCs w:val="16"/>
    </w:rPr>
  </w:style>
  <w:style w:type="paragraph" w:styleId="CommentText">
    <w:name w:val="annotation text"/>
    <w:basedOn w:val="Normal"/>
    <w:link w:val="CommentTextChar"/>
    <w:uiPriority w:val="99"/>
    <w:semiHidden/>
    <w:unhideWhenUsed/>
    <w:rsid w:val="0037569E"/>
    <w:pPr>
      <w:spacing w:after="200" w:line="276" w:lineRule="auto"/>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semiHidden/>
    <w:rsid w:val="0037569E"/>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37569E"/>
    <w:rPr>
      <w:rFonts w:ascii="Tahoma" w:hAnsi="Tahoma" w:cs="Tahoma"/>
      <w:sz w:val="16"/>
      <w:szCs w:val="16"/>
    </w:rPr>
  </w:style>
  <w:style w:type="character" w:customStyle="1" w:styleId="BalloonTextChar">
    <w:name w:val="Balloon Text Char"/>
    <w:basedOn w:val="DefaultParagraphFont"/>
    <w:link w:val="BalloonText"/>
    <w:uiPriority w:val="99"/>
    <w:semiHidden/>
    <w:rsid w:val="0037569E"/>
    <w:rPr>
      <w:rFonts w:ascii="Tahoma" w:eastAsia="Times New Roman" w:hAnsi="Tahoma" w:cs="Tahoma"/>
      <w:sz w:val="16"/>
      <w:szCs w:val="16"/>
      <w:lang w:eastAsia="hr-HR"/>
    </w:rPr>
  </w:style>
  <w:style w:type="paragraph" w:styleId="CommentSubject">
    <w:name w:val="annotation subject"/>
    <w:basedOn w:val="CommentText"/>
    <w:next w:val="CommentText"/>
    <w:link w:val="CommentSubjectChar"/>
    <w:uiPriority w:val="99"/>
    <w:semiHidden/>
    <w:unhideWhenUsed/>
    <w:rsid w:val="00F607E3"/>
    <w:pPr>
      <w:spacing w:after="0" w:line="240" w:lineRule="auto"/>
    </w:pPr>
    <w:rPr>
      <w:rFonts w:ascii="Times New Roman" w:eastAsia="Times New Roman" w:hAnsi="Times New Roman"/>
      <w:b/>
      <w:bCs/>
      <w:lang w:eastAsia="hr-HR"/>
    </w:rPr>
  </w:style>
  <w:style w:type="character" w:customStyle="1" w:styleId="CommentSubjectChar">
    <w:name w:val="Comment Subject Char"/>
    <w:basedOn w:val="CommentTextChar"/>
    <w:link w:val="CommentSubject"/>
    <w:uiPriority w:val="99"/>
    <w:semiHidden/>
    <w:rsid w:val="00F607E3"/>
    <w:rPr>
      <w:rFonts w:ascii="Times New Roman" w:eastAsia="Times New Roman" w:hAnsi="Times New Roman" w:cs="Times New Roman"/>
      <w:b/>
      <w:bCs/>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669578">
      <w:bodyDiv w:val="1"/>
      <w:marLeft w:val="0"/>
      <w:marRight w:val="0"/>
      <w:marTop w:val="0"/>
      <w:marBottom w:val="0"/>
      <w:divBdr>
        <w:top w:val="none" w:sz="0" w:space="0" w:color="auto"/>
        <w:left w:val="none" w:sz="0" w:space="0" w:color="auto"/>
        <w:bottom w:val="none" w:sz="0" w:space="0" w:color="auto"/>
        <w:right w:val="none" w:sz="0" w:space="0" w:color="auto"/>
      </w:divBdr>
      <w:divsChild>
        <w:div w:id="1919049681">
          <w:marLeft w:val="0"/>
          <w:marRight w:val="0"/>
          <w:marTop w:val="0"/>
          <w:marBottom w:val="0"/>
          <w:divBdr>
            <w:top w:val="none" w:sz="0" w:space="0" w:color="auto"/>
            <w:left w:val="none" w:sz="0" w:space="0" w:color="auto"/>
            <w:bottom w:val="none" w:sz="0" w:space="0" w:color="auto"/>
            <w:right w:val="none" w:sz="0" w:space="0" w:color="auto"/>
          </w:divBdr>
        </w:div>
        <w:div w:id="1855730183">
          <w:marLeft w:val="0"/>
          <w:marRight w:val="0"/>
          <w:marTop w:val="0"/>
          <w:marBottom w:val="0"/>
          <w:divBdr>
            <w:top w:val="none" w:sz="0" w:space="0" w:color="auto"/>
            <w:left w:val="none" w:sz="0" w:space="0" w:color="auto"/>
            <w:bottom w:val="none" w:sz="0" w:space="0" w:color="auto"/>
            <w:right w:val="none" w:sz="0" w:space="0" w:color="auto"/>
          </w:divBdr>
        </w:div>
        <w:div w:id="1090933727">
          <w:marLeft w:val="0"/>
          <w:marRight w:val="0"/>
          <w:marTop w:val="0"/>
          <w:marBottom w:val="0"/>
          <w:divBdr>
            <w:top w:val="none" w:sz="0" w:space="0" w:color="auto"/>
            <w:left w:val="none" w:sz="0" w:space="0" w:color="auto"/>
            <w:bottom w:val="none" w:sz="0" w:space="0" w:color="auto"/>
            <w:right w:val="none" w:sz="0" w:space="0" w:color="auto"/>
          </w:divBdr>
        </w:div>
        <w:div w:id="995182959">
          <w:marLeft w:val="0"/>
          <w:marRight w:val="0"/>
          <w:marTop w:val="0"/>
          <w:marBottom w:val="0"/>
          <w:divBdr>
            <w:top w:val="none" w:sz="0" w:space="0" w:color="auto"/>
            <w:left w:val="none" w:sz="0" w:space="0" w:color="auto"/>
            <w:bottom w:val="none" w:sz="0" w:space="0" w:color="auto"/>
            <w:right w:val="none" w:sz="0" w:space="0" w:color="auto"/>
          </w:divBdr>
        </w:div>
        <w:div w:id="1401975744">
          <w:marLeft w:val="0"/>
          <w:marRight w:val="0"/>
          <w:marTop w:val="0"/>
          <w:marBottom w:val="0"/>
          <w:divBdr>
            <w:top w:val="none" w:sz="0" w:space="0" w:color="auto"/>
            <w:left w:val="none" w:sz="0" w:space="0" w:color="auto"/>
            <w:bottom w:val="none" w:sz="0" w:space="0" w:color="auto"/>
            <w:right w:val="none" w:sz="0" w:space="0" w:color="auto"/>
          </w:divBdr>
        </w:div>
      </w:divsChild>
    </w:div>
    <w:div w:id="1644002075">
      <w:bodyDiv w:val="1"/>
      <w:marLeft w:val="0"/>
      <w:marRight w:val="0"/>
      <w:marTop w:val="0"/>
      <w:marBottom w:val="0"/>
      <w:divBdr>
        <w:top w:val="none" w:sz="0" w:space="0" w:color="auto"/>
        <w:left w:val="none" w:sz="0" w:space="0" w:color="auto"/>
        <w:bottom w:val="none" w:sz="0" w:space="0" w:color="auto"/>
        <w:right w:val="none" w:sz="0" w:space="0" w:color="auto"/>
      </w:divBdr>
      <w:divsChild>
        <w:div w:id="1459908768">
          <w:marLeft w:val="0"/>
          <w:marRight w:val="0"/>
          <w:marTop w:val="0"/>
          <w:marBottom w:val="0"/>
          <w:divBdr>
            <w:top w:val="none" w:sz="0" w:space="0" w:color="auto"/>
            <w:left w:val="none" w:sz="0" w:space="0" w:color="auto"/>
            <w:bottom w:val="none" w:sz="0" w:space="0" w:color="auto"/>
            <w:right w:val="none" w:sz="0" w:space="0" w:color="auto"/>
          </w:divBdr>
        </w:div>
        <w:div w:id="1230654255">
          <w:marLeft w:val="0"/>
          <w:marRight w:val="0"/>
          <w:marTop w:val="0"/>
          <w:marBottom w:val="0"/>
          <w:divBdr>
            <w:top w:val="none" w:sz="0" w:space="0" w:color="auto"/>
            <w:left w:val="none" w:sz="0" w:space="0" w:color="auto"/>
            <w:bottom w:val="none" w:sz="0" w:space="0" w:color="auto"/>
            <w:right w:val="none" w:sz="0" w:space="0" w:color="auto"/>
          </w:divBdr>
        </w:div>
        <w:div w:id="2057073821">
          <w:marLeft w:val="0"/>
          <w:marRight w:val="0"/>
          <w:marTop w:val="0"/>
          <w:marBottom w:val="0"/>
          <w:divBdr>
            <w:top w:val="none" w:sz="0" w:space="0" w:color="auto"/>
            <w:left w:val="none" w:sz="0" w:space="0" w:color="auto"/>
            <w:bottom w:val="none" w:sz="0" w:space="0" w:color="auto"/>
            <w:right w:val="none" w:sz="0" w:space="0" w:color="auto"/>
          </w:divBdr>
        </w:div>
        <w:div w:id="1506481171">
          <w:marLeft w:val="0"/>
          <w:marRight w:val="0"/>
          <w:marTop w:val="0"/>
          <w:marBottom w:val="0"/>
          <w:divBdr>
            <w:top w:val="none" w:sz="0" w:space="0" w:color="auto"/>
            <w:left w:val="none" w:sz="0" w:space="0" w:color="auto"/>
            <w:bottom w:val="none" w:sz="0" w:space="0" w:color="auto"/>
            <w:right w:val="none" w:sz="0" w:space="0" w:color="auto"/>
          </w:divBdr>
        </w:div>
        <w:div w:id="735931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6</Pages>
  <Words>1968</Words>
  <Characters>11218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pjancic</cp:lastModifiedBy>
  <cp:revision>11</cp:revision>
  <cp:lastPrinted>2016-07-06T09:37:00Z</cp:lastPrinted>
  <dcterms:created xsi:type="dcterms:W3CDTF">2016-07-06T09:51:00Z</dcterms:created>
  <dcterms:modified xsi:type="dcterms:W3CDTF">2016-09-29T12:13:00Z</dcterms:modified>
</cp:coreProperties>
</file>