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4E" w:rsidRPr="00FB5B42" w:rsidRDefault="00D5483B" w:rsidP="001E7D89">
      <w:pPr>
        <w:jc w:val="both"/>
        <w:rPr>
          <w:rFonts w:cs="Times New Roman"/>
          <w:b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KRITERIJI KULTURNOG VIJEĆA ZA VREDNOVANJE JAVNIH POTREBA U KULTURI GRADA DUBROVNIKA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4E4AA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Svi programi u kulturi Grada Dubrovnika trebaju imati jasnu koncepciju, težiti originalnosti, kvaliteti, inovativnosti, kulturnoj raznolikosti i suradnji, te pratiti suvremene tendencije, posebno u smislu korištenja novih tehnologija i profesionalizacije područja iz kojeg se prijavljuju. Također, očekuje se da svi prijavljeni programi stavljaju kulturne vrijednosti ispred promidžbenih i komercijalnih.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2E6E94" w:rsidRDefault="002E6E94" w:rsidP="001E7D89">
      <w:pPr>
        <w:jc w:val="both"/>
        <w:rPr>
          <w:rFonts w:cs="Times New Roman"/>
          <w:b/>
          <w:noProof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t>Kriteriji kvalitete</w:t>
      </w:r>
      <w:bookmarkStart w:id="0" w:name="_GoBack"/>
      <w:bookmarkEnd w:id="0"/>
    </w:p>
    <w:p w:rsidR="002E6E94" w:rsidRDefault="002E6E94" w:rsidP="001E7D89">
      <w:pPr>
        <w:jc w:val="both"/>
        <w:rPr>
          <w:rFonts w:cs="Times New Roman"/>
          <w:b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b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Glazbene i scenske djelatnosti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Kulturno vijeće posebnu će pozornost obratiti na glazbene i glazbeno-scenske programe u kojima su uključena djela dubrovačkih skladatelja (suvremenih i iz ranijih razdoblja), uključeni mladi hrvatski glazbenici te samostalni umjetnici.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Nakladnička djelatnost koja promiče dubrovačko glazbeno i glazbeno-scensko stvaralaštvo svih razdoblja (notno, diskografsko, publicističko) smatra se deficitarnom te se izdvaja kao prioritetna programska djelatnost.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Posebno važnim se smatraju međunarodni seminari, radionice, natjecanja i majstorski tečajevi za usavršavanje mladih glazbenih umjetnika do 35. godine starosti.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Glazbeni festivali i manifestacije te koncertni programi, a posebno programi gostovanja dubrovačkih umjetnika u inozemstvu koji promiču nacionalni i dubrovački repertoar, dubrovačke soliste i zborove, smatraju se prioritetnima za razvoj glazbene kulture u Dubrovniku.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U području izvedbenih umjetnosti, posebno se vrednuju programi koji stavljaju naglasak na održivost i dugoročnost programa, koji prate suvremene tendencije izvedbenih umjetnosti i koji imaju izražen udio mladih umjetnika u kreiranju programskih sadržaja.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Osobito će se podržati programi koji su prilagođeni osobama s posebnim potrebama i uključuju njihovo sudjelovanje.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Posebna pozornost obratit će se na programe koji se odvijaju izvan užeg gradskog područja ako predstavljaju rijedak kulturni sadržaj na tome području.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Deficitarnima se smatraju projekti koji potiču interakciju različitih umjetničkih djelatnosti i ustanova u kulturi.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Muzejsko-galerijske djelatnosti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 xml:space="preserve">Kulturno vijeće razmatra studijske, informativne i didaktičke izložbe koje prezentiraju raznolika kulturna, prirodoslovna i tehnička dobra koja su postala dijelom opće, </w:t>
      </w:r>
      <w:r w:rsidRPr="00FB5B42">
        <w:rPr>
          <w:rFonts w:cs="Times New Roman"/>
          <w:noProof/>
          <w:color w:val="000000" w:themeColor="text1"/>
          <w:szCs w:val="24"/>
        </w:rPr>
        <w:lastRenderedPageBreak/>
        <w:t>nacionalne i dubrovačke kulture i znanosti. Prioritet imaju izložbe koje u spomenutim područjima tematiziraju Dubrovnik.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se daje izložbama iz fundusa vezanima uz osnovnu djelatnost muzeja ili galerije kao i izložbama koje studijski i znanstveno obrađuju građu i prezentiraju nova saznanja.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Financirat će se aktivnosti obrade, zaštite, istraživanja i ostalog vezano uz prezentaciju stalnog postava. Izrada novog ili izmjena postojećeg stalnog muzejskog ili galerijskog postava može se financirati maksimalno u omjeru godišnjeg izložbenog programa.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Deficitarnima se smatraju programi koji imaju naglašeno pedagoško obilježje u muzejima, galerijama i zbirkama.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Nakladništvom u muzejsko-galerijskoj djelatnosti smatraju se katalozi izložbi, stalnog postava ili zbirki, vodiči i publikacije za promidžbu muzeja, zbornici i godišnjaci muzeja, ostale znanstvene i stručne knjige, te izdavaštvo vezano uz djelatnost muzeja, galerije ili zbirke namijenjeno djeci. Svi navedeni nakladnički projekti u muzejsko-galerijskoj djelatnosti financirati će se i ako su samo u digitalnom obliku.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Nabava muzejsko-galerijske opreme: financirat će se samo rasvjeta, zidne konstrukcije za postavljanje slika, postamenti za skulpture i multimedijalna oprema za predstavljanje radova iz područja novih medija. Za financiranje iste muzejsko-galerijske opreme, prijavitelj može aplicirati samo jednom u pet godina.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Likovne umjetnosti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7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Financirat će se samostalne, skupne, tematske, monografske, retrospektivne izložbe u svim likovnim medijima, akcije i manifestacije koje predstavljaju kulturni indetitet sredine.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programi koji daju uvid u suvremeno likovno stvaralaštvo, odnosno izložbe živućih i mladih autora.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izložbe koje se održavaju u izložbenim prostorima koji su uvršteni na „Popis uvaženih institucija i izložbenih prostora za priznavanje prava i reviziju priznatih prava samostalnih umjetnika“ kojeg donosi Hrvatska zajednica samostalnih umjetnika.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cjelogodišnji izložbeni programi (tijekom najmanje šest mjeseci) koji pokazuju kontinuitet rada na polju likovnih umjetnosti.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Iznimno važnima se smatraju projekti utemeljeni na suradnji više aktera te programi za razvoj rada umjetnika, kustosa, programskih voditelja, istraživača i organizacija u cilju afirmacije njihovog stvaralačkog potencijala.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Deficitarnim se smatraju gostovanja dubrovačkih autora/izložbi izvan Hrvatske.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lastRenderedPageBreak/>
        <w:t>Deficitarnima se smatraju programi koji su prvenstveno namijenjeni djeci i mladima.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8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Likovne monografije: Važnima za dubrovačku kulturu smatraju se samo one likovne monografije koje obrađuju umjetnike koji su životom ili radom vezani za Dubrovnik te predstavljaju bitan čimbenik dubrovačke likovne kulture, kao i znanstvene i stručne sinteze povijesti umjetnosti u Dubrovniku. Prednost imaju umjetnici o kojima prethodno nije objavljena monografija.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Likovne kolonije i likovne radionice: Razmatrat će se samo programi koji se održavaju na području Grada Dubrovnika, a financirat će se maksimalno u iznosu predviđenom za edukativne programe.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Knjiga i nakladništvo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9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Kulturno vijeće razmatra nakladništvo tiskanih ili digitalnih knjiga: književnih izdanja (romani, zbirke poezije, priča i eseja), ilustriranih knjiga za djecu, znanstvenih i stručnih izdanja (iz svih područja, uz priloženu barem jednu stručnu recenziju), umjetničkih knjiga (grafičke i pjesnično-grafičke mape, knjige crteža ili fotografija, bibliofilska izdanja).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Svi programi izdavačke djelatnosti moraju biti autorski ili tematski vezani za Dubrovnik, osim onih koji predstavljaju opća kulturna dostignuća.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Prijevodi: Izdavanje knjiga koje se prevode sa stranih jezika na hrvatski financirat će se samo dubrovačkim izdavačima. Podupiru se inozemni nakladnici za objavljivanje prijevoda djela dubrovačkih autora.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Časopisi: Od časopisa i periodičkih publikacija financirat će se samo oni u tiskanom obliku, čiji je sadržaj iz humanističkog ili umjetničkog područja.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Manifestacije: manifestacije čiji su rezultati u protekloj i prethodnim godinama pokazali osobitu vrijednost, a uglavnom su vezane uz značajna imena i događaje dubrovačke kulture i povijesti, manifestacije čiji programi dubrovačku kulturu stavljaju u europski kontekst, manifestacije koje predstavljaju kvalitetnu novu inicijativu u Dubrovniku.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Osobito se važnim smatraju nastupi dubrovačkih izdavača na domaćim i inozemnim sajmovima knjiga koji prezentiraju dubrovačku književnu i knjižnu produkciju u protekloj godini, odnosno naglasak stavljaju na predstavljanja dubrovačkih nakladnika i autora.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0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Stručna i znanstvena izdanja, te književni prijevodi za čije je objavljivanje potrebno osigurati sredstva za poseban istraživački, književno-povijesni ili osobito zahtjevan prevodilački rad, mogu se financirati u dvije faze, što je potrebno navesti u prijavnici. Prva faza su pripremni radovi koji obuhvaćaju: istraživanje, pisanje ili prevođenje, fotografiranje, lekturu, recenziranje, uređivanje. Druga faza obuhvaća: dizajn, prijelom i tisak.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 xml:space="preserve">Svi programi izdavačke djelatnosti </w:t>
      </w:r>
      <w:r w:rsidRPr="00FB5B42">
        <w:rPr>
          <w:rFonts w:cs="Times New Roman"/>
          <w:b/>
          <w:noProof/>
          <w:color w:val="000000" w:themeColor="text1"/>
          <w:szCs w:val="24"/>
        </w:rPr>
        <w:t>moraju</w:t>
      </w:r>
      <w:r w:rsidRPr="00FB5B42">
        <w:rPr>
          <w:rFonts w:cs="Times New Roman"/>
          <w:noProof/>
          <w:color w:val="000000" w:themeColor="text1"/>
          <w:szCs w:val="24"/>
        </w:rPr>
        <w:t xml:space="preserve"> uz opći obrazac prijavnice imati priložen dopunski list sa sljedećim podatcima: sadržaj publikacije, terminski plan realizacije publikacije, specificirani naslov publikacije, imena svih autora i suradnika (urednik, prevoditelj, fotograf i drugo), pravnu ili fizičku osobu koja dizajnira publikaciju i priprema je za tisak, format, opseg, broj ilustracija, vrstu uveza i nakladu za svaku pojedinu publikaciju koju se prijavljuje, kao i najmanje jednu ponudu za tisak prema istim parametrima.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b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Filmske i kinematografske djelatnosti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1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Kulturno vijeće razmatra produkciju (kratkometražni filmovi svih žanrova i druga audiovizualna djela) i promoviranje projekata (filmski festivali, filmske revije) iz kinematografske djelatnosti.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Deficitarnima se smatraju stručne i znanstvene publikacije iz područja filma.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Posebno će se razmatrati edukativni projekti namijenjeni djeci i mladima.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2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projekti visoke stručne utemeljenosti, odnosno oni koji potiču kvalitetnu i novu inicijativu u Dubrovniku, kao i projekti koji su tematski ili autorski biti vezani za Dubrovnik, koji angažiraju lokalne stručne kadrove te vode računa o cjelogodišnjem kulturnom životu Dubrovnika.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projekti naglašene ekonomičnosti i oni koji imaju osigurana sredstva iz drugih izvora.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Nove medijske kulture i kultura mladih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3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Kulturno vijeće razmatra programe istraživačkog, edukacijskog i produkcijskog karaktera koji predstavljaju kritičke i eksperimentalne umjetničke radove, te time ostvaruju i afirmiraju nove modele umjetničke produkcije. To se posebno odnosi na kulturne prakse nastale pod utjecajem novih medija i tehnologija na umjetničko stvaralaštvo.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projekti koje se održavaju u prostorima koji su uvršteni na „Popis uvaženih institucija i izložbenih prostora za priznavanje prava i reviziju priznatih prava samostalnih umjetnika“ kojeg donosi Hrvatska zajednica samostalnih umjetnika, programi koji se odvijaju na područjima izvan glavnih kulturnih tokova, programi koji kulturne sadržaje dovode u neuobičajene prostore te koji se u svom sadržaju referiraju na takve prostore (otvoreni javni prostori, neiskorišteni prostori arhitektonske baštine), te koji na kvalitetan i održiv način uključuju lokalnu zajednicu.</w:t>
      </w:r>
    </w:p>
    <w:p w:rsidR="00C7213E" w:rsidRPr="00FB5B42" w:rsidRDefault="005728EA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Za razvoj kulture u Dubrovniku od osobitog su značaja programi za mlade koji obuhvaćaju kontinuirano djelovanje organizacija mladih i pojedinaca, projekte edukativnih programa za mlade, kvizove i jednodnevne tribine, kulturno-zabavne događaje i popularizaciju kulture.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Deficitarnima se smatraju programi utemeljeni na suradnji više aktera te platforme za razvoj rada umjetnika, kustosa, programskih voditelja, istraživača i organizacija.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Posebno će se razmatrati cjelogodišnji programi, manifestacije i festivali koji pokazuju permanentnu aktivnost u realizaciji i profiliranju predlagatelja programa.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Osobito se vrijednima smatraju inovativne umjetničke prakse koje se baziraju na suradnji s javnim kulturnim ustanovama.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Zaštita i očuvanje kuturnih dobara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Kulturno vijeće razmatra programe zaštite i očuvanja pojedinačnih pokretnih, nepokretnih i nematerijalnih kulturnih dobara, edukativne programe, stručne skupove, izložbe i nakladničke projekte iz područja baštine.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Projekti koji se razmatraju su: obnove objekata, održavanje i preventivna zaštita povijesnih zdanja i arheoloških lokaliteta, restauracija fresaka, rekonstrukcija spomenika, fontana, skulptura i grobnih spomenika; revitalizacija, restauracija-konzervacija, prezentacija, održivi razvoj, briga i preventivna zaštita kulturnog dobra; revitalizacija sakralnih i profanih interijera u svrhu preventivne zaštite i registracija  pojedinačnog  kulturnog dobra.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Prednost imaju programi očuvanja i zaštite etnografskog kulturnog dobra, njihovo skupljanje, restauracija, preventivna zaštita te postavljanje in situ, kao i programi očuvanja živih lokalnih tradicija i narodnih običaja, uključujući i specijalitete stare kuhinje.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 xml:space="preserve">Prednost imaju razvojni programi edukativnog značaja i znanstveno istraživačkog timskog rada. 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Iznimno važnim se smatraju programi koji doprinose društvenom i kulturnom životu izvan gradskog područja i kulturnih vrijednosti u prirodnom okruženju i arhitektonskom naslijeđu.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Važnima se smatraju programi koji uključuju mlade i nezaposlene.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5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Deficitarnim se smatraju programi revitalizacije i zaštite suhozida, skupljanje etno predmeta estetske i materijalne vrijednosti.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pStyle w:val="ListParagraph"/>
        <w:numPr>
          <w:ilvl w:val="0"/>
          <w:numId w:val="4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Posebno će se razmatrati programi prezentacije baštine na način međunarodne suradnje i gostovanja, izložbe, konferencije, simpoziji i stručna usavršavanja.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b/>
          <w:noProof/>
          <w:color w:val="000000" w:themeColor="text1"/>
          <w:szCs w:val="24"/>
        </w:rPr>
        <w:t>Ostalo</w:t>
      </w:r>
    </w:p>
    <w:p w:rsidR="00DE3A4E" w:rsidRPr="00FB5B42" w:rsidRDefault="00DE3A4E" w:rsidP="001E7D89">
      <w:pPr>
        <w:numPr>
          <w:ilvl w:val="0"/>
          <w:numId w:val="1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 xml:space="preserve">Grad Dubrovnik potiče razvoj </w:t>
      </w:r>
      <w:r w:rsidRPr="00FB5B42">
        <w:rPr>
          <w:rFonts w:cs="Times New Roman"/>
          <w:b/>
          <w:noProof/>
          <w:color w:val="000000" w:themeColor="text1"/>
          <w:szCs w:val="24"/>
        </w:rPr>
        <w:t>umjetničke kritike</w:t>
      </w:r>
      <w:r w:rsidRPr="00FB5B42">
        <w:rPr>
          <w:rFonts w:cs="Times New Roman"/>
          <w:noProof/>
          <w:color w:val="000000" w:themeColor="text1"/>
          <w:szCs w:val="24"/>
        </w:rPr>
        <w:t xml:space="preserve"> iz područja glazbenog, likovnog, kazališnog i književnog stvaralaštva. Obveza predlagatelja je da godišnje objavi najmanje </w:t>
      </w:r>
      <w:r w:rsidRPr="00FB5B42">
        <w:rPr>
          <w:rFonts w:cs="Times New Roman"/>
          <w:noProof/>
          <w:color w:val="000000" w:themeColor="text1"/>
          <w:szCs w:val="24"/>
        </w:rPr>
        <w:lastRenderedPageBreak/>
        <w:t>12 kritika i to: (1) u tiskanim i digitalnim medijima (web portali, blogovi, društvene stranice) članke ukupnog opsega najmanje 36 kartica godišnje ili (2) u audiovizualnim medijima (televizija, radio) priloge u trajanju najmanje jedne i pol minute po prilogu. Takvi članci i prilozi ne smiju biti samo informativnog karaktera, već moraju dati vlastiti kritički sud o umjetničkom djelu. Sve teme moraju biti vezane uz umjetnost u Dubrovniku ili djelovanje dubrovačkih umjetnika izvan Dubrovnika.</w:t>
      </w:r>
    </w:p>
    <w:p w:rsidR="00DE3A4E" w:rsidRPr="00FB5B42" w:rsidRDefault="00DE3A4E" w:rsidP="001E7D89">
      <w:pPr>
        <w:ind w:left="360"/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6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 xml:space="preserve">Prijavitelji koji se kandidiraju za </w:t>
      </w:r>
      <w:r w:rsidRPr="00FB5B42">
        <w:rPr>
          <w:rFonts w:cs="Times New Roman"/>
          <w:noProof/>
          <w:color w:val="000000" w:themeColor="text1"/>
          <w:szCs w:val="24"/>
          <w:u w:val="single"/>
        </w:rPr>
        <w:t>stručna usavršavanja u kulturi</w:t>
      </w:r>
      <w:r w:rsidRPr="00FB5B42">
        <w:rPr>
          <w:rFonts w:cs="Times New Roman"/>
          <w:noProof/>
          <w:color w:val="000000" w:themeColor="text1"/>
          <w:szCs w:val="24"/>
        </w:rPr>
        <w:t xml:space="preserve"> moraju objasniti koji je neposredni interes Grada Dubrovnika u tome programu. Svi prijavitelji moraju priložiti detaljan program stručnog usavršavanja ili preporuku stručne osobe iz tog područja, te imati osiguran dio sredstava iz drugih izvora.</w:t>
      </w:r>
    </w:p>
    <w:p w:rsidR="00DE3A4E" w:rsidRPr="00FB5B42" w:rsidRDefault="00DE3A4E" w:rsidP="001E7D89">
      <w:pPr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Pr="00FB5B42" w:rsidRDefault="00DE3A4E" w:rsidP="001E7D89">
      <w:pPr>
        <w:numPr>
          <w:ilvl w:val="0"/>
          <w:numId w:val="17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Prijavitelji koji traže prenamjenu odobrenih sredstava moraju ponuditi program/projekt koji je ekvivalentan prijavljenom projektu/programu za kojeg im je prethodno odobreno financiranje i o čemu su sklopili ugovor s Gradom Dubrovnikom.</w:t>
      </w:r>
    </w:p>
    <w:p w:rsidR="00DE3A4E" w:rsidRPr="00FB5B42" w:rsidRDefault="00DE3A4E" w:rsidP="001E7D89">
      <w:pPr>
        <w:ind w:left="360"/>
        <w:jc w:val="both"/>
        <w:rPr>
          <w:rFonts w:cs="Times New Roman"/>
          <w:noProof/>
          <w:color w:val="000000" w:themeColor="text1"/>
          <w:szCs w:val="24"/>
        </w:rPr>
      </w:pPr>
    </w:p>
    <w:p w:rsidR="00DE3A4E" w:rsidRDefault="00DE3A4E" w:rsidP="001E7D89">
      <w:pPr>
        <w:pStyle w:val="ListParagraph"/>
        <w:numPr>
          <w:ilvl w:val="0"/>
          <w:numId w:val="17"/>
        </w:numPr>
        <w:jc w:val="both"/>
        <w:rPr>
          <w:rFonts w:cs="Times New Roman"/>
          <w:noProof/>
          <w:color w:val="000000" w:themeColor="text1"/>
          <w:szCs w:val="24"/>
        </w:rPr>
      </w:pPr>
      <w:r w:rsidRPr="00FB5B42">
        <w:rPr>
          <w:rFonts w:cs="Times New Roman"/>
          <w:noProof/>
          <w:color w:val="000000" w:themeColor="text1"/>
          <w:szCs w:val="24"/>
        </w:rPr>
        <w:t>Programi izvan redovih godišnjih prijava: Bez obzira na vrijednost programa, Kulturno vijeće neće predložiti financiranje u iznosu većem od 5.000 (pet tisuća) kuna.</w:t>
      </w:r>
    </w:p>
    <w:p w:rsidR="00014CC4" w:rsidRPr="00014CC4" w:rsidRDefault="00014CC4" w:rsidP="00014CC4">
      <w:pPr>
        <w:pStyle w:val="ListParagraph"/>
        <w:rPr>
          <w:rFonts w:cs="Times New Roman"/>
          <w:noProof/>
          <w:color w:val="000000" w:themeColor="text1"/>
          <w:szCs w:val="24"/>
        </w:rPr>
      </w:pPr>
    </w:p>
    <w:p w:rsidR="00014CC4" w:rsidRPr="00014CC4" w:rsidRDefault="00014CC4" w:rsidP="00014CC4">
      <w:pPr>
        <w:jc w:val="both"/>
        <w:rPr>
          <w:rFonts w:cs="Times New Roman"/>
          <w:b/>
          <w:noProof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t>S</w:t>
      </w:r>
      <w:r w:rsidRPr="00014CC4">
        <w:rPr>
          <w:rFonts w:cs="Times New Roman"/>
          <w:b/>
          <w:noProof/>
          <w:color w:val="000000" w:themeColor="text1"/>
          <w:szCs w:val="24"/>
        </w:rPr>
        <w:t>ustav bodovanja</w:t>
      </w:r>
      <w:r>
        <w:rPr>
          <w:rFonts w:cs="Times New Roman"/>
          <w:b/>
          <w:noProof/>
          <w:color w:val="000000" w:themeColor="text1"/>
          <w:szCs w:val="24"/>
        </w:rPr>
        <w:t xml:space="preserve"> i </w:t>
      </w:r>
      <w:r w:rsidR="007619FF">
        <w:rPr>
          <w:rFonts w:cs="Times New Roman"/>
          <w:b/>
          <w:noProof/>
          <w:color w:val="000000" w:themeColor="text1"/>
          <w:szCs w:val="24"/>
        </w:rPr>
        <w:t xml:space="preserve">stručno </w:t>
      </w:r>
      <w:r>
        <w:rPr>
          <w:rFonts w:cs="Times New Roman"/>
          <w:b/>
          <w:noProof/>
          <w:color w:val="000000" w:themeColor="text1"/>
          <w:szCs w:val="24"/>
        </w:rPr>
        <w:t>ocjenjivanj</w:t>
      </w:r>
      <w:r w:rsidR="007619FF">
        <w:rPr>
          <w:rFonts w:cs="Times New Roman"/>
          <w:b/>
          <w:noProof/>
          <w:color w:val="000000" w:themeColor="text1"/>
          <w:szCs w:val="24"/>
        </w:rPr>
        <w:t>e</w:t>
      </w:r>
    </w:p>
    <w:p w:rsidR="00014CC4" w:rsidRPr="0031194B" w:rsidRDefault="00014CC4" w:rsidP="00014CC4">
      <w:pPr>
        <w:pStyle w:val="NormalWeb"/>
        <w:jc w:val="both"/>
        <w:rPr>
          <w:noProof/>
          <w:color w:val="auto"/>
        </w:rPr>
      </w:pPr>
      <w:r w:rsidRPr="0031194B">
        <w:rPr>
          <w:noProof/>
          <w:color w:val="auto"/>
        </w:rPr>
        <w:t>Pri stručnom ocjenjivanju prijedloga Programa, Kulturno vijeće primjenjuje sljedeće kriterije i sustav bodovanja:</w:t>
      </w:r>
    </w:p>
    <w:p w:rsidR="00014CC4" w:rsidRPr="0031194B" w:rsidRDefault="00014CC4" w:rsidP="00014CC4">
      <w:pPr>
        <w:pStyle w:val="NormalWeb"/>
        <w:spacing w:after="0" w:afterAutospacing="0"/>
        <w:jc w:val="both"/>
        <w:rPr>
          <w:noProof/>
          <w:color w:val="auto"/>
        </w:rPr>
      </w:pPr>
      <w:r w:rsidRPr="0031194B">
        <w:rPr>
          <w:noProof/>
          <w:color w:val="auto"/>
        </w:rPr>
        <w:t>Osnovni bodovi:</w:t>
      </w:r>
    </w:p>
    <w:p w:rsidR="00014CC4" w:rsidRPr="0031194B" w:rsidRDefault="00014CC4" w:rsidP="00014CC4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noProof/>
          <w:color w:val="auto"/>
        </w:rPr>
      </w:pPr>
      <w:r w:rsidRPr="0031194B">
        <w:rPr>
          <w:noProof/>
          <w:color w:val="auto"/>
        </w:rPr>
        <w:t>jasnoća, cjelovitost, ekonomičnost i provedivost programa u planiranom razdoblju, maksimalno 5 bodova;</w:t>
      </w:r>
    </w:p>
    <w:p w:rsidR="00014CC4" w:rsidRPr="0031194B" w:rsidRDefault="00014CC4" w:rsidP="00014CC4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noProof/>
          <w:color w:val="auto"/>
        </w:rPr>
      </w:pPr>
      <w:r w:rsidRPr="0031194B">
        <w:rPr>
          <w:noProof/>
          <w:color w:val="auto"/>
        </w:rPr>
        <w:t>rezultati dosadašnjeg rada, uspjesi i iskustvo u provođenju programa predlagatelja te stručne i umjetničke reference autora, odnosno voditelja programa, maksimalno 5 bodova;</w:t>
      </w:r>
    </w:p>
    <w:p w:rsidR="00014CC4" w:rsidRPr="0031194B" w:rsidRDefault="00014CC4" w:rsidP="00014CC4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noProof/>
          <w:color w:val="auto"/>
        </w:rPr>
      </w:pPr>
      <w:r w:rsidRPr="0031194B">
        <w:rPr>
          <w:noProof/>
          <w:color w:val="auto"/>
        </w:rPr>
        <w:t>kriteriji kvalite</w:t>
      </w:r>
      <w:r w:rsidR="000E73E8">
        <w:rPr>
          <w:noProof/>
          <w:color w:val="auto"/>
        </w:rPr>
        <w:t>te koje donosi Kulturno vijeće</w:t>
      </w:r>
      <w:r w:rsidRPr="0031194B">
        <w:rPr>
          <w:noProof/>
          <w:color w:val="auto"/>
        </w:rPr>
        <w:t>, maksimalno 5 bodova.</w:t>
      </w:r>
    </w:p>
    <w:p w:rsidR="00014CC4" w:rsidRPr="0031194B" w:rsidRDefault="00014CC4" w:rsidP="00014CC4">
      <w:pPr>
        <w:pStyle w:val="NormalWeb"/>
        <w:spacing w:before="0" w:beforeAutospacing="0" w:after="0" w:afterAutospacing="0"/>
        <w:jc w:val="both"/>
        <w:rPr>
          <w:noProof/>
          <w:color w:val="auto"/>
        </w:rPr>
      </w:pPr>
    </w:p>
    <w:p w:rsidR="00014CC4" w:rsidRPr="0031194B" w:rsidRDefault="00014CC4" w:rsidP="00014CC4">
      <w:pPr>
        <w:pStyle w:val="NormalWeb"/>
        <w:spacing w:before="0" w:beforeAutospacing="0" w:after="0" w:afterAutospacing="0"/>
        <w:jc w:val="both"/>
        <w:rPr>
          <w:noProof/>
          <w:color w:val="auto"/>
        </w:rPr>
      </w:pPr>
      <w:r w:rsidRPr="0031194B">
        <w:rPr>
          <w:noProof/>
          <w:color w:val="auto"/>
        </w:rPr>
        <w:t>Dodatni bodovi: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usmjereni na međugradsku i međunarodnu suradnju, kao i programi koji pridonose predstavljanju kulture grada Dubrovnika u Hrvatskoj i svijetu,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koji potiču približavanje kulture djeci i mladima kroz njima primjerene sadržaje,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važni obljetnički programi koji su podržani od strane Gradskog vijeća Grada Dubrovnika,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edukacije i programi popularizacije kulture,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poduzetništva u kulturi,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izvan užeg gradskog područja (prigradska naselja i otoci),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financirani od Europske unije u programu Kreativna Europa (2014.-2020.), maksimalno 1 bod;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 xml:space="preserve">izvansezonski projekti koji se izvode od 1. studenog do 31. ožujka, maksimalno </w:t>
      </w:r>
      <w:r>
        <w:rPr>
          <w:noProof/>
          <w:color w:val="000000" w:themeColor="text1"/>
        </w:rPr>
        <w:t>3</w:t>
      </w:r>
      <w:r w:rsidRPr="002606A2">
        <w:rPr>
          <w:noProof/>
          <w:color w:val="000000" w:themeColor="text1"/>
        </w:rPr>
        <w:t xml:space="preserve"> bod</w:t>
      </w:r>
      <w:r>
        <w:rPr>
          <w:noProof/>
          <w:color w:val="000000" w:themeColor="text1"/>
        </w:rPr>
        <w:t>a</w:t>
      </w:r>
      <w:r w:rsidRPr="002606A2">
        <w:rPr>
          <w:noProof/>
          <w:color w:val="000000" w:themeColor="text1"/>
        </w:rPr>
        <w:t>;</w:t>
      </w:r>
    </w:p>
    <w:p w:rsidR="00014CC4" w:rsidRPr="002606A2" w:rsidRDefault="00014CC4" w:rsidP="00014CC4">
      <w:pPr>
        <w:pStyle w:val="NormalWeb"/>
        <w:numPr>
          <w:ilvl w:val="0"/>
          <w:numId w:val="19"/>
        </w:numPr>
        <w:rPr>
          <w:noProof/>
          <w:color w:val="000000" w:themeColor="text1"/>
        </w:rPr>
      </w:pPr>
      <w:r w:rsidRPr="002606A2">
        <w:rPr>
          <w:noProof/>
          <w:color w:val="000000" w:themeColor="text1"/>
          <w:lang w:val="en-US"/>
        </w:rPr>
        <w:lastRenderedPageBreak/>
        <w:t>zajednički programi više udruga i zajednički programi udruga i kulturnih ustanova, maksimalno 1 bod.</w:t>
      </w:r>
    </w:p>
    <w:p w:rsidR="00014CC4" w:rsidRPr="0031194B" w:rsidRDefault="00014CC4" w:rsidP="00014CC4">
      <w:pPr>
        <w:pStyle w:val="NormalWeb"/>
        <w:spacing w:before="0" w:beforeAutospacing="0" w:after="0" w:afterAutospacing="0"/>
        <w:jc w:val="both"/>
        <w:rPr>
          <w:noProof/>
          <w:color w:val="auto"/>
        </w:rPr>
      </w:pPr>
    </w:p>
    <w:p w:rsidR="00014CC4" w:rsidRPr="00014CC4" w:rsidRDefault="00014CC4" w:rsidP="00014CC4">
      <w:pPr>
        <w:pStyle w:val="NormalWeb"/>
        <w:spacing w:before="0" w:beforeAutospacing="0" w:after="0" w:afterAutospacing="0"/>
        <w:jc w:val="both"/>
        <w:rPr>
          <w:noProof/>
          <w:color w:val="auto"/>
        </w:rPr>
      </w:pPr>
      <w:r w:rsidRPr="0031194B">
        <w:rPr>
          <w:noProof/>
          <w:color w:val="auto"/>
        </w:rPr>
        <w:t>Prijavljeni programi moraju dobiti najmanje 9 (devet) osnovnih bodova prije nego što se razmatraju za dodatne bodove. Ako program dobije manje od 9 osnovnih bodova, neće se sufinancirati jer ne udovoljava kriterijima i uvjetima vrednovanja.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014CC4">
        <w:rPr>
          <w:b/>
          <w:noProof/>
          <w:lang w:val="en-US"/>
        </w:rPr>
        <w:t>U stručnom ocjenjivanju prijedloga programa Kulturno vijeće primjenjuje sljedeći sustav ocjenjivanja</w:t>
      </w:r>
      <w:r w:rsidRPr="004E1533">
        <w:rPr>
          <w:noProof/>
          <w:lang w:val="en-US"/>
        </w:rPr>
        <w:t>: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- 0 do 8 bodova – neće se sufinancirati jer ne udovoljava kriterijima i uvjetima sufinanciranja.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- 9 bodova – sufinancirat će se u omjeru do maksimalno 40% obzirom na traženi iznos i na maksimalni iznos predviđen člankom 13. ovog Pravilnika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- 10 bodova – sufinancirat će se u omjeru do maksimalno 50% obzirom na traženi iznos i na maksimalni iznos predviđen člankom 13. ovog Pravilnika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- 11 bodova – sufinancirat će se u omjeru do maksimalno 60% obzirom na traženi iznos i na maksimalni iznos predviđen člankom 13. ovog Pravilnika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- 12 bodova – sufinancirat će se u omjeru do maksimalno 70% obzirom na traženi iznos i na maksimalni iznos predviđen člankom 13. ovog Pravilnika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- 13 bodova – sufinancirat će se u omjeru do maksimalno 80% obzirom na traženi iznos i na maksimalni iznos predviđen člankom 13. ovog Pravilnika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noProof/>
          <w:lang w:val="en-US"/>
        </w:rPr>
        <w:t>- 14 bodova – sufinancirat će se u omjeru do maksimalno 90% obzirom na traženi iznos i na maksimalni iznos predviđen člankom 13. ovog Pravilnika</w:t>
      </w:r>
    </w:p>
    <w:p w:rsidR="00014CC4" w:rsidRPr="004E1533" w:rsidRDefault="00014CC4" w:rsidP="00014CC4">
      <w:pPr>
        <w:pStyle w:val="NormalWeb"/>
        <w:jc w:val="both"/>
        <w:rPr>
          <w:noProof/>
          <w:lang w:val="en-US"/>
        </w:rPr>
      </w:pPr>
      <w:r w:rsidRPr="004E1533">
        <w:rPr>
          <w:b/>
          <w:bCs/>
          <w:noProof/>
          <w:lang w:val="en-US"/>
        </w:rPr>
        <w:t xml:space="preserve">- </w:t>
      </w:r>
      <w:r w:rsidR="007619FF" w:rsidRPr="00F07BAD">
        <w:rPr>
          <w:bCs/>
          <w:noProof/>
          <w:lang w:val="en-US"/>
        </w:rPr>
        <w:t>15 do 2</w:t>
      </w:r>
      <w:r w:rsidR="007619FF">
        <w:rPr>
          <w:bCs/>
          <w:noProof/>
          <w:lang w:val="en-US"/>
        </w:rPr>
        <w:t>6 bodova</w:t>
      </w:r>
      <w:r w:rsidR="007619FF" w:rsidRPr="004E1533">
        <w:rPr>
          <w:b/>
          <w:bCs/>
          <w:noProof/>
          <w:lang w:val="en-US"/>
        </w:rPr>
        <w:t xml:space="preserve"> </w:t>
      </w:r>
      <w:r w:rsidRPr="004E1533">
        <w:rPr>
          <w:noProof/>
          <w:lang w:val="en-US"/>
        </w:rPr>
        <w:t>– sufinancirat će se u omjeru do maksimalno 100% obzirom na traženi iznos i na maksimalni iznos predviđen člankom 13. ovog Pravilnika</w:t>
      </w:r>
    </w:p>
    <w:p w:rsidR="00014CC4" w:rsidRPr="007619FF" w:rsidRDefault="00014CC4" w:rsidP="00014CC4">
      <w:pPr>
        <w:pStyle w:val="NormalWeb"/>
        <w:jc w:val="both"/>
        <w:rPr>
          <w:noProof/>
        </w:rPr>
      </w:pPr>
      <w:r w:rsidRPr="00014CC4">
        <w:rPr>
          <w:b/>
          <w:noProof/>
          <w:color w:val="auto"/>
        </w:rPr>
        <w:t>Prijedlog pojedinog programa neće se sufinancirati iznad sljedećih utvrđenih iznosa u pojedinim kulturnim djelatnostima: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glazbeni festivali – do 100.000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ciklus komornih koncerata – do 70.000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pojedinačni koncert – do 10.000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glazbena produkcija (notno izdavaštvo, diskografija, publicistika) – do 15.000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godišnji program pjevačkih zborova – do 100.000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nabava glazbenih instrumenata, odora za nastupe i sl. – do 20.000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godišnji dramski program – do 100.000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t>dramske i plesne predstave – do 30.000 kn</w:t>
      </w:r>
    </w:p>
    <w:p w:rsidR="00014CC4" w:rsidRPr="0031194B" w:rsidRDefault="00014CC4" w:rsidP="00014CC4">
      <w:pPr>
        <w:pStyle w:val="ListParagraph"/>
        <w:numPr>
          <w:ilvl w:val="0"/>
          <w:numId w:val="20"/>
        </w:numPr>
        <w:contextualSpacing w:val="0"/>
        <w:rPr>
          <w:noProof/>
        </w:rPr>
      </w:pPr>
      <w:r w:rsidRPr="0031194B">
        <w:rPr>
          <w:noProof/>
        </w:rPr>
        <w:lastRenderedPageBreak/>
        <w:t>djelovanje kulturno-umjetničkih društava – do 60.000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godišnji izložbeni program – do 100.000 kn</w:t>
      </w: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pojedinačne izložbe – do 20.000 kn</w:t>
      </w: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nabava muzejsko-galerijske opreme – do 20.000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festival novih medijskih kultura – do 100.000 kn</w:t>
      </w: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godišnji program iz područja novih medijskih kultura – do 70.000 kn</w:t>
      </w: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produkcija i izvedba umjetničkog djela iz likovnih umjetnosti i novih medijskih kultura – do 15.000 kn</w:t>
      </w:r>
    </w:p>
    <w:p w:rsidR="00014CC4" w:rsidRPr="0031194B" w:rsidRDefault="00014CC4" w:rsidP="00014CC4">
      <w:pPr>
        <w:pStyle w:val="ListParagraph"/>
        <w:numPr>
          <w:ilvl w:val="0"/>
          <w:numId w:val="21"/>
        </w:numPr>
        <w:contextualSpacing w:val="0"/>
        <w:rPr>
          <w:noProof/>
        </w:rPr>
      </w:pPr>
      <w:r w:rsidRPr="0031194B">
        <w:rPr>
          <w:noProof/>
        </w:rPr>
        <w:t>interdisciplinarni projekti, manifestacije iz područja novih medija, platforme – do 50.000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ListParagraph"/>
        <w:numPr>
          <w:ilvl w:val="0"/>
          <w:numId w:val="22"/>
        </w:numPr>
        <w:contextualSpacing w:val="0"/>
        <w:rPr>
          <w:noProof/>
        </w:rPr>
      </w:pPr>
      <w:r w:rsidRPr="0031194B">
        <w:rPr>
          <w:noProof/>
        </w:rPr>
        <w:t>godišnji izdavački program – do 100.000 kn</w:t>
      </w:r>
    </w:p>
    <w:p w:rsidR="00014CC4" w:rsidRPr="0031194B" w:rsidRDefault="00014CC4" w:rsidP="00014CC4">
      <w:pPr>
        <w:pStyle w:val="ListParagraph"/>
        <w:numPr>
          <w:ilvl w:val="0"/>
          <w:numId w:val="22"/>
        </w:numPr>
        <w:contextualSpacing w:val="0"/>
        <w:rPr>
          <w:noProof/>
        </w:rPr>
      </w:pPr>
      <w:r w:rsidRPr="0031194B">
        <w:rPr>
          <w:noProof/>
        </w:rPr>
        <w:t>pojedinačni izdavački projekti: književna izdanja – do 15.000 kn; ilustrirane knjige za djecu – do 15.000 kn; znanstvena i stručna izdanja – do 30.000 kn; umjetničke knjige – do 15.000 kn</w:t>
      </w:r>
    </w:p>
    <w:p w:rsidR="00014CC4" w:rsidRPr="0031194B" w:rsidRDefault="00014CC4" w:rsidP="00014CC4">
      <w:pPr>
        <w:pStyle w:val="ListParagraph"/>
        <w:numPr>
          <w:ilvl w:val="0"/>
          <w:numId w:val="22"/>
        </w:numPr>
        <w:contextualSpacing w:val="0"/>
        <w:rPr>
          <w:noProof/>
        </w:rPr>
      </w:pPr>
      <w:r w:rsidRPr="0031194B">
        <w:rPr>
          <w:noProof/>
        </w:rPr>
        <w:t>predstavljanje književnih izdanja – do 5.000 kn</w:t>
      </w:r>
    </w:p>
    <w:p w:rsidR="00014CC4" w:rsidRPr="0031194B" w:rsidRDefault="00014CC4" w:rsidP="00014CC4">
      <w:pPr>
        <w:pStyle w:val="ListParagraph"/>
        <w:numPr>
          <w:ilvl w:val="0"/>
          <w:numId w:val="22"/>
        </w:numPr>
        <w:contextualSpacing w:val="0"/>
        <w:rPr>
          <w:noProof/>
        </w:rPr>
      </w:pPr>
      <w:r w:rsidRPr="0031194B">
        <w:rPr>
          <w:noProof/>
        </w:rPr>
        <w:t>prevođenje znanstvenih i književnih izdanja dubrovačkih autora na strane jezike – do 20.000 kn</w:t>
      </w:r>
    </w:p>
    <w:p w:rsidR="00014CC4" w:rsidRPr="0031194B" w:rsidRDefault="00014CC4" w:rsidP="00014CC4">
      <w:pPr>
        <w:pStyle w:val="ListParagraph"/>
        <w:numPr>
          <w:ilvl w:val="0"/>
          <w:numId w:val="22"/>
        </w:numPr>
        <w:contextualSpacing w:val="0"/>
        <w:rPr>
          <w:noProof/>
        </w:rPr>
      </w:pPr>
      <w:r w:rsidRPr="0031194B">
        <w:rPr>
          <w:noProof/>
        </w:rPr>
        <w:t>književne manifestacije – do 100.000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NoSpacing"/>
        <w:numPr>
          <w:ilvl w:val="0"/>
          <w:numId w:val="23"/>
        </w:numPr>
        <w:rPr>
          <w:noProof/>
        </w:rPr>
      </w:pPr>
      <w:r w:rsidRPr="0031194B">
        <w:rPr>
          <w:noProof/>
        </w:rPr>
        <w:t>filmski festivali – do 100.000 kn</w:t>
      </w:r>
    </w:p>
    <w:p w:rsidR="00014CC4" w:rsidRPr="0031194B" w:rsidRDefault="00014CC4" w:rsidP="00014CC4">
      <w:pPr>
        <w:pStyle w:val="NoSpacing"/>
        <w:numPr>
          <w:ilvl w:val="0"/>
          <w:numId w:val="23"/>
        </w:numPr>
        <w:rPr>
          <w:noProof/>
        </w:rPr>
      </w:pPr>
      <w:r w:rsidRPr="0031194B">
        <w:rPr>
          <w:noProof/>
        </w:rPr>
        <w:t>filmske revije i druge audiovizualne manifestacije cjelovite programske koncepcije i programi koji se bave prikazivanjem vrijednih filmova – do 50.000 kn</w:t>
      </w:r>
    </w:p>
    <w:p w:rsidR="00014CC4" w:rsidRPr="0031194B" w:rsidRDefault="00014CC4" w:rsidP="00014CC4">
      <w:pPr>
        <w:pStyle w:val="ListParagraph"/>
        <w:numPr>
          <w:ilvl w:val="0"/>
          <w:numId w:val="23"/>
        </w:numPr>
        <w:contextualSpacing w:val="0"/>
        <w:rPr>
          <w:noProof/>
        </w:rPr>
      </w:pPr>
      <w:r w:rsidRPr="0031194B">
        <w:rPr>
          <w:noProof/>
        </w:rPr>
        <w:t>filmska produkcija (kratkometražni filmovi, druga audiovizualna djela) – do 50.000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ListParagraph"/>
        <w:numPr>
          <w:ilvl w:val="0"/>
          <w:numId w:val="23"/>
        </w:numPr>
        <w:contextualSpacing w:val="0"/>
        <w:rPr>
          <w:noProof/>
        </w:rPr>
      </w:pPr>
      <w:r w:rsidRPr="0031194B">
        <w:rPr>
          <w:noProof/>
        </w:rPr>
        <w:t>programi sustavne zaštite i očuvanja kulturnih dobara – do 100.000 kn</w:t>
      </w:r>
    </w:p>
    <w:p w:rsidR="00014CC4" w:rsidRPr="0031194B" w:rsidRDefault="00014CC4" w:rsidP="00014CC4">
      <w:pPr>
        <w:pStyle w:val="NoSpacing"/>
        <w:numPr>
          <w:ilvl w:val="0"/>
          <w:numId w:val="23"/>
        </w:numPr>
        <w:rPr>
          <w:noProof/>
        </w:rPr>
      </w:pPr>
      <w:r w:rsidRPr="0031194B">
        <w:rPr>
          <w:noProof/>
        </w:rPr>
        <w:t>pojedinačni projekti zaštite i očuvanja kulturnih dobara – do 50.000 kn</w:t>
      </w:r>
    </w:p>
    <w:p w:rsidR="00014CC4" w:rsidRPr="0031194B" w:rsidRDefault="00014CC4" w:rsidP="00014CC4">
      <w:pPr>
        <w:rPr>
          <w:noProof/>
        </w:rPr>
      </w:pPr>
    </w:p>
    <w:p w:rsidR="00014CC4" w:rsidRPr="0031194B" w:rsidRDefault="00014CC4" w:rsidP="00014CC4">
      <w:pPr>
        <w:pStyle w:val="ListParagraph"/>
        <w:numPr>
          <w:ilvl w:val="0"/>
          <w:numId w:val="24"/>
        </w:numPr>
        <w:contextualSpacing w:val="0"/>
        <w:rPr>
          <w:noProof/>
        </w:rPr>
      </w:pPr>
      <w:r w:rsidRPr="0031194B">
        <w:rPr>
          <w:noProof/>
        </w:rPr>
        <w:t>programi suradnje i gostovanja u svim kulturnim djelatnostima – do 30.000 kn</w:t>
      </w:r>
    </w:p>
    <w:p w:rsidR="00014CC4" w:rsidRPr="0031194B" w:rsidRDefault="00014CC4" w:rsidP="00014CC4">
      <w:pPr>
        <w:pStyle w:val="ListParagraph"/>
        <w:numPr>
          <w:ilvl w:val="0"/>
          <w:numId w:val="24"/>
        </w:numPr>
        <w:contextualSpacing w:val="0"/>
        <w:rPr>
          <w:noProof/>
        </w:rPr>
      </w:pPr>
      <w:r w:rsidRPr="0031194B">
        <w:rPr>
          <w:noProof/>
        </w:rPr>
        <w:t xml:space="preserve">edukativni programi u svim kulturnim djelatnostima – do 30.000 kn </w:t>
      </w:r>
    </w:p>
    <w:p w:rsidR="00014CC4" w:rsidRPr="00CE517E" w:rsidRDefault="00014CC4" w:rsidP="00014CC4">
      <w:pPr>
        <w:pStyle w:val="NoSpacing"/>
        <w:numPr>
          <w:ilvl w:val="0"/>
          <w:numId w:val="24"/>
        </w:numPr>
        <w:rPr>
          <w:noProof/>
          <w:color w:val="000000" w:themeColor="text1"/>
        </w:rPr>
      </w:pPr>
      <w:r w:rsidRPr="00CE517E">
        <w:rPr>
          <w:noProof/>
          <w:color w:val="000000" w:themeColor="text1"/>
        </w:rPr>
        <w:t>predavanja, tribine i drugi jednodnevni edukativni programi – do 5.000 kn</w:t>
      </w:r>
    </w:p>
    <w:p w:rsidR="00014CC4" w:rsidRPr="002606A2" w:rsidRDefault="00014CC4" w:rsidP="00014CC4">
      <w:pPr>
        <w:pStyle w:val="ListParagraph"/>
        <w:numPr>
          <w:ilvl w:val="0"/>
          <w:numId w:val="24"/>
        </w:numPr>
        <w:contextualSpacing w:val="0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godišnja umjetnička kritika (minimalno 12 napisanih stručnih kritika) – do 15.000 kn</w:t>
      </w:r>
    </w:p>
    <w:p w:rsidR="00014CC4" w:rsidRPr="002606A2" w:rsidRDefault="00014CC4" w:rsidP="00014CC4">
      <w:pPr>
        <w:pStyle w:val="ListParagraph"/>
        <w:numPr>
          <w:ilvl w:val="0"/>
          <w:numId w:val="24"/>
        </w:numPr>
        <w:contextualSpacing w:val="0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stručna usavršavanja u kulturi – do 10.000 kn</w:t>
      </w:r>
    </w:p>
    <w:p w:rsidR="00014CC4" w:rsidRPr="002606A2" w:rsidRDefault="00014CC4" w:rsidP="00014CC4">
      <w:pPr>
        <w:pStyle w:val="ListParagraph"/>
        <w:numPr>
          <w:ilvl w:val="0"/>
          <w:numId w:val="24"/>
        </w:numPr>
        <w:contextualSpacing w:val="0"/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znanstveni i stručni simpoziji u kulturi – do 100.000 kn</w:t>
      </w:r>
    </w:p>
    <w:p w:rsidR="00014CC4" w:rsidRDefault="00014CC4" w:rsidP="00014CC4">
      <w:pPr>
        <w:pStyle w:val="NoSpacing"/>
        <w:numPr>
          <w:ilvl w:val="0"/>
          <w:numId w:val="24"/>
        </w:numPr>
        <w:rPr>
          <w:noProof/>
          <w:color w:val="000000" w:themeColor="text1"/>
        </w:rPr>
      </w:pPr>
      <w:r w:rsidRPr="002606A2">
        <w:rPr>
          <w:noProof/>
          <w:color w:val="000000" w:themeColor="text1"/>
        </w:rPr>
        <w:t>programi poduzetništva u kulturi – do 50.000 kn</w:t>
      </w:r>
    </w:p>
    <w:p w:rsidR="00014CC4" w:rsidRPr="0031194B" w:rsidRDefault="00014CC4" w:rsidP="00014CC4">
      <w:pPr>
        <w:pStyle w:val="NoSpacing"/>
        <w:rPr>
          <w:noProof/>
        </w:rPr>
      </w:pPr>
    </w:p>
    <w:p w:rsidR="00014CC4" w:rsidRPr="00D5483B" w:rsidRDefault="00014CC4" w:rsidP="00014CC4">
      <w:pPr>
        <w:jc w:val="both"/>
        <w:rPr>
          <w:noProof/>
        </w:rPr>
      </w:pPr>
      <w:r>
        <w:rPr>
          <w:noProof/>
        </w:rPr>
        <w:t>Iznimno, na prijedlog Kulturnog vijeća, Odjel može odobriti i veći iznos za pojedini program/projekt, ukoliko se ocijeni da je isti od posebnog značaja za Grad Dubrovnik.</w:t>
      </w:r>
      <w:r w:rsidR="007C1837">
        <w:rPr>
          <w:noProof/>
        </w:rPr>
        <w:t xml:space="preserve"> </w:t>
      </w:r>
      <w:r w:rsidR="007C1837" w:rsidRPr="0031194B">
        <w:rPr>
          <w:noProof/>
        </w:rPr>
        <w:t>Godišnjim programima iz područja dramskih, izložbenih, novomedijskih djelatnosti, kao i godišnjim programima pjevačkih zborova</w:t>
      </w:r>
      <w:r w:rsidR="007C1837">
        <w:rPr>
          <w:noProof/>
        </w:rPr>
        <w:t xml:space="preserve"> i kulturno-umjetničkih društava</w:t>
      </w:r>
      <w:r w:rsidR="007C1837" w:rsidRPr="0031194B">
        <w:rPr>
          <w:noProof/>
        </w:rPr>
        <w:t>, smatraju se samo oni programi čije se pojedinačne aktivnosti izvode tijekom najmanje šest mjeseci u programskoj godini.</w:t>
      </w:r>
      <w:r w:rsidR="007C1837">
        <w:rPr>
          <w:noProof/>
        </w:rPr>
        <w:t xml:space="preserve"> </w:t>
      </w:r>
      <w:r w:rsidR="007C1837" w:rsidRPr="008E5005">
        <w:rPr>
          <w:noProof/>
          <w:color w:val="000000" w:themeColor="text1"/>
        </w:rPr>
        <w:t>Festivalima i književnim manifestacijama smatraju se projekti koji sadrže nekoliko programskih aktivnosti tijekom najmanje 3 dana uzastopce i/ili ciklus od najmanje pet aktivnosti tijekom određenog vremenskog razdoblja u programskoj godini.</w:t>
      </w:r>
    </w:p>
    <w:sectPr w:rsidR="00014CC4" w:rsidRPr="00D5483B" w:rsidSect="0022185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EA" w:rsidRDefault="005728EA" w:rsidP="001E7D89">
      <w:r>
        <w:separator/>
      </w:r>
    </w:p>
  </w:endnote>
  <w:endnote w:type="continuationSeparator" w:id="0">
    <w:p w:rsidR="005728EA" w:rsidRDefault="005728EA" w:rsidP="001E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5157"/>
      <w:docPartObj>
        <w:docPartGallery w:val="Page Numbers (Bottom of Page)"/>
        <w:docPartUnique/>
      </w:docPartObj>
    </w:sdtPr>
    <w:sdtEndPr/>
    <w:sdtContent>
      <w:p w:rsidR="001E7D89" w:rsidRDefault="009306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E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D89" w:rsidRDefault="001E7D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EA" w:rsidRDefault="005728EA" w:rsidP="001E7D89">
      <w:r>
        <w:separator/>
      </w:r>
    </w:p>
  </w:footnote>
  <w:footnote w:type="continuationSeparator" w:id="0">
    <w:p w:rsidR="005728EA" w:rsidRDefault="005728EA" w:rsidP="001E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792711"/>
    <w:lvl w:ilvl="0" w:tplc="822A1BD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324749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273813B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9E8AAB5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7D4415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4DE065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02099C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1CAC7C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74ADE8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" w15:restartNumberingAfterBreak="0">
    <w:nsid w:val="00000002"/>
    <w:multiLevelType w:val="hybridMultilevel"/>
    <w:tmpl w:val="40394123"/>
    <w:lvl w:ilvl="0" w:tplc="E4F891C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DF276B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6EAB4F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84444D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01102F6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920596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22F8FDF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A9E382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BD3C1C6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" w15:restartNumberingAfterBreak="0">
    <w:nsid w:val="00000004"/>
    <w:multiLevelType w:val="hybridMultilevel"/>
    <w:tmpl w:val="28367207"/>
    <w:lvl w:ilvl="0" w:tplc="B672CD6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32C96F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EB88829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1BB40A4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6E98364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79EEFF0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A3F4707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D36A2E4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7F1016D4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3" w15:restartNumberingAfterBreak="0">
    <w:nsid w:val="00000005"/>
    <w:multiLevelType w:val="hybridMultilevel"/>
    <w:tmpl w:val="56233215"/>
    <w:lvl w:ilvl="0" w:tplc="5A20F01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FF21DB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25B045CA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C046E6D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1D7EB62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534052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9B8FA8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9A72770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90C117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4" w15:restartNumberingAfterBreak="0">
    <w:nsid w:val="00000006"/>
    <w:multiLevelType w:val="hybridMultilevel"/>
    <w:tmpl w:val="01054157"/>
    <w:lvl w:ilvl="0" w:tplc="0E366DF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7A4658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87CAC1F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83EA3CB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F51AAE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D200CB6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908627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DE18E7E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FCC6C08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5" w15:restartNumberingAfterBreak="0">
    <w:nsid w:val="00000007"/>
    <w:multiLevelType w:val="hybridMultilevel"/>
    <w:tmpl w:val="25267255"/>
    <w:lvl w:ilvl="0" w:tplc="CF964EC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0A874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092C2E7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9A7AC4F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CD69D3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CB98118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5D6DEE6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9DDEB3C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326BB1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6" w15:restartNumberingAfterBreak="0">
    <w:nsid w:val="00000008"/>
    <w:multiLevelType w:val="hybridMultilevel"/>
    <w:tmpl w:val="08024829"/>
    <w:lvl w:ilvl="0" w:tplc="E5CE990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3B72DB6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5A64F0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E7428F40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414695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67EEF2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43300E2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EF3210C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60E0DC2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7" w15:restartNumberingAfterBreak="0">
    <w:nsid w:val="00000009"/>
    <w:multiLevelType w:val="hybridMultilevel"/>
    <w:tmpl w:val="25739943"/>
    <w:lvl w:ilvl="0" w:tplc="8BCA5BF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6444E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D134791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24AEB0B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9D6810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1CB6DF2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D9BED224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4B36B54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AA5C057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8" w15:restartNumberingAfterBreak="0">
    <w:nsid w:val="00000010"/>
    <w:multiLevelType w:val="hybridMultilevel"/>
    <w:tmpl w:val="15398171"/>
    <w:lvl w:ilvl="0" w:tplc="5848133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B9404A5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87E84836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AC5A9F8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927660B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2A488C04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CCC163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B20874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B6E73A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9" w15:restartNumberingAfterBreak="0">
    <w:nsid w:val="00000011"/>
    <w:multiLevelType w:val="hybridMultilevel"/>
    <w:tmpl w:val="46220868"/>
    <w:lvl w:ilvl="0" w:tplc="6D280176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426A2D7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0498940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8B4A3BC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8F76203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26A100A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8E106B42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2242CAD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9BA4528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0" w15:restartNumberingAfterBreak="0">
    <w:nsid w:val="00000012"/>
    <w:multiLevelType w:val="hybridMultilevel"/>
    <w:tmpl w:val="98642645"/>
    <w:lvl w:ilvl="0" w:tplc="414A37E8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2F56514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B144F29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7D94133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07D6F95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21A8356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1D94325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91A4D19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B52AA44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1" w15:restartNumberingAfterBreak="0">
    <w:nsid w:val="00000013"/>
    <w:multiLevelType w:val="hybridMultilevel"/>
    <w:tmpl w:val="16079352"/>
    <w:lvl w:ilvl="0" w:tplc="D0840D7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142875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4CB4E2E4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C550174A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DB28067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982FC3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79845DB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17D4A98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3B2A2AAC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2" w15:restartNumberingAfterBreak="0">
    <w:nsid w:val="00000015"/>
    <w:multiLevelType w:val="hybridMultilevel"/>
    <w:tmpl w:val="18108894"/>
    <w:lvl w:ilvl="0" w:tplc="808C0DE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7F2CC4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08FE4102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630D6B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F2CE758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63A08C0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96907880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326A7E2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DD4AFE6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3" w15:restartNumberingAfterBreak="0">
    <w:nsid w:val="00000016"/>
    <w:multiLevelType w:val="hybridMultilevel"/>
    <w:tmpl w:val="B226FAEA"/>
    <w:lvl w:ilvl="0" w:tplc="35625BB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CA5A78F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8918D8D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6ABAD65E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5476A8B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0AEB6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6AC0DF0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CB563C5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29C6DE16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4" w15:restartNumberingAfterBreak="0">
    <w:nsid w:val="00000017"/>
    <w:multiLevelType w:val="hybridMultilevel"/>
    <w:tmpl w:val="2F24C0CA"/>
    <w:lvl w:ilvl="0" w:tplc="36C80E2E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731679F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C9CE5FF8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3FBCA22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20CA521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35CC25E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5E70899E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0AA6C87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0F30284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15" w15:restartNumberingAfterBreak="0">
    <w:nsid w:val="18C328F6"/>
    <w:multiLevelType w:val="hybridMultilevel"/>
    <w:tmpl w:val="4A0ABCDA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A9C0BC8"/>
    <w:multiLevelType w:val="hybridMultilevel"/>
    <w:tmpl w:val="6364545C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8115E49"/>
    <w:multiLevelType w:val="hybridMultilevel"/>
    <w:tmpl w:val="D54412FC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FF62598"/>
    <w:multiLevelType w:val="hybridMultilevel"/>
    <w:tmpl w:val="070CCA9E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0C0482"/>
    <w:multiLevelType w:val="hybridMultilevel"/>
    <w:tmpl w:val="56178816"/>
    <w:lvl w:ilvl="0" w:tplc="5EDEDC00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4"/>
        <w:szCs w:val="24"/>
      </w:rPr>
    </w:lvl>
    <w:lvl w:ilvl="1" w:tplc="951022D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2" w:tplc="C90C600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3" w:tplc="5E5C4D04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4" w:tplc="F1F4B59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5" w:tplc="FD92551E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6" w:tplc="F2A413CA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7" w:tplc="6A0607B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  <w:lvl w:ilvl="8" w:tplc="863AE78E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 w:hint="default"/>
        <w:b/>
        <w:color w:val="000000"/>
        <w:sz w:val="24"/>
        <w:szCs w:val="24"/>
      </w:rPr>
    </w:lvl>
  </w:abstractNum>
  <w:abstractNum w:abstractNumId="20" w15:restartNumberingAfterBreak="0">
    <w:nsid w:val="5CBD18C4"/>
    <w:multiLevelType w:val="hybridMultilevel"/>
    <w:tmpl w:val="A3A0A4B8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C569B6"/>
    <w:multiLevelType w:val="hybridMultilevel"/>
    <w:tmpl w:val="A542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865F4"/>
    <w:multiLevelType w:val="hybridMultilevel"/>
    <w:tmpl w:val="188AB4C8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E25B77"/>
    <w:multiLevelType w:val="hybridMultilevel"/>
    <w:tmpl w:val="7F7401FC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22"/>
  </w:num>
  <w:num w:numId="19">
    <w:abstractNumId w:val="20"/>
  </w:num>
  <w:num w:numId="20">
    <w:abstractNumId w:val="18"/>
  </w:num>
  <w:num w:numId="21">
    <w:abstractNumId w:val="15"/>
  </w:num>
  <w:num w:numId="22">
    <w:abstractNumId w:val="17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4E"/>
    <w:rsid w:val="00014CC4"/>
    <w:rsid w:val="00032B59"/>
    <w:rsid w:val="000C459F"/>
    <w:rsid w:val="000E73E8"/>
    <w:rsid w:val="001959EC"/>
    <w:rsid w:val="001D21C4"/>
    <w:rsid w:val="001E7D89"/>
    <w:rsid w:val="00221854"/>
    <w:rsid w:val="002E0F80"/>
    <w:rsid w:val="002E4775"/>
    <w:rsid w:val="002E6E94"/>
    <w:rsid w:val="004F4B37"/>
    <w:rsid w:val="005728EA"/>
    <w:rsid w:val="00582929"/>
    <w:rsid w:val="005A2F8F"/>
    <w:rsid w:val="006B68DA"/>
    <w:rsid w:val="006C4478"/>
    <w:rsid w:val="00747822"/>
    <w:rsid w:val="007619FF"/>
    <w:rsid w:val="007C1837"/>
    <w:rsid w:val="008107C6"/>
    <w:rsid w:val="008B0555"/>
    <w:rsid w:val="0093060F"/>
    <w:rsid w:val="009673B2"/>
    <w:rsid w:val="0098428F"/>
    <w:rsid w:val="0098494A"/>
    <w:rsid w:val="009B2518"/>
    <w:rsid w:val="009C6E15"/>
    <w:rsid w:val="00A775AF"/>
    <w:rsid w:val="00AC6EC8"/>
    <w:rsid w:val="00BA5FB9"/>
    <w:rsid w:val="00BF4CB4"/>
    <w:rsid w:val="00D06D84"/>
    <w:rsid w:val="00D5483B"/>
    <w:rsid w:val="00DE3A4E"/>
    <w:rsid w:val="00E80377"/>
    <w:rsid w:val="00E84E62"/>
    <w:rsid w:val="00EE3288"/>
    <w:rsid w:val="00F27053"/>
    <w:rsid w:val="00F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DDEA5-16B8-41E6-A538-800C21B8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4A"/>
    <w:pPr>
      <w:spacing w:after="0" w:line="240" w:lineRule="auto"/>
    </w:pPr>
    <w:rPr>
      <w:rFonts w:ascii="Times New Roman" w:hAnsi="Times New Roman"/>
      <w:sz w:val="24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4E62"/>
    <w:pPr>
      <w:keepNext/>
      <w:outlineLvl w:val="1"/>
    </w:pPr>
    <w:rPr>
      <w:rFonts w:asciiTheme="minorHAnsi" w:hAnsiTheme="minorHAnsi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E84E62"/>
    <w:rPr>
      <w:b/>
      <w:bCs/>
      <w:iCs/>
      <w:sz w:val="24"/>
      <w:szCs w:val="28"/>
    </w:rPr>
  </w:style>
  <w:style w:type="paragraph" w:styleId="ListParagraph">
    <w:name w:val="List Paragraph"/>
    <w:basedOn w:val="Normal"/>
    <w:uiPriority w:val="99"/>
    <w:qFormat/>
    <w:rsid w:val="00DE3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7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D89"/>
    <w:rPr>
      <w:rFonts w:ascii="Times New Roman" w:hAnsi="Times New Roman"/>
      <w:sz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E7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D89"/>
    <w:rPr>
      <w:rFonts w:ascii="Times New Roman" w:hAnsi="Times New Roman"/>
      <w:sz w:val="24"/>
      <w:lang w:val="hr-HR"/>
    </w:rPr>
  </w:style>
  <w:style w:type="paragraph" w:styleId="NormalWeb">
    <w:name w:val="Normal (Web)"/>
    <w:aliases w:val="Standard (Web) Char,Standard (Web) Char Char Char Char,Standard (Web) Char Char Char  Char Char,Standard (Web) Char Char Char ,Standard (Web) Char Char Char"/>
    <w:basedOn w:val="Normal"/>
    <w:link w:val="NormalWebChar"/>
    <w:qFormat/>
    <w:rsid w:val="00014CC4"/>
    <w:pPr>
      <w:spacing w:before="100" w:beforeAutospacing="1" w:after="100" w:afterAutospacing="1"/>
    </w:pPr>
    <w:rPr>
      <w:rFonts w:eastAsia="Calibri" w:cs="Times New Roman"/>
      <w:color w:val="000000"/>
      <w:szCs w:val="24"/>
      <w:lang w:eastAsia="hr-HR"/>
    </w:rPr>
  </w:style>
  <w:style w:type="character" w:customStyle="1" w:styleId="NormalWebChar">
    <w:name w:val="Normal (Web) Char"/>
    <w:aliases w:val="Standard (Web) Char Char,Standard (Web) Char Char Char Char Char,Standard (Web) Char Char Char  Char Char Char,Standard (Web) Char Char Char  Char,Standard (Web) Char Char Char Char1"/>
    <w:link w:val="NormalWeb"/>
    <w:locked/>
    <w:rsid w:val="00014CC4"/>
    <w:rPr>
      <w:rFonts w:ascii="Times New Roman" w:eastAsia="Calibri" w:hAnsi="Times New Roman" w:cs="Times New Roman"/>
      <w:color w:val="000000"/>
      <w:sz w:val="24"/>
      <w:szCs w:val="24"/>
      <w:lang w:val="hr-HR" w:eastAsia="hr-HR"/>
    </w:rPr>
  </w:style>
  <w:style w:type="paragraph" w:styleId="NoSpacing">
    <w:name w:val="No Spacing"/>
    <w:uiPriority w:val="99"/>
    <w:qFormat/>
    <w:rsid w:val="0001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2859</Words>
  <Characters>16298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Ivanović</dc:creator>
  <cp:keywords/>
  <dc:description/>
  <cp:lastModifiedBy>pjancic</cp:lastModifiedBy>
  <cp:revision>9</cp:revision>
  <dcterms:created xsi:type="dcterms:W3CDTF">2016-05-18T11:37:00Z</dcterms:created>
  <dcterms:modified xsi:type="dcterms:W3CDTF">2016-09-29T09:41:00Z</dcterms:modified>
</cp:coreProperties>
</file>